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ncmi-20260101.htm"/>
      <w:bookmarkStart w:id="1" w:name="ksncmi20260101"/>
      <w:bookmarkEnd w:id="0"/>
      <w:bookmarkEnd w:id="1"/>
      <w:r>
        <w:rPr/>
        <w:t> </w:t>
      </w:r>
    </w:p>
    <w:p>
      <w:pPr>
        <w:pStyle w:val="TextBody"/>
        <w:pBdr>
          <w:bottom w:val="double" w:sz="6" w:space="1" w:color="000000"/>
        </w:pBdr>
        <w:bidi w:val="0"/>
        <w:jc w:val="left"/>
        <w:rPr>
          <w:rFonts w:ascii="Times New Roman" w:hAnsi="Times New Roman"/>
          <w:color w:val="000000"/>
          <w:sz w:val="2"/>
        </w:rPr>
      </w:pPr>
      <w:r>
        <w:rPr>
          <w:rFonts w:ascii="Times New Roman" w:hAnsi="Times New Roman"/>
          <w:color w:val="000000"/>
          <w:sz w:val="2"/>
        </w:rPr>
        <w:t>b</w:t>
      </w:r>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6" w:space="1" w:color="000000"/>
        </w:pBdr>
        <w:bidi w:val="0"/>
        <w:jc w:val="center"/>
        <w:rPr/>
      </w:pPr>
      <w:r>
        <w:rPr/>
        <w:t> </w:t>
      </w:r>
    </w:p>
    <w:p>
      <w:pPr>
        <w:pStyle w:val="TextBody"/>
        <w:bidi w:val="0"/>
        <w:jc w:val="center"/>
        <w:rPr>
          <w:rFonts w:ascii="Times New Roman" w:hAnsi="Times New Roman"/>
          <w:b/>
          <w:color w:val="000000"/>
          <w:sz w:val="34"/>
        </w:rPr>
      </w:pPr>
      <w:r>
        <w:rPr>
          <w:rFonts w:ascii="Times New Roman" w:hAnsi="Times New Roman"/>
          <w:b/>
          <w:color w:val="000000"/>
          <w:sz w:val="34"/>
        </w:rPr>
        <w:t>FORM 10-K</w:t>
      </w:r>
    </w:p>
    <w:p>
      <w:pPr>
        <w:pStyle w:val="TextBody"/>
        <w:pBdr>
          <w:bottom w:val="single" w:sz="6" w:space="1" w:color="000000"/>
        </w:pBdr>
        <w:bidi w:val="0"/>
        <w:jc w:val="center"/>
        <w:rPr/>
      </w:pPr>
      <w:r>
        <w:rPr/>
        <w:t> </w:t>
      </w:r>
    </w:p>
    <w:p>
      <w:pPr>
        <w:pStyle w:val="TextBody"/>
        <w:bidi w:val="0"/>
        <w:jc w:val="center"/>
        <w:rPr/>
      </w:pPr>
      <w:r>
        <w:rPr/>
        <w:t> </w:t>
      </w:r>
    </w:p>
    <w:tbl>
      <w:tblPr>
        <w:tblW w:w="9917" w:type="dxa"/>
        <w:jc w:val="left"/>
        <w:tblInd w:w="0" w:type="dxa"/>
        <w:tblLayout w:type="fixed"/>
        <w:tblCellMar>
          <w:top w:w="28" w:type="dxa"/>
          <w:left w:w="28" w:type="dxa"/>
          <w:bottom w:w="28" w:type="dxa"/>
          <w:right w:w="28" w:type="dxa"/>
        </w:tblCellMar>
      </w:tblPr>
      <w:tblGrid>
        <w:gridCol w:w="331"/>
        <w:gridCol w:w="9586"/>
      </w:tblGrid>
      <w:tr>
        <w:trPr/>
        <w:tc>
          <w:tcPr>
            <w:tcW w:w="331" w:type="dxa"/>
            <w:tcBorders/>
            <w:vAlign w:val="center"/>
          </w:tcPr>
          <w:p>
            <w:pPr>
              <w:pStyle w:val="TableContents"/>
              <w:bidi w:val="0"/>
              <w:spacing w:before="0" w:after="283"/>
              <w:jc w:val="left"/>
              <w:rPr>
                <w:sz w:val="4"/>
                <w:szCs w:val="4"/>
              </w:rPr>
            </w:pPr>
            <w:r>
              <w:rPr>
                <w:sz w:val="4"/>
                <w:szCs w:val="4"/>
              </w:rPr>
            </w:r>
          </w:p>
        </w:tc>
        <w:tc>
          <w:tcPr>
            <w:tcW w:w="95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ANNUAL REPORT PURSUANT TO SECTION 13 OR 15(d) OF THE SECURITIES EXCHANGE ACT OF 1934</w:t>
            </w:r>
          </w:p>
        </w:tc>
      </w:tr>
    </w:tbl>
    <w:p>
      <w:pPr>
        <w:pStyle w:val="TextBody"/>
        <w:bidi w:val="0"/>
        <w:spacing w:before="50" w:after="283"/>
        <w:jc w:val="center"/>
        <w:rPr>
          <w:rFonts w:ascii="Times New Roman" w:hAnsi="Times New Roman"/>
          <w:sz w:val="20"/>
        </w:rPr>
      </w:pPr>
      <w:r>
        <w:rPr>
          <w:rFonts w:ascii="Times New Roman" w:hAnsi="Times New Roman"/>
          <w:b/>
          <w:color w:val="000000"/>
          <w:sz w:val="18"/>
        </w:rPr>
        <w:t>For the fiscal year ended January 1, 2026</w:t>
      </w:r>
      <w:r>
        <w:rPr>
          <w:rFonts w:ascii="Times New Roman" w:hAnsi="Times New Roman"/>
          <w:color w:val="000000"/>
          <w:sz w:val="20"/>
        </w:rPr>
        <w:t xml:space="preserve"> </w:t>
      </w:r>
    </w:p>
    <w:p>
      <w:pPr>
        <w:pStyle w:val="TextBody"/>
        <w:bidi w:val="0"/>
        <w:spacing w:before="60" w:after="100"/>
        <w:jc w:val="center"/>
        <w:rPr>
          <w:rFonts w:ascii="Times New Roman" w:hAnsi="Times New Roman"/>
          <w:b/>
          <w:color w:val="000000"/>
          <w:sz w:val="18"/>
        </w:rPr>
      </w:pPr>
      <w:r>
        <w:rPr>
          <w:rFonts w:ascii="Times New Roman" w:hAnsi="Times New Roman"/>
          <w:b/>
          <w:color w:val="000000"/>
          <w:sz w:val="18"/>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50" w:after="283"/>
        <w:jc w:val="center"/>
        <w:rPr>
          <w:rFonts w:ascii="Times New Roman" w:hAnsi="Times New Roman"/>
          <w:b/>
          <w:color w:val="000000"/>
          <w:sz w:val="18"/>
        </w:rPr>
      </w:pPr>
      <w:r>
        <w:rPr>
          <w:rFonts w:ascii="Times New Roman" w:hAnsi="Times New Roman"/>
          <w:b/>
          <w:color w:val="000000"/>
          <w:sz w:val="18"/>
        </w:rPr>
        <w:t>For the transition period from __________________ to __________________</w:t>
      </w:r>
    </w:p>
    <w:p>
      <w:pPr>
        <w:pStyle w:val="TextBody"/>
        <w:bidi w:val="0"/>
        <w:spacing w:before="50" w:after="283"/>
        <w:jc w:val="center"/>
        <w:rPr>
          <w:rFonts w:ascii="Times New Roman" w:hAnsi="Times New Roman"/>
          <w:b/>
          <w:color w:val="000000"/>
          <w:sz w:val="18"/>
        </w:rPr>
      </w:pPr>
      <w:r>
        <w:rPr>
          <w:rFonts w:ascii="Times New Roman" w:hAnsi="Times New Roman"/>
          <w:b/>
          <w:color w:val="000000"/>
          <w:sz w:val="18"/>
        </w:rPr>
        <w:t>Commission file number: 001-33296</w:t>
      </w:r>
    </w:p>
    <w:p>
      <w:pPr>
        <w:pStyle w:val="TextBody"/>
        <w:pBdr>
          <w:bottom w:val="single" w:sz="6" w:space="1" w:color="000000"/>
        </w:pBdr>
        <w:bidi w:val="0"/>
        <w:jc w:val="center"/>
        <w:rPr/>
      </w:pPr>
      <w:r>
        <w:rPr/>
        <w:t> </w:t>
      </w:r>
    </w:p>
    <w:p>
      <w:pPr>
        <w:pStyle w:val="TextBody"/>
        <w:bidi w:val="0"/>
        <w:jc w:val="center"/>
        <w:rPr>
          <w:rFonts w:ascii="Times New Roman" w:hAnsi="Times New Roman"/>
          <w:b/>
          <w:color w:val="000000"/>
          <w:sz w:val="46"/>
        </w:rPr>
      </w:pPr>
      <w:r>
        <w:rPr>
          <w:rFonts w:ascii="Times New Roman" w:hAnsi="Times New Roman"/>
          <w:b/>
          <w:color w:val="000000"/>
          <w:sz w:val="46"/>
        </w:rPr>
        <w:t>NATIONAL CINEMEDIA,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6184" w:type="dxa"/>
        <w:jc w:val="left"/>
        <w:tblInd w:w="0" w:type="dxa"/>
        <w:tblLayout w:type="fixed"/>
        <w:tblCellMar>
          <w:top w:w="28" w:type="dxa"/>
          <w:left w:w="28" w:type="dxa"/>
          <w:bottom w:w="28" w:type="dxa"/>
          <w:right w:w="28" w:type="dxa"/>
        </w:tblCellMar>
      </w:tblPr>
      <w:tblGrid>
        <w:gridCol w:w="2926"/>
        <w:gridCol w:w="946"/>
        <w:gridCol w:w="8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9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20-5665602</w:t>
            </w:r>
          </w:p>
        </w:tc>
      </w:tr>
      <w:tr>
        <w:trPr/>
        <w:tc>
          <w:tcPr>
            <w:tcW w:w="2926" w:type="dxa"/>
            <w:tcBorders/>
            <w:tcMar>
              <w:top w:w="0" w:type="dxa"/>
              <w:left w:w="0" w:type="dxa"/>
              <w:bottom w:w="0" w:type="dxa"/>
              <w:right w:w="0" w:type="dxa"/>
            </w:tcMar>
            <w:vAlign w:val="center"/>
          </w:tcPr>
          <w:p>
            <w:pPr>
              <w:pStyle w:val="TableContents"/>
              <w:bidi w:val="0"/>
              <w:spacing w:before="50" w:after="283"/>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50" w:after="283"/>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6300 S. Syracuse Way, Suite 300</w:t>
            </w:r>
          </w:p>
        </w:tc>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Centennial</w:t>
            </w:r>
          </w:p>
        </w:tc>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Colorado</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80111</w:t>
            </w:r>
          </w:p>
        </w:tc>
      </w:tr>
      <w:tr>
        <w:trPr/>
        <w:tc>
          <w:tcPr>
            <w:tcW w:w="2926" w:type="dxa"/>
            <w:tcBorders/>
            <w:tcMar>
              <w:top w:w="0" w:type="dxa"/>
              <w:left w:w="0" w:type="dxa"/>
              <w:bottom w:w="0" w:type="dxa"/>
              <w:right w:w="0" w:type="dxa"/>
            </w:tcMar>
            <w:vAlign w:val="center"/>
          </w:tcPr>
          <w:p>
            <w:pPr>
              <w:pStyle w:val="TableContents"/>
              <w:bidi w:val="0"/>
              <w:spacing w:before="5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946" w:type="dxa"/>
            <w:tcBorders/>
            <w:tcMar>
              <w:top w:w="0" w:type="dxa"/>
              <w:left w:w="0" w:type="dxa"/>
              <w:bottom w:w="0" w:type="dxa"/>
              <w:right w:w="0" w:type="dxa"/>
            </w:tcMar>
            <w:vAlign w:val="center"/>
          </w:tcPr>
          <w:p>
            <w:pPr>
              <w:pStyle w:val="TableContents"/>
              <w:bidi w:val="0"/>
              <w:spacing w:before="5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5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50" w:after="283"/>
        <w:jc w:val="center"/>
        <w:rPr>
          <w:rFonts w:ascii="Times New Roman" w:hAnsi="Times New Roman"/>
          <w:b/>
          <w:color w:val="000000"/>
          <w:sz w:val="18"/>
        </w:rPr>
      </w:pPr>
      <w:r>
        <w:rPr>
          <w:rFonts w:ascii="Times New Roman" w:hAnsi="Times New Roman"/>
          <w:b/>
          <w:color w:val="000000"/>
          <w:sz w:val="18"/>
        </w:rPr>
        <w:t>Registrant’s telephone number, including area code: (303) 792-3600</w:t>
      </w:r>
    </w:p>
    <w:p>
      <w:pPr>
        <w:pStyle w:val="TextBody"/>
        <w:bidi w:val="0"/>
        <w:spacing w:before="50" w:after="100"/>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tbl>
      <w:tblPr>
        <w:tblW w:w="7908" w:type="dxa"/>
        <w:jc w:val="left"/>
        <w:tblInd w:w="0" w:type="dxa"/>
        <w:tblLayout w:type="fixed"/>
        <w:tblCellMar>
          <w:top w:w="28" w:type="dxa"/>
          <w:left w:w="28" w:type="dxa"/>
          <w:bottom w:w="28" w:type="dxa"/>
          <w:right w:w="28" w:type="dxa"/>
        </w:tblCellMar>
      </w:tblPr>
      <w:tblGrid>
        <w:gridCol w:w="3346"/>
        <w:gridCol w:w="1246"/>
        <w:gridCol w:w="3316"/>
      </w:tblGrid>
      <w:tr>
        <w:trPr/>
        <w:tc>
          <w:tcPr>
            <w:tcW w:w="33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46" w:type="dxa"/>
            <w:tcBorders/>
            <w:tcMar>
              <w:top w:w="0" w:type="dxa"/>
              <w:left w:w="0" w:type="dxa"/>
              <w:bottom w:w="0" w:type="dxa"/>
              <w:right w:w="0" w:type="dxa"/>
            </w:tcMar>
            <w:vAlign w:val="center"/>
          </w:tcPr>
          <w:p>
            <w:pPr>
              <w:pStyle w:val="TableContents"/>
              <w:bidi w:val="0"/>
              <w:spacing w:before="50" w:after="283"/>
              <w:jc w:val="center"/>
              <w:rPr>
                <w:rFonts w:ascii="Times New Roman" w:hAnsi="Times New Roman"/>
                <w:b/>
                <w:color w:val="000000"/>
                <w:sz w:val="18"/>
              </w:rPr>
            </w:pPr>
            <w:r>
              <w:rPr>
                <w:rFonts w:ascii="Times New Roman" w:hAnsi="Times New Roman"/>
                <w:b/>
                <w:color w:val="000000"/>
                <w:sz w:val="18"/>
              </w:rPr>
              <w:t>Common Stock, par value $0.01 per share</w:t>
            </w:r>
          </w:p>
        </w:tc>
        <w:tc>
          <w:tcPr>
            <w:tcW w:w="1246" w:type="dxa"/>
            <w:tcBorders/>
            <w:tcMar>
              <w:top w:w="0" w:type="dxa"/>
              <w:left w:w="0" w:type="dxa"/>
              <w:bottom w:w="0" w:type="dxa"/>
              <w:right w:w="0" w:type="dxa"/>
            </w:tcMar>
            <w:vAlign w:val="center"/>
          </w:tcPr>
          <w:p>
            <w:pPr>
              <w:pStyle w:val="TableContents"/>
              <w:bidi w:val="0"/>
              <w:spacing w:before="50" w:after="283"/>
              <w:jc w:val="center"/>
              <w:rPr>
                <w:rFonts w:ascii="Times New Roman" w:hAnsi="Times New Roman"/>
                <w:b/>
                <w:color w:val="000000"/>
                <w:sz w:val="18"/>
              </w:rPr>
            </w:pPr>
            <w:r>
              <w:rPr>
                <w:rFonts w:ascii="Times New Roman" w:hAnsi="Times New Roman"/>
                <w:b/>
                <w:color w:val="000000"/>
                <w:sz w:val="18"/>
              </w:rPr>
              <w:t>NCMI</w:t>
            </w:r>
          </w:p>
        </w:tc>
        <w:tc>
          <w:tcPr>
            <w:tcW w:w="3316" w:type="dxa"/>
            <w:tcBorders/>
            <w:tcMar>
              <w:top w:w="0" w:type="dxa"/>
              <w:left w:w="0" w:type="dxa"/>
              <w:bottom w:w="0" w:type="dxa"/>
              <w:right w:w="0" w:type="dxa"/>
            </w:tcMar>
            <w:vAlign w:val="center"/>
          </w:tcPr>
          <w:p>
            <w:pPr>
              <w:pStyle w:val="TableContents"/>
              <w:bidi w:val="0"/>
              <w:spacing w:before="50" w:after="283"/>
              <w:jc w:val="center"/>
              <w:rPr>
                <w:rFonts w:ascii="Times New Roman" w:hAnsi="Times New Roman"/>
                <w:b/>
                <w:color w:val="000000"/>
                <w:sz w:val="18"/>
              </w:rPr>
            </w:pPr>
            <w:r>
              <w:rPr>
                <w:rFonts w:ascii="Times New Roman" w:hAnsi="Times New Roman"/>
                <w:b/>
                <w:color w:val="000000"/>
                <w:sz w:val="18"/>
              </w:rPr>
              <w:t>The Nasdaq Stock Market LLC</w:t>
            </w:r>
          </w:p>
        </w:tc>
      </w:tr>
    </w:tbl>
    <w:p>
      <w:pPr>
        <w:pStyle w:val="TextBody"/>
        <w:bidi w:val="0"/>
        <w:spacing w:before="50" w:after="283"/>
        <w:jc w:val="center"/>
        <w:rPr>
          <w:rFonts w:ascii="Times New Roman" w:hAnsi="Times New Roman"/>
          <w:b/>
          <w:color w:val="000000"/>
          <w:sz w:val="18"/>
        </w:rPr>
      </w:pPr>
      <w:r>
        <w:rPr>
          <w:rFonts w:ascii="Times New Roman" w:hAnsi="Times New Roman"/>
          <w:b/>
          <w:color w:val="000000"/>
          <w:sz w:val="18"/>
        </w:rPr>
        <w:t>Securities registered pursuant to Section 12(g) of the Act: None</w:t>
      </w:r>
    </w:p>
    <w:p>
      <w:pPr>
        <w:pStyle w:val="TextBody"/>
        <w:bidi w:val="0"/>
        <w:spacing w:before="50" w:after="283"/>
        <w:jc w:val="left"/>
        <w:rPr>
          <w:rFonts w:ascii="Times New Roman" w:hAnsi="Times New Roman"/>
          <w:sz w:val="20"/>
        </w:rPr>
      </w:pPr>
      <w:r>
        <w:rPr>
          <w:rFonts w:ascii="Times New Roman" w:hAnsi="Times New Roman"/>
          <w:color w:val="000000"/>
          <w:sz w:val="18"/>
        </w:rPr>
        <w:t>Indicate by check mark if the registrant is a well-known seasoned issuer, as defined in Rule 405 of the Securities Act. Yes ☐ No</w:t>
      </w:r>
      <w:r>
        <w:rPr>
          <w:rFonts w:ascii="Times New Roman" w:hAnsi="Times New Roman"/>
          <w:color w:val="000000"/>
          <w:sz w:val="20"/>
        </w:rPr>
        <w:t xml:space="preserve"> ☒</w:t>
      </w:r>
    </w:p>
    <w:p>
      <w:pPr>
        <w:pStyle w:val="TextBody"/>
        <w:bidi w:val="0"/>
        <w:spacing w:before="50" w:after="283"/>
        <w:jc w:val="left"/>
        <w:rPr>
          <w:rFonts w:ascii="Times New Roman" w:hAnsi="Times New Roman"/>
          <w:sz w:val="20"/>
        </w:rPr>
      </w:pPr>
      <w:r>
        <w:rPr>
          <w:rFonts w:ascii="Times New Roman" w:hAnsi="Times New Roman"/>
          <w:color w:val="000000"/>
          <w:sz w:val="18"/>
        </w:rPr>
        <w:t xml:space="preserve">Indicate by check mark if the registrant is not required to file reports pursuant to Section 13 or Section 15(d) of the Act. Yes </w:t>
      </w:r>
      <w:r>
        <w:rPr>
          <w:rFonts w:ascii="Times New Roman" w:hAnsi="Times New Roman"/>
          <w:color w:val="000000"/>
          <w:sz w:val="20"/>
        </w:rPr>
        <w:t xml:space="preserve">☐ </w:t>
      </w:r>
      <w:r>
        <w:rPr>
          <w:rFonts w:ascii="Times New Roman" w:hAnsi="Times New Roman"/>
          <w:color w:val="000000"/>
          <w:sz w:val="18"/>
        </w:rPr>
        <w:t>No</w:t>
      </w:r>
      <w:r>
        <w:rPr>
          <w:rFonts w:ascii="Times New Roman" w:hAnsi="Times New Roman"/>
          <w:color w:val="000000"/>
          <w:sz w:val="20"/>
        </w:rPr>
        <w:t xml:space="preserve"> ☒</w:t>
      </w:r>
    </w:p>
    <w:p>
      <w:pPr>
        <w:pStyle w:val="TextBody"/>
        <w:bidi w:val="0"/>
        <w:spacing w:before="5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5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50" w:after="10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84" w:type="dxa"/>
        <w:jc w:val="left"/>
        <w:tblInd w:w="0" w:type="dxa"/>
        <w:tblLayout w:type="fixed"/>
        <w:tblCellMar>
          <w:top w:w="28" w:type="dxa"/>
          <w:left w:w="28" w:type="dxa"/>
          <w:bottom w:w="28" w:type="dxa"/>
          <w:right w:w="28" w:type="dxa"/>
        </w:tblCellMar>
      </w:tblPr>
      <w:tblGrid>
        <w:gridCol w:w="1666"/>
        <w:gridCol w:w="31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5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5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5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5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5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50" w:after="283"/>
              <w:jc w:val="left"/>
              <w:rPr>
                <w:rFonts w:ascii="Times New Roman" w:hAnsi="Times New Roman"/>
                <w:color w:val="000000"/>
                <w:sz w:val="18"/>
              </w:rPr>
            </w:pPr>
            <w:r>
              <w:rPr>
                <w:rFonts w:ascii="Times New Roman" w:hAnsi="Times New Roman"/>
                <w:color w:val="000000"/>
                <w:sz w:val="18"/>
              </w:rPr>
              <w:t>Accelerated filer</w:t>
            </w:r>
          </w:p>
        </w:tc>
        <w:tc>
          <w:tcPr>
            <w:tcW w:w="316" w:type="dxa"/>
            <w:tcBorders/>
            <w:tcMar>
              <w:top w:w="0" w:type="dxa"/>
              <w:left w:w="0" w:type="dxa"/>
              <w:bottom w:w="0" w:type="dxa"/>
              <w:right w:w="0" w:type="dxa"/>
            </w:tcMar>
            <w:vAlign w:val="center"/>
          </w:tcPr>
          <w:p>
            <w:pPr>
              <w:pStyle w:val="TableContents"/>
              <w:bidi w:val="0"/>
              <w:spacing w:before="5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5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method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50" w:after="283"/>
        <w:jc w:val="left"/>
        <w:rPr>
          <w:rFonts w:ascii="Times New Roman" w:hAnsi="Times New Roman"/>
          <w:sz w:val="20"/>
        </w:rPr>
      </w:pPr>
      <w:r>
        <w:rPr>
          <w:rFonts w:ascii="Times New Roman" w:hAnsi="Times New Roman"/>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50" w:after="283"/>
        <w:jc w:val="left"/>
        <w:rPr>
          <w:rFonts w:ascii="Times New Roman" w:hAnsi="Times New Roman"/>
          <w:sz w:val="20"/>
        </w:rPr>
      </w:pPr>
      <w:r>
        <w:rPr>
          <w:rFonts w:ascii="Times New Roman" w:hAnsi="Times New Roman"/>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50" w:after="283"/>
        <w:jc w:val="left"/>
        <w:rPr>
          <w:rFonts w:ascii="Times New Roman" w:hAnsi="Times New Roman"/>
          <w:sz w:val="20"/>
        </w:rPr>
      </w:pPr>
      <w:r>
        <w:rPr>
          <w:rFonts w:ascii="Times New Roman" w:hAnsi="Times New Roman"/>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 xml:space="preserve">☐ </w:t>
      </w:r>
    </w:p>
    <w:p>
      <w:pPr>
        <w:pStyle w:val="TextBody"/>
        <w:bidi w:val="0"/>
        <w:spacing w:before="5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50" w:after="283"/>
        <w:jc w:val="left"/>
        <w:rPr>
          <w:rFonts w:ascii="Times New Roman" w:hAnsi="Times New Roman"/>
          <w:sz w:val="20"/>
        </w:rPr>
      </w:pPr>
      <w:r>
        <w:rPr>
          <w:rFonts w:ascii="Times New Roman" w:hAnsi="Times New Roman"/>
          <w:color w:val="000000"/>
          <w:sz w:val="18"/>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 xml:space="preserve">☐ </w:t>
      </w:r>
    </w:p>
    <w:p>
      <w:pPr>
        <w:pStyle w:val="TextBody"/>
        <w:bidi w:val="0"/>
        <w:spacing w:before="50" w:after="283"/>
        <w:jc w:val="left"/>
        <w:rPr>
          <w:rFonts w:ascii="Times New Roman" w:hAnsi="Times New Roman"/>
          <w:color w:val="000000"/>
          <w:sz w:val="18"/>
        </w:rPr>
      </w:pPr>
      <w:r>
        <w:rPr>
          <w:rFonts w:ascii="Times New Roman" w:hAnsi="Times New Roman"/>
          <w:color w:val="000000"/>
          <w:sz w:val="18"/>
        </w:rPr>
        <w:t>Based on the closing sales price on June 26, 2025, the aggregate market value of the voting and non-voting common stock held by non-affiliates of the registrant was $322,262,565.</w:t>
      </w:r>
    </w:p>
    <w:p>
      <w:pPr>
        <w:pStyle w:val="TextBody"/>
        <w:bidi w:val="0"/>
        <w:spacing w:before="50" w:after="283"/>
        <w:jc w:val="left"/>
        <w:rPr>
          <w:rFonts w:ascii="Times New Roman" w:hAnsi="Times New Roman"/>
          <w:sz w:val="20"/>
        </w:rPr>
      </w:pPr>
      <w:r>
        <w:rPr>
          <w:rFonts w:ascii="Times New Roman" w:hAnsi="Times New Roman"/>
          <w:color w:val="000000"/>
          <w:sz w:val="18"/>
        </w:rPr>
        <w:t>As of February 20, 2026, 93,143,847</w:t>
      </w:r>
      <w:r>
        <w:rPr>
          <w:rFonts w:ascii="Times New Roman" w:hAnsi="Times New Roman"/>
          <w:color w:val="000000"/>
          <w:sz w:val="20"/>
        </w:rPr>
        <w:t xml:space="preserve"> </w:t>
      </w:r>
      <w:r>
        <w:rPr>
          <w:rFonts w:ascii="Times New Roman" w:hAnsi="Times New Roman"/>
          <w:color w:val="000000"/>
          <w:sz w:val="18"/>
        </w:rPr>
        <w:t>shares of the registrant’s common stock (including unvested restricted stock), par value of $0.01 per share, were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0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76"/>
        <w:gridCol w:w="8658"/>
        <w:gridCol w:w="571"/>
      </w:tblGrid>
      <w:tr>
        <w:trPr/>
        <w:tc>
          <w:tcPr>
            <w:tcW w:w="976" w:type="dxa"/>
            <w:tcBorders/>
            <w:vAlign w:val="center"/>
          </w:tcPr>
          <w:p>
            <w:pPr>
              <w:pStyle w:val="TableContents"/>
              <w:bidi w:val="0"/>
              <w:spacing w:before="0" w:after="283"/>
              <w:jc w:val="left"/>
              <w:rPr>
                <w:sz w:val="4"/>
                <w:szCs w:val="4"/>
              </w:rPr>
            </w:pPr>
            <w:r>
              <w:rPr>
                <w:sz w:val="4"/>
                <w:szCs w:val="4"/>
              </w:rPr>
            </w:r>
          </w:p>
        </w:tc>
        <w:tc>
          <w:tcPr>
            <w:tcW w:w="865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Page</w:t>
            </w:r>
          </w:p>
        </w:tc>
      </w:tr>
      <w:tr>
        <w:trPr/>
        <w:tc>
          <w:tcPr>
            <w:tcW w:w="9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9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9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6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9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9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9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II</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item_5_market_for_registrant_common">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9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9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item_7_managementdiscussionandanalysis">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9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item_7a_quantitative_and_qualitative">
              <w:r>
                <w:rPr>
                  <w:rStyle w:val="InternetLink"/>
                  <w:rFonts w:ascii="Times New Roman" w:hAnsi="Times New Roman"/>
                  <w:color w:val="0000FF"/>
                  <w:sz w:val="20"/>
                  <w:u w:val="single"/>
                </w:rPr>
                <w:t>Quantitative and Qualitative Disclosures about Market Risk</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item_8_financialstatementsandsupplementa">
              <w:r>
                <w:rPr>
                  <w:rStyle w:val="InternetLink"/>
                  <w:rFonts w:ascii="Times New Roman" w:hAnsi="Times New Roman"/>
                  <w:color w:val="0000FF"/>
                  <w:sz w:val="20"/>
                  <w:u w:val="single"/>
                </w:rPr>
                <w:t>Financial Statements and Supplementary Data</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9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item_9_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9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item_9a_controls_and_procedure">
              <w:r>
                <w:rPr>
                  <w:rStyle w:val="InternetLink"/>
                  <w:rFonts w:ascii="Times New Roman" w:hAnsi="Times New Roman"/>
                  <w:color w:val="0000FF"/>
                  <w:sz w:val="20"/>
                  <w:u w:val="single"/>
                </w:rPr>
                <w:t>Controls and Procedures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9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item_9b_other_information">
              <w:r>
                <w:rPr>
                  <w:rStyle w:val="InternetLink"/>
                  <w:rFonts w:ascii="Times New Roman" w:hAnsi="Times New Roman"/>
                  <w:color w:val="0000FF"/>
                  <w:sz w:val="20"/>
                  <w:u w:val="single"/>
                </w:rPr>
                <w:t>Other Information</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6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item_9c_disclosure_regarding_foreign_jur">
              <w:r>
                <w:rPr>
                  <w:rStyle w:val="InternetLink"/>
                  <w:rFonts w:ascii="Times New Roman" w:hAnsi="Times New Roman"/>
                  <w:color w:val="0000FF"/>
                  <w:sz w:val="20"/>
                  <w:u w:val="single"/>
                </w:rPr>
                <w:t>Disclosure Regarding Foreign Jurisdictions that Prevent Inspections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6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III</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9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9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item_12_security_ownership_of_certain">
              <w:r>
                <w:rPr>
                  <w:rStyle w:val="InternetLink"/>
                  <w:rFonts w:ascii="Times New Roman" w:hAnsi="Times New Roman"/>
                  <w:color w:val="0000FF"/>
                  <w:sz w:val="20"/>
                  <w:u w:val="single"/>
                </w:rPr>
                <w:t>Security Ownership of Certain Beneficial Owners and Management and Related Stockholder Matters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9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item_13_certain_relationships_and">
              <w:r>
                <w:rPr>
                  <w:rStyle w:val="InternetLink"/>
                  <w:rFonts w:ascii="Times New Roman" w:hAnsi="Times New Roman"/>
                  <w:color w:val="0000FF"/>
                  <w:sz w:val="20"/>
                  <w:u w:val="single"/>
                </w:rPr>
                <w:t>Certain Relationships and Related Transactions, and Director Independence</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9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item_14_principal_accounting">
              <w:r>
                <w:rPr>
                  <w:rStyle w:val="InternetLink"/>
                  <w:rFonts w:ascii="Times New Roman" w:hAnsi="Times New Roman"/>
                  <w:color w:val="0000FF"/>
                  <w:sz w:val="20"/>
                  <w:u w:val="single"/>
                </w:rPr>
                <w:t>Principal Accounting Fees and Services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9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IV</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item_15_exhibits_financial_statement">
              <w:r>
                <w:rPr>
                  <w:rStyle w:val="InternetLink"/>
                  <w:rFonts w:ascii="Times New Roman" w:hAnsi="Times New Roman"/>
                  <w:color w:val="0000FF"/>
                  <w:sz w:val="20"/>
                  <w:u w:val="single"/>
                </w:rPr>
                <w:t>Exhibits, Financial Statement Schedules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9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8658" w:type="dxa"/>
            <w:tcBorders/>
            <w:tcMar>
              <w:top w:w="0" w:type="dxa"/>
              <w:left w:w="0" w:type="dxa"/>
              <w:bottom w:w="0" w:type="dxa"/>
              <w:right w:w="0" w:type="dxa"/>
            </w:tcMar>
            <w:vAlign w:val="center"/>
          </w:tcPr>
          <w:p>
            <w:pPr>
              <w:pStyle w:val="TableContents"/>
              <w:bidi w:val="0"/>
              <w:spacing w:before="0" w:after="283"/>
              <w:jc w:val="left"/>
              <w:rPr/>
            </w:pPr>
            <w:hyperlink w:anchor="item_16_form_10_k_summary">
              <w:r>
                <w:rPr>
                  <w:rStyle w:val="InternetLink"/>
                  <w:rFonts w:ascii="Times New Roman" w:hAnsi="Times New Roman"/>
                  <w:color w:val="0000FF"/>
                  <w:sz w:val="20"/>
                  <w:u w:val="single"/>
                </w:rPr>
                <w:t>Form 10-K Summary</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6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86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Certain Definitions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this document, unless the context otherwise requires:</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NCM, Inc.,” “NCM,” “the Company,” “we,” “us” or “our” refer to National CineMedia, Inc., a Delaware corporation, and its consolidated subsidiary National CineMedia, LLC.</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NCM LLC” refers to National CineMedia, LLC, a Delaware limited liability company, the current operating company for our business, which NCM, Inc. acquired an interest in, and became a member and the sole manager of, upon completion of our initial public offering, or “IPO,” which closed on February 13, 2007.</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ESAs” refers to the amended and restated exhibitor services agreements entered into by NCM LLC with each of NCM LLC’s original founding members (AMC, Cinemark and Regal) upon completion of the IPO, which were further amended and restated on December 26, 2013 in connection with the sale of the Fathom Events business and, in the case of the ESAs with Cinemark and Regal, were further amended on September 17, 2019 (the “2019 ESA Amendments”) to extend the terms of the ESAs and modify the program distributed by NCM LLC through its DCN for exhibition in Cinemark and Regal theaters. On July 14, 2023, Regal terminated their ESA with NCM LLC. On April 17, 2025, AMC amended their ESA with NCM, LLC by entering into the Second Amended and Restated Exhibitor Services Agreement (the “2025 AMC Agreement”).</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AMC” refers to AMC Entertainment Holdings, Inc. and its subsidiaries, National Cinema Network, Inc., which contributed assets used in the operations of NCM LLC and formed NCM LLC in March 2005, AMC ShowPlace Theatres, Inc., AMC Starplex, LLC, American Multi-Cinema, Inc., Muvico, LLC, and the other AMC parties to the ESA with NCM LLC.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Cinemark” refers to Cinemark Holdings, Inc. and its subsidiaries, Cinemark Media, Inc., which joined NCM LLC in July 2005, and Cinemark USA, Inc., which is a party to an ESA with NCM LLC.</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Regal” refers to Cineworld Group plc, Regal Entertainment Group and its subsidiaries, Regal CineMedia Corporation, which contributed assets used in the operations of NCM LLC, Regal CineMedia Holdings, LLC, which formed NCM LLC in March 2005, and Regal Cinemas, Inc., which was a party to an ESA with NCM LLC until July 14, 2023, when Regal terminated their ESA. On July 14, 2023, Regal entered into a network affiliate agreement with NCM LLC.</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ESA Parties” refers to AMC and Cinemark. It additionally refers to Regal, for activity prior to July 14, 2023.</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Network affiliates” refers to certain third-party theater circuits with which NCM LLC has long-term network affiliate agreements, including with Regal after July 14, 2023.</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Spotlight” refers to Spotlight Cinema Networks, LLC and its subsidiary Storming Images North America, LLC, a U.S. cinema advertising company dedicated to serving art house, luxury and dine-in exhibitors, which was acquired by NCM LLC on November 14, 2025. Spotlight is fully consolidated within NCM LLC and NCM, Inc. and included within references to “the Company”.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Adjusted OIBDA” refers to a non-GAAP financial measure, which management defines as operating income before depreciation and amortization expense adjusted to also exclude non-cash share-based payment costs, impairment of long-lived assets, workforce reorganization costs, termination of the Regal ESA, system optimization costs, satellite transitions costs, Spotlight acquisition and transition related costs and advisor fees related to involvement in the Cineworld Proceeding and Chapter 11 Case (each as defined herein).</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Adjusted OIBDA margin” is a non-GAAP financial measure calculated by dividing Adjusted OIBDA by total revenue.</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LEN” refers to NCM LLC’s Lobby Entertainment Network.</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CPM” is a basis for which advertising is sold by the cost per thousand viewers.</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DCN” refers to NCM LLC’s Digital Content Network.</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TRA” refers to the tax receivable agreement entered into by NCM, Inc. and the ESA Parties. Only Cinemark remains a party to the TRA following Regal's termination in July 14, 2023 and AMC's termination on April 17, 2025 as part of a separate termination agreement entered into concurrently with the 2025 AMC Agreement (the “AMC Termination Agreement”).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regarding market share, market position and industry data pertaining to our business contained in this report consists of estimates based on data and reports compiled by industry professional organizations (including, but not limited to, the Motion Picture Association of America and the National Association of Theatre Owners) and analysts and our knowledge of our revenues and markets. Designated Market Area® is a registered trademark of Nielsen Media Research, Inc. (“Nielsen”). We take responsibility for compiling and extracting, but have not independently verified, market and industry data provided by third parties, or by industry or general publications, and take no further responsibility for such data. Similarly, while we believe our internal data is reliable, our data has not been verified by any independent sources, and we cannot assure you as to their accuracy.</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historical information, some of the information in this Form 10-K includes “forward-looking statements.” All statements other than statements of historical facts included in this Form 10-K, including, without limitation, certain statements under “Business,” “Risk Factors” and “Management’s Discussion and Analysis of Financial Condition and Results of Operations,” may constitute forward-looking statements. In some cases, you can identify these “forward-looking statements” by the specific words, including but not limited to “may,” “will,” “can,” “should,” “expects,” “forecasts,” “projects,” “intends,” “plans,” “anticipates,” “believes,” “estimates,” “predicts,” “potential” or “continue” or the negative of those words and other comparable words. These forward-looking statements involve known and unknown risks and uncertainties, assumptions and other factors, including, but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Declines in theater attendance, including as a result of pandemics, epidemics, disease outbreaks, impacts to film production, reductions in the number of theaters or general economic impacts can disrupt our business and the business of our ESA Parties and network affiliates;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Changes in theater patron behavior could result in declines in viewership of The </w:t>
      </w:r>
      <w:r>
        <w:rPr>
          <w:rFonts w:ascii="Times New Roman" w:hAnsi="Times New Roman"/>
          <w:i/>
          <w:color w:val="000000"/>
          <w:sz w:val="20"/>
        </w:rPr>
        <w:t xml:space="preserve">Noovie® </w:t>
      </w:r>
      <w:r>
        <w:rPr>
          <w:rFonts w:ascii="Times New Roman" w:hAnsi="Times New Roman"/>
          <w:color w:val="000000"/>
          <w:sz w:val="20"/>
        </w:rPr>
        <w:t>Show;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the ESAs or network affiliate agreements and the relationships with NCM LLC’s ESA Parties and network affiliates and NCM LLC’s ability to enforce the provisions contained in the ESAs or network affiliate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successful in increasing the number of theaters in which NCM LLC has the right to display Post-Showtime Inventory;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Impacts to the ESAs due to bankruptcy of or lack of support from the ESA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failures or disruptions in our technology systems or the failure to adequately protect our systems, data or property from threats;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for developing additional digital or digital out-of-home revenue opportunities may not be implemented and may not be achieved;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effectively manage change to our strategy or continue our growth, including the benefits and synergies of any acquisitions or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regulation and potential liability arising out of the gathering and use of user information collected through data or digital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within the overall advertising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continue to upgrade our technology and that of our advertising network;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economic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grow our advertising revenue in line with the growth of our contractual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loss of any major advertising client, including due to the uncertainty or perception of uncertainty in the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inability to retain or replace our senior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government regulation on ESA Party and network affiliate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Possible infringement of our technology on intellectual property rights owned by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protect or enforce our intellectual property rights;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holding company with no operations of our own, and we depend on distributions and payments under the NCM LLC operating and management services agreements from NCM LLC to meet our ongoing obligations and to pay cash dividends on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NCM LLC’s other member, their affiliates or our largest stockholder may have interests that differ from those of us or our public stockholders and they may be able to influence our affairs, compete with us or benefit from corporate opportunities that might otherwise be available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certificate of incorporation contains anti-takeover protections that may discourage a strategic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issuance of membership units or preferred stock could dilute the interest of our common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Determination that any amount of our tax benefits under the TRA should not have been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on our stock price from the substantial number of our shares eligible for sale;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factors described under “Risk Factors” or elsewhere in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list of factors that may affect future performance and the accuracy of forward-looking statements are illustrative and not exhaustive. Our actual results, performance or achievements could differ materially from those indicated in these statements as a result of additional factors as more fully discussed in the section titled “Risk Factors,” and elsewhere in this Annual Report on Form 10-K. Given these uncertainties, readers are cautioned not to place undue reliance on our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subsequent written and oral forward-looking statements attributable to us or to persons acting on our behalf are expressly qualified in their entirety by these cautionary statements. We disclaim any intention or obligation to update publicly any forward-looking statements, whether as a result of new information, future events or otherwise, except as may be required under applicable securities laws.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120" w:after="283"/>
        <w:jc w:val="both"/>
        <w:rPr>
          <w:rFonts w:ascii="Times New Roman" w:hAnsi="Times New Roman"/>
          <w:sz w:val="20"/>
        </w:rPr>
      </w:pPr>
      <w:bookmarkStart w:id="2" w:name="item_1_business"/>
      <w:bookmarkEnd w:id="2"/>
      <w:r>
        <w:rPr>
          <w:rFonts w:ascii="Times New Roman" w:hAnsi="Times New Roman"/>
          <w:b/>
          <w:color w:val="000000"/>
          <w:sz w:val="20"/>
        </w:rPr>
        <w:t xml:space="preserve">Item 1. </w:t>
      </w:r>
      <w:r>
        <w:rPr>
          <w:rFonts w:ascii="Times New Roman" w:hAnsi="Times New Roman"/>
          <w:b/>
          <w:color w:val="000000"/>
          <w:sz w:val="20"/>
          <w:u w:val="single"/>
        </w:rPr>
        <w:t>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The Company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National CineMedia is the largest cinema advertising platform in the U.S. With unparalleled reach and scale, NCM connects brands to sought-after young, diverse audiences through the power of movies and pop culture. A premium video, full-funnel marketing solution for advertisers, NCM enhances advertisers’ ability to measure and drive results. NCM’s </w:t>
      </w:r>
      <w:r>
        <w:rPr>
          <w:rFonts w:ascii="Times New Roman" w:hAnsi="Times New Roman"/>
          <w:i/>
          <w:color w:val="000000"/>
          <w:sz w:val="20"/>
        </w:rPr>
        <w:t xml:space="preserve">Noovie® </w:t>
      </w:r>
      <w:r>
        <w:rPr>
          <w:rFonts w:ascii="Times New Roman" w:hAnsi="Times New Roman"/>
          <w:color w:val="000000"/>
          <w:sz w:val="20"/>
        </w:rPr>
        <w:t>Show is presented exclusively in 41 leading national and regional theater circuits including all three national chains, AMC, Cinemark and Regal. NCM’s cinema advertising platform consists of more than 17,000 screens in over 1,300 theaters in 184 Designated Market Areas® (“DMA</w:t>
      </w:r>
      <w:r>
        <w:rPr>
          <w:rFonts w:ascii="Times New Roman" w:hAnsi="Times New Roman"/>
          <w:i/>
          <w:color w:val="000000"/>
          <w:sz w:val="13"/>
        </w:rPr>
        <w:t>®</w:t>
      </w:r>
      <w:r>
        <w:rPr>
          <w:rFonts w:ascii="Times New Roman" w:hAnsi="Times New Roman"/>
          <w:color w:val="000000"/>
          <w:sz w:val="20"/>
        </w:rPr>
        <w:t xml:space="preserve">”), including all of the top 50. In November of 2025, NCM extended its reach by acquiring Spotlight and the Spotlight Cinema Network, a U.S. cinema advertising company dedicated to serving art house, luxury and dine-in exhibitors. Spotlight and the Spotlight Cinema Network presents the </w:t>
      </w:r>
      <w:r>
        <w:rPr>
          <w:rFonts w:ascii="Times New Roman" w:hAnsi="Times New Roman"/>
          <w:i/>
          <w:color w:val="000000"/>
          <w:sz w:val="20"/>
        </w:rPr>
        <w:t>CineLife</w:t>
      </w:r>
      <w:r>
        <w:rPr>
          <w:rFonts w:ascii="Times New Roman" w:hAnsi="Times New Roman"/>
          <w:color w:val="000000"/>
          <w:sz w:val="20"/>
        </w:rPr>
        <w:t>® Show exclusively in 108 leading national and regional theater circuits consisting of more than 1,200 screens in over 200 theaters.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derive revenue primarily from selling advertising to national, regional and local businesses through The </w:t>
      </w:r>
      <w:r>
        <w:rPr>
          <w:rFonts w:ascii="Times New Roman" w:hAnsi="Times New Roman"/>
          <w:i/>
          <w:color w:val="000000"/>
          <w:sz w:val="20"/>
        </w:rPr>
        <w:t xml:space="preserve">Noovie </w:t>
      </w:r>
      <w:r>
        <w:rPr>
          <w:rFonts w:ascii="Times New Roman" w:hAnsi="Times New Roman"/>
          <w:color w:val="000000"/>
          <w:sz w:val="20"/>
        </w:rPr>
        <w:t xml:space="preserve">Show and the </w:t>
      </w:r>
      <w:r>
        <w:rPr>
          <w:rFonts w:ascii="Times New Roman" w:hAnsi="Times New Roman"/>
          <w:i/>
          <w:color w:val="000000"/>
          <w:sz w:val="20"/>
        </w:rPr>
        <w:t xml:space="preserve">CineLife </w:t>
      </w:r>
      <w:r>
        <w:rPr>
          <w:rFonts w:ascii="Times New Roman" w:hAnsi="Times New Roman"/>
          <w:color w:val="000000"/>
          <w:sz w:val="20"/>
        </w:rPr>
        <w:t xml:space="preserve">Show, our cinema advertising and entertainment shows seen on movie screens across the U.S. Additionally, we generate revenue from the Lobby Entertainment Network or LEN, a series of strategically-placed screens located in movie theater lobbies, as well as other promotional opportunities in theater lobbies. Beyond the theater, we extend our advertising reach through our </w:t>
      </w:r>
      <w:r>
        <w:rPr>
          <w:rFonts w:ascii="Times New Roman" w:hAnsi="Times New Roman"/>
          <w:i/>
          <w:color w:val="000000"/>
          <w:sz w:val="20"/>
        </w:rPr>
        <w:t>NCMx</w:t>
      </w:r>
      <w:r>
        <w:rPr>
          <w:rFonts w:ascii="Times New Roman" w:hAnsi="Times New Roman"/>
          <w:color w:val="000000"/>
          <w:sz w:val="20"/>
        </w:rPr>
        <w:t> suite of products, leveraging omnichannel retargeting across our owned digital properties, partnerships with third-party digital publishers and platforms, CTV and a variety of complementary out-of-home venues, such as convenience stores and college campuses, to engage entertainment audiences beyond the theater.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long-term ESAs with the ESA Parties and multi-year agreements with our network affiliates, which grant the Company exclusive rights in their respective theaters to sell advertising, subject to limited exceptions. The weighted average remaining term of the ESAs with the ESA Parties is approximately 15.6 years as of January 1, 2026. The network affiliate agreements within NCM's legacy network expire at various dates between March 31, 2026 and July 13, 2033, with our largest affiliate agreement expiring on July 13, 2033. The weighted average remaining term of the ESAs and the network affiliate agreements of the NCM network is 11.8 years as of January 1, 2026. </w:t>
      </w:r>
    </w:p>
    <w:p>
      <w:pPr>
        <w:pStyle w:val="TextBody"/>
        <w:bidi w:val="0"/>
        <w:spacing w:before="120" w:after="283"/>
        <w:jc w:val="left"/>
        <w:rPr>
          <w:rFonts w:ascii="Times New Roman" w:hAnsi="Times New Roman"/>
          <w:sz w:val="20"/>
        </w:rPr>
      </w:pPr>
      <w:r>
        <w:rPr>
          <w:rFonts w:ascii="Times New Roman" w:hAnsi="Times New Roman"/>
          <w:b/>
          <w:color w:val="000000"/>
          <w:sz w:val="20"/>
        </w:rPr>
        <w:t>Organization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NCM, Inc., a Delaware corporation, was organized on October 5, 2006 and began operations on February 13, 2007 upon completion of its IPO. NCM, Inc. is a holding company that manages its consolidated subsidiary, NCM LLC. NCM, Inc. has no business operations or material assets other than its cash and cash equivalents and ownership interest of 100.0% of the common membership units in NCM LLC as of January 1, 2026. In accordance with the Common Unit Adjustment Agreement, Cinemark has the right to potentially receive common membership units in NCM LLC in the future. Following the AMC Termination Agreement, AMC will no longer have the right to receive NCM LLC membership units as part of the Common Unit Adjustment Agreement. As of January 1, 2026, AMC and Cinemark have no ownership interest in NCM LLC.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NCM, Inc.’s primary source of cash flow from operations is distributions from NCM LLC pursuant to the NCM LLC Operating Agreement. NCM, Inc. also receives management fees pursuant to a management services agreement with NCM LLC.</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120" w:after="283"/>
        <w:jc w:val="left"/>
        <w:rPr>
          <w:rFonts w:ascii="Times New Roman" w:hAnsi="Times New Roman"/>
          <w:sz w:val="20"/>
        </w:rPr>
      </w:pPr>
      <w:r>
        <w:rPr>
          <w:rFonts w:ascii="Times New Roman" w:hAnsi="Times New Roman"/>
          <w:b/>
          <w:i/>
          <w:color w:val="000000"/>
          <w:sz w:val="20"/>
        </w:rPr>
        <w:t>Spotlight—</w:t>
      </w:r>
      <w:r>
        <w:rPr>
          <w:rFonts w:ascii="Times New Roman" w:hAnsi="Times New Roman"/>
          <w:color w:val="000000"/>
          <w:sz w:val="20"/>
        </w:rPr>
        <w:t>On November 14, 2025, the Company acquired Spotlight, the only U.S. cinema advertising company dedicated to serving art house, luxury and dine-in exhibitors. The acquisition of Spotlight adds high-scale luxury screens and exhibitors that offer unique and engaging customer experiences to our platform, unlocking new advertising and preshow entertainment inventory across theaters nationwide. Spotlight’s exhibitor partners, including Cinépolis Luxury Cinema, Landmark Theatres, Flix Brewhouse and LOOK Dine-In Cinemas, complement NCM’s national theater network and extend NCM’s reach among culturally engaged premium audiences. The addition of Spotlight’s footprint increases NCM’s national market share by more than 6.0% and expands its theater presence by approximately 30.0% in the critical New York and Los Angeles markets. The Company paid $8.2 million of purchase consideration to acquire 100.0% of the ownership of Spotlight. Spotlight was consolidated within the Company's financial statements for the period of November 15, 2025 through January 1, 2026. Refer to Footnote 5—</w:t>
      </w:r>
      <w:r>
        <w:rPr>
          <w:rFonts w:ascii="Times New Roman" w:hAnsi="Times New Roman"/>
          <w:i/>
          <w:color w:val="000000"/>
          <w:sz w:val="20"/>
        </w:rPr>
        <w:t>Business Combinations</w:t>
      </w:r>
      <w:r>
        <w:rPr>
          <w:rFonts w:ascii="Times New Roman" w:hAnsi="Times New Roman"/>
          <w:color w:val="000000"/>
          <w:sz w:val="20"/>
        </w:rPr>
        <w:t xml:space="preserve"> for more information regarding the acquisition and consolidation of Spotlight. </w:t>
      </w:r>
    </w:p>
    <w:p>
      <w:pPr>
        <w:pStyle w:val="TextBody"/>
        <w:bidi w:val="0"/>
        <w:spacing w:before="120" w:after="283"/>
        <w:jc w:val="left"/>
        <w:rPr>
          <w:rFonts w:ascii="Times New Roman" w:hAnsi="Times New Roman"/>
          <w:sz w:val="20"/>
        </w:rPr>
      </w:pPr>
      <w:r>
        <w:rPr>
          <w:rFonts w:ascii="Times New Roman" w:hAnsi="Times New Roman"/>
          <w:b/>
          <w:i/>
          <w:color w:val="000000"/>
          <w:sz w:val="20"/>
        </w:rPr>
        <w:t>AMC Advertising Agreement</w:t>
      </w:r>
      <w:r>
        <w:rPr>
          <w:rFonts w:ascii="Times New Roman" w:hAnsi="Times New Roman"/>
          <w:color w:val="000000"/>
          <w:sz w:val="20"/>
        </w:rPr>
        <w:t xml:space="preserve">—On April 17, 2025, the Company and AMC, entered into the Second Amended and Restated Exhibitor Services Agreement (the “2025 AMC Agreement”) and a separate termination agreement (the “AMC Termination Agreement”) by and among NCM LLC, NCM, Inc. and AMC. The 2025 AMC Agreement extends the term of the ESA by five years, more closely aligns the program distributed by NCM LLC in AMC theaters to the predominant pre-feature program show structure in the rest of NCM LLC's advertising network and adjusts the consideration paid by NCM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LLC. The AMC Termination Agreement waives AMC’s rights under certain agreements entered into at the time of the IPO. The agreements were accounted for in accordance with the lease modification guidance within ASC 842—Leases as the amended ESA contains a short-term operating lease of AMC’s screens. The agreements were considered combined as they were entered into contemporaneously by the same parties. As a result of the agreements, in the quarter ended June 26, 2025, NCM LLC released $21.6 million of the 'Payable under the TRA' and reversed the receivable of $10.6 million from AMC, related to unpaid integration payments, and the receivable under the Common Unit Adjustment Agreement within 'Prepaid expenses and other assets' on the Company's unaudited Condensed Consolidated Balance Sheet. NCM will no longer have an obligation to make TRA payments to AMC, provide common units as a part of the Common Unit Adjustment Agreement or distribute NCM LLC's available cash to AMC and the Company received the benefits of the revised ESA, including enhancements related to the pre-feature show structure and the exclusive right to advertise in AMC's theaters. The net impact of these reversals was recorded to the 'Intangible Assets, net of amortization' as AMC's forfeiture of this net payable was considered akin to a lease incentive. The reduction in the intangible asset for the ESAs and the extension of the term of the ESA will result in reduced amortization expense, as it is considered akin to lease expense, for the remainder of the contract term. Refer to Note 6—</w:t>
      </w:r>
      <w:r>
        <w:rPr>
          <w:rFonts w:ascii="Times New Roman" w:hAnsi="Times New Roman"/>
          <w:i/>
          <w:color w:val="000000"/>
          <w:sz w:val="20"/>
        </w:rPr>
        <w:t>Intangible Assets</w:t>
      </w:r>
      <w:r>
        <w:rPr>
          <w:rFonts w:ascii="Times New Roman" w:hAnsi="Times New Roman"/>
          <w:color w:val="000000"/>
          <w:sz w:val="20"/>
        </w:rPr>
        <w:t>, Note 7 —</w:t>
      </w:r>
      <w:r>
        <w:rPr>
          <w:rFonts w:ascii="Times New Roman" w:hAnsi="Times New Roman"/>
          <w:i/>
          <w:color w:val="000000"/>
          <w:sz w:val="20"/>
        </w:rPr>
        <w:t>Income Taxes</w:t>
      </w:r>
      <w:r>
        <w:rPr>
          <w:rFonts w:ascii="Times New Roman" w:hAnsi="Times New Roman"/>
          <w:color w:val="000000"/>
          <w:sz w:val="20"/>
        </w:rPr>
        <w:t>, and Note 13—</w:t>
      </w:r>
      <w:r>
        <w:rPr>
          <w:rFonts w:ascii="Times New Roman" w:hAnsi="Times New Roman"/>
          <w:i/>
          <w:color w:val="000000"/>
          <w:sz w:val="20"/>
        </w:rPr>
        <w:t>Commitments and Contingencies</w:t>
      </w:r>
      <w:r>
        <w:rPr>
          <w:rFonts w:ascii="Times New Roman" w:hAnsi="Times New Roman"/>
          <w:color w:val="000000"/>
          <w:sz w:val="20"/>
        </w:rPr>
        <w:t xml:space="preserve"> and the Company’s Form 8-K filed with the SEC on April 23, 2025 for additional detail surrounding these agreements.</w:t>
      </w:r>
    </w:p>
    <w:p>
      <w:pPr>
        <w:pStyle w:val="TextBody"/>
        <w:bidi w:val="0"/>
        <w:spacing w:before="120" w:after="283"/>
        <w:jc w:val="left"/>
        <w:rPr>
          <w:rFonts w:ascii="Times New Roman" w:hAnsi="Times New Roman"/>
          <w:sz w:val="20"/>
        </w:rPr>
      </w:pPr>
      <w:r>
        <w:rPr>
          <w:rFonts w:ascii="Times New Roman" w:hAnsi="Times New Roman"/>
          <w:b/>
          <w:i/>
          <w:color w:val="000000"/>
          <w:sz w:val="20"/>
        </w:rPr>
        <w:t>Debt Agreement</w:t>
      </w:r>
      <w:r>
        <w:rPr>
          <w:rFonts w:ascii="Times New Roman" w:hAnsi="Times New Roman"/>
          <w:color w:val="000000"/>
          <w:sz w:val="20"/>
        </w:rPr>
        <w:t>—On January 24, 2025, NCM LLC entered into a Loan and Security Agreement with U.S. Bank National Association, as lender. The agreement provides for a $45.0 million senior secured revolving credit facility (the “2025 Credit Facility”) that matures on January 24, 2028. In connection with entering into the 2025 Credit Facility, NCM LLC repaid in full the $10.0 million balance outstanding as of December 26, 2024, terminated all commitments under its prior Loan, Security and Guarantee Agreement (the "Revolving Credit Facility 2023"), dated August 7, 2023, with CIT Northbridge Credit LLC, as agent, and paid a prepayment fee equal to 1.0% of the total commitment. The 2025 Credit Facility has reduced the Company’s overall interest expense, extended the maturity date to 2028 and is a cash flow-based revolving loan compared to the asset-based revolving loan of the 2023 Revolving Credit Facility. As of January 1, 2026, NCM LLC has $12.0 million outstanding under the 2025 Credit Facility. Borrowings under the 2025 Credit Facility may be used for, among other things, working capital and other general corporate purposes of the Company and bear interest at a floating rate equal to term SOFR (subject to a floor of zero) plus an applicable margin of 2.00%, which is subject to increase by an additional 2.00% upon the occurrence of an event of default.</w:t>
      </w:r>
    </w:p>
    <w:p>
      <w:pPr>
        <w:pStyle w:val="TextBody"/>
        <w:bidi w:val="0"/>
        <w:spacing w:before="120" w:after="283"/>
        <w:jc w:val="left"/>
        <w:rPr>
          <w:rFonts w:ascii="Times New Roman" w:hAnsi="Times New Roman"/>
          <w:sz w:val="20"/>
        </w:rPr>
      </w:pPr>
      <w:r>
        <w:rPr>
          <w:rFonts w:ascii="Times New Roman" w:hAnsi="Times New Roman"/>
          <w:b/>
          <w:i/>
          <w:color w:val="000000"/>
          <w:sz w:val="20"/>
        </w:rPr>
        <w:t>Reverse Stock Split</w:t>
      </w:r>
      <w:r>
        <w:rPr>
          <w:rFonts w:ascii="Times New Roman" w:hAnsi="Times New Roman"/>
          <w:color w:val="000000"/>
          <w:sz w:val="20"/>
        </w:rPr>
        <w:t>—On August 3, 2023, the Company effected a one-for-ten (1:10) reverse stock split of its common stock, par value $0.01 per share. The reverse stock split reduced the number of outstanding shares of the Company’s common stock from 174,112,385 shares as of August 3, 2023, to 17,411,323 shares outstanding post-split. After the cancellation of Regal’s shares on August 7, 2023, there were 13,343,065 shares outstanding. The primary purpose of the reverse stock split was to comply with the Company’s obligations under the NCMI 9019 Settlement discussed under "Chapter 11 Proceedings" below, as well as to increase the per share market price of the Company’s common stock in an effort to maintain compliance with applicable Nasdaq continued listing standards.</w:t>
      </w:r>
    </w:p>
    <w:p>
      <w:pPr>
        <w:pStyle w:val="TextBody"/>
        <w:bidi w:val="0"/>
        <w:spacing w:before="120" w:after="283"/>
        <w:jc w:val="left"/>
        <w:rPr>
          <w:rFonts w:ascii="Times New Roman" w:hAnsi="Times New Roman"/>
          <w:sz w:val="20"/>
        </w:rPr>
      </w:pPr>
      <w:r>
        <w:rPr>
          <w:rFonts w:ascii="Times New Roman" w:hAnsi="Times New Roman"/>
          <w:b/>
          <w:i/>
          <w:color w:val="000000"/>
          <w:sz w:val="20"/>
        </w:rPr>
        <w:t>Share Repurchase Program</w:t>
      </w:r>
      <w:r>
        <w:rPr>
          <w:rFonts w:ascii="Times New Roman" w:hAnsi="Times New Roman"/>
          <w:color w:val="000000"/>
          <w:sz w:val="20"/>
        </w:rPr>
        <w:t>—On March 18, 2024, the Board of Directors of the Company approved a stock repurchase program under which the Company is authorized to use assets of the Company to repurchase up to $100.0 million of shares of the Company’s Common Stock, exclusive of any fees, commissions or other expenses related to such repurchases, from time to time over a period of three years. Shares may be repurchased under the program through open market purchases, block trades, or accelerated or other structured share repurchase programs. During the year ended January 1, 2026 and December 26, 2024, 4.1 million</w:t>
      </w:r>
      <w:r>
        <w:rPr>
          <w:rFonts w:ascii="Times New Roman" w:hAnsi="Times New Roman"/>
          <w:color w:val="FF0000"/>
          <w:sz w:val="20"/>
        </w:rPr>
        <w:t xml:space="preserve"> </w:t>
      </w:r>
      <w:r>
        <w:rPr>
          <w:rFonts w:ascii="Times New Roman" w:hAnsi="Times New Roman"/>
          <w:color w:val="000000"/>
          <w:sz w:val="20"/>
        </w:rPr>
        <w:t xml:space="preserve">and 2.5 million shares were repurchased on the open market, respectively. In accordance with </w:t>
      </w:r>
      <w:r>
        <w:rPr>
          <w:rFonts w:ascii="Times New Roman" w:hAnsi="Times New Roman"/>
          <w:i/>
          <w:color w:val="000000"/>
          <w:sz w:val="20"/>
        </w:rPr>
        <w:t>ASC 505 —Equity</w:t>
      </w:r>
      <w:r>
        <w:rPr>
          <w:rFonts w:ascii="Times New Roman" w:hAnsi="Times New Roman"/>
          <w:color w:val="000000"/>
          <w:sz w:val="20"/>
        </w:rPr>
        <w:t>, the Company elected to retire the shares. Upon the retirement of these shares, the excess over par value paid, inclusive of direct costs, of</w:t>
      </w:r>
      <w:r>
        <w:rPr>
          <w:rFonts w:ascii="Times New Roman" w:hAnsi="Times New Roman"/>
          <w:color w:val="FF0000"/>
          <w:sz w:val="20"/>
        </w:rPr>
        <w:t xml:space="preserve"> </w:t>
      </w:r>
      <w:r>
        <w:rPr>
          <w:rFonts w:ascii="Times New Roman" w:hAnsi="Times New Roman"/>
          <w:color w:val="000000"/>
          <w:sz w:val="20"/>
        </w:rPr>
        <w:t>$22.3 million and $13.4 million was recorded as a reduction to retained earnings for the year ended January 1, 2026 and December 26, 2024, respectively. As of January 1, 2026, 6.6 million shares have been repurchased on the open market since the program's inception.</w:t>
      </w:r>
    </w:p>
    <w:p>
      <w:pPr>
        <w:pStyle w:val="TextBody"/>
        <w:bidi w:val="0"/>
        <w:spacing w:before="120" w:after="283"/>
        <w:jc w:val="left"/>
        <w:rPr>
          <w:rFonts w:ascii="Times New Roman" w:hAnsi="Times New Roman"/>
          <w:sz w:val="20"/>
        </w:rPr>
      </w:pPr>
      <w:r>
        <w:rPr>
          <w:rFonts w:ascii="Times New Roman" w:hAnsi="Times New Roman"/>
          <w:b/>
          <w:i/>
          <w:color w:val="000000"/>
          <w:sz w:val="20"/>
        </w:rPr>
        <w:t>Regal Advertising Agreement</w:t>
      </w:r>
      <w:r>
        <w:rPr>
          <w:rFonts w:ascii="Times New Roman" w:hAnsi="Times New Roman"/>
          <w:color w:val="000000"/>
          <w:sz w:val="20"/>
        </w:rPr>
        <w:t xml:space="preserve">—On September 7, 2022, Cineworld Group plc, the parent company of Regal, and certain of its subsidiaries, including Regal, Regal Cinemas, Inc., formerly a party to an ESA with NCM LLC, and Regal CineMedia Holdings, LLC, formerly a party to other agreements with NCM LLC and the Company, filed petitions for reorganization under Chapter 11 of the United States Bankruptcy Code in the Southern District of Texas. In connection with their Chapter 11 process, Regal filed a motion to reject the ESA and NCM LLC filed an adversary proceeding against Regal. On June 3, 2023, following extensive negotiations, NCM LLC, entered into a Network Affiliate Transaction Agreement (the “Regal Advertising Agreement”) with Regal. The Regal Advertising Agreement became effective on July 14, 2023. Pursuant to a separate termination agreement (the “Regal Termination Agreement”), effective on July 14, 2023, Regal rejected and terminated its ESA. Additionally Regal and Regal’s affiliates’ waived all rights and interests as to the TRA, the Common Unit Adjustment Agreement, the Software License Agreement, the Director Designation Agreement, the Registration Rights Agreement and all the other joint venture agreements described in the NCM LLC Operating Agreement and the Company and NCM LLC, and Regal and Regal’s affiliates waived and released claims against the other party. Regal also agreed to support NCM LLC’s Plan (as defined under “Chapter 11 Proceedings” below) and surrendered all shares of NCM, Inc.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common stock upon the Effective Date. In connection with the Regal Advertising Agreement, NCM LLC and Regal also agreed to dismiss with prejudice the ongoing litigation between the parties related to NCM LLC’s request to enforce certain provisions of the ESA, including the exclusivity provision. As of July 14, 2023, Regal is no longer an ESA Party of NCM, Inc. or NCM LLC and is presented within network affiliate balances and metrics subsequent to July 14, 2023.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Chapter 11 Proceedings</w:t>
      </w:r>
    </w:p>
    <w:p>
      <w:pPr>
        <w:pStyle w:val="TextBody"/>
        <w:bidi w:val="0"/>
        <w:jc w:val="left"/>
        <w:rPr/>
      </w:pPr>
      <w:r>
        <w:rPr/>
        <w:t> </w:t>
      </w:r>
    </w:p>
    <w:p>
      <w:pPr>
        <w:pStyle w:val="TextBody"/>
        <w:bidi w:val="0"/>
        <w:spacing w:before="120" w:after="283"/>
        <w:jc w:val="center"/>
        <w:rPr/>
      </w:pPr>
      <w:r>
        <w:rPr/>
        <w:drawing>
          <wp:inline distT="0" distB="0" distL="0" distR="0">
            <wp:extent cx="4610100" cy="2733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610100" cy="2733675"/>
                    </a:xfrm>
                    <a:prstGeom prst="rect">
                      <a:avLst/>
                    </a:prstGeom>
                  </pic:spPr>
                </pic:pic>
              </a:graphicData>
            </a:graphic>
          </wp:inline>
        </w:drawing>
      </w:r>
    </w:p>
    <w:p>
      <w:pPr>
        <w:pStyle w:val="TextBody"/>
        <w:bidi w:val="0"/>
        <w:jc w:val="left"/>
        <w:rPr>
          <w:rFonts w:ascii="Times New Roman" w:hAnsi="Times New Roman"/>
          <w:color w:val="000000"/>
          <w:sz w:val="20"/>
        </w:rPr>
      </w:pPr>
      <w:r>
        <w:rPr>
          <w:rFonts w:ascii="Times New Roman" w:hAnsi="Times New Roman"/>
          <w:color w:val="000000"/>
          <w:sz w:val="20"/>
        </w:rPr>
        <w:t>On April 11, 2023, NCM LLC filed a voluntary petition for reorganization (“Chapter 11 Case”) with a prearranged Chapter 11 plan under Chapter 11 of Title 11 of the United States Code (the “Bankruptcy Code”) in the U.S. Bankruptcy Court for the Southern District of Texas (the “Bankruptcy Court”).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11, 2023, NCM, Inc. also entered into a restructuring support agreement (the “Restructuring Support Agreement”) with NCM LLC and certain of NCM LLC’s (a) prepetition lenders under (i) the Term Loan Credit Agreement, dated as of June 18, 2018 among NCM LLC as borrower, JPMorgan Chase Bank, N.A. (“JPM”) in its capacity as administrative agent, and the lenders party thereto (as amended, supplemented or otherwise modified from time to time, the “Credit Agreement”); (ii) the Revolving Credit Agreement, dated as of June 20, 2018 among NCM LLC as borrower, JPM in its capacity as administrative agent, and the lenders party thereto (as amended, supplemented or otherwise modified from time to time, the “Revolving Credit Agreement 2018”); (iii) the Revolving Credit Agreement dated as of January 5, 2022 among NCM LLC as borrower, JPM in its capacity as administrative agent, and the lenders party thereto (as amended, supplemented or otherwise modified from time to time, the “Revolving Credit Agreement 2022”); and (b) prepetition noteholders under (i) the Secured Notes Indenture dated as of October 8, 2019 and Computershare Trust Company, National Association (“Computershare”) in its capacity as indenture trustee for NCM LLC’s 5.875% Senior Secured Notes due 2028 (as amended, supplemented or otherwise modified from time to time, the “Secured Notes Indenture” and together with the Term Loan Credit Agreement, Revolving Credit Facility 2018, and Revolving Credit Agreement 2022, the “Prepetition Secured Debt Documents”) and (ii) the Unsecured Notes Indenture dated as of August 19, 2016 with Computershare in its capacity as indenture trustee for NCM LLC’s 5.750% Senior Unsecured Notes due 2026 (as amended, supplemented or otherwise modified from time to time, the “Unsecured Notes Indenture”). The parties to the Restructuring Support Agreement held, in the aggregate, more than two-thirds of all claims arising under the Prepetition Secured Debt Documents.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Restructuring Support Agreement, the Company, NCM LLC, and lender parties agreed to a settlement, the “NCMI 9019 Settlement,” pursuant to which, the Company agreed to (i) affirm its obligations under NCM LLC and NCM, Inc.’s joint venture agreements (including the Tax Receivable Agreement and the Common Unit Adjustment Agreement) to preserve the Company’s Up-C corporate structure, (ii) issue equity to the lenders as provided in the Plan (as defined below), (iii) make a capital contribution of $15.0 million to NCM LLC (the “NCMI Capital Contribution”), (iv) enter into the new Director Designation Agreement and appoint the director nominees appointed by the creditors upon NCM LLC’s emergence from Chapter 11, and (v) take other specified actions needed to facilitate the completion of the transactions contemplated by the Plan (as described below) and in exchange the Company would receive approximately 13.8% of the ownership of NCM LLC’s equity upon emergence from Chapter 11 including equity issued on account of the Company’s ownership of NCM LLC’s prepetition secured notes. The Restructuring Support Agreement also set forth additional transactions that became the basis of the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12, 2023, NCM LLC filed the solicitation versions of the First Amended Plan of Reorganization of National CineMedia, LLC Pursuant to Chapter 11 of the Bankruptcy Code [Docket No. 249] and the Amended Disclosure Statement for First Amended Chapter 11 Plan of Reorganization of National CineMedia, LLC [Docket No. 250] (the “Disclosure Statement”). On June 25, 2023, NCM LLC filed the Modified First Amended Plan of Reorganization of National CineMedia, LLC Pursuant to Chapter 11 of the Bankruptcy Code [Docket No. 428] (as may be amended, supplemented, or otherwise modified from time to time, and including all exhibits and supplements thereto, the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27, 2023, the Bankruptcy Court entered an order (the “Confirmation Order”) which approved the Disclosure Statement on a final basis and confirmed the Plan. The Plan provided for, among other things, the treatment for classes of claims and interests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Secured debt claims. Each holder of a secured debt claim received its pro rata share of 100% of new common membership units (the equity in reorganized NCM LLC) with the right to exchange the units and receive shares of NCM, Inc.’s common stock subject to (a) reallocation of new common membership units to NCM, Inc. pursuant to the NCMI 9019 Settlement and (b) dilution on account of new common membership units issued on account of, among other things, a post-emergence management incentive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unsecured claims. Each holder of a general unsecured claim, which includes, among other things, claims under the Unsecured Note Indenture, received its pro rata share of $15.0 million, with (i) $14.5 million contributed by NCM LLC and (ii) $0.5 million contributed directly from NCM, Inc. (the “General Unsecured Claim Pool”).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unsecured convenience claims. Each holder of a general unsecured claim in the amount of $50,000 or less received payment in full in cash on NCM LLC’s emergence from Chapter 11 or the date due in the ordinary course of business in accordance with the terms and conditions of the particular transaction giving rise to such claim; provided that any general unsecured claim (other than claims under the Unsecured Note Indenture) that was allowed in excess of $50,000 was not to be treated as a general unsecured convenience claim unless the holder of such allowed general unsecured claim opted in to such treatment, and agreed to reduce its allowed general unsecured claim to $50,000 pursuant to the procedures set forth in the Confirmation Order.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Existing NCM LLC interests. Interests in NCM LLC received no recovery and were cancelled.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Section 1123(b)(3) of the Bankruptcy Code and Rule 9019 of the Federal Rules of Bankruptcy Procedure, the Plan contained and effected global and integrated compromises and settlements between and among NCM LLC, the Creditors’ Committee (as defined in the Plan), the Consenting Creditors (as defined in the Plan) and NCM, Inc. The NCMI 9019 Settlement provided that following the Effective Date (as defined below) NCM, Inc. continued to have an aggregate ownership interest of approximately 13.8% of NCM LLC that was reallocated to NCM, Inc. from the Secured Debt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7, 2023, following confirmation of the Plan, all the conditions to effectiveness of the Plan were satisfied or waived, the Restructuring Transactions (as defined in the Plan) were substantially consummated, and NCM LLC emerged from bankruptcy (the “Effective Date”). Among other things, on the Effective Date, in accordance with the Plan, NCM, Inc. transferred approximately $15.5 million to NCM LLC consistent with the NCMI 9019 Settlement, NCM LLC assumed certain unexpired Executory Contracts and Unexpired Leases (each, as defined in the Plan), including AMC’s and Cinemark’s ESAs, all Common Units of NCM LLC under the LLC Agreement were canceled and extinguished, NCM LLC commenced distributions to creditors, including the issuance of shares of NCM, Inc. Common Stock to Holders of Secured Debt Claims, and NCM LLC entered into an Exit Facility (as defined in the Plan) to support operations upon emergence.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NCM LLC was wholly owned by NCM, Inc. prior to April 11, 2023 when NCM LLC filed the Chapter 11 Case. As a result of the Chapter 11 Case and in accordance with applicable GAAP, the Company concluded that NCM, Inc. no longer controlled NCM LLC for accounting purposes, and therefore, NCM LLC was deconsolidated from the Company’s unaudited financial statements prospectively as of April 11, 2023. Upon emergence on August 7, 2023, NCM, Inc. retained its ownership in and regained control of NCM LLC for accounting purposes. NCM LLC was again consolidated into the Company’s consolidated financial statements prospectively as of the Effective Date. Within the financial results outlined within, all activity during the Chapter 11 Case from April 11, 2023 to August 7, 2023 when NCM LLC was deconsolidated from NCM, Inc. represents activity and balances for NCM, Inc. standalone. All activity and balances prior to the deconsolidation of NCM LLC on April 11, 2023 and after the reconsolidation of NCM LLC on August 7, 2023 represent NCM, Inc. consolidated, inclusive of NCM LLC. Upon emergence, NCM LLC transferred $8.8 million of cash to a professional fees escrow account and $15.0 million to an unsecured creditor settlements escrow account for the General Unsecured Claim Pool.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January 1, 2026, NCM LLC is still in the process of finalizing the settlement of unsecured creditors’ claims and has not completed all payments to NCM LLC’s unsecured creditors. NCM LLC holds a total of $3.0 million within the escrow accounts and accruals, presented within ‘Restricted cash’ and ‘Accounts Payable’ on the audited Consolidated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Balance Sheets as of January 1, 2026, December 26, 2024 and December 28, 2023, respectively. Please refer to Note 5—</w:t>
      </w:r>
      <w:r>
        <w:rPr>
          <w:rFonts w:ascii="Times New Roman" w:hAnsi="Times New Roman"/>
          <w:i/>
          <w:color w:val="000000"/>
          <w:sz w:val="20"/>
        </w:rPr>
        <w:t>Business Combinations</w:t>
      </w:r>
      <w:r>
        <w:rPr>
          <w:rFonts w:ascii="Times New Roman" w:hAnsi="Times New Roman"/>
          <w:color w:val="000000"/>
          <w:sz w:val="20"/>
        </w:rPr>
        <w:t xml:space="preserve"> for more information regarding the reconsolidation of NCM LLC. </w:t>
      </w:r>
    </w:p>
    <w:p>
      <w:pPr>
        <w:pStyle w:val="TextBody"/>
        <w:bidi w:val="0"/>
        <w:spacing w:before="120" w:after="283"/>
        <w:jc w:val="left"/>
        <w:rPr>
          <w:rFonts w:ascii="Times New Roman" w:hAnsi="Times New Roman"/>
          <w:sz w:val="20"/>
        </w:rPr>
      </w:pPr>
      <w:r>
        <w:rPr>
          <w:rFonts w:ascii="Times New Roman" w:hAnsi="Times New Roman"/>
          <w:b/>
          <w:color w:val="000000"/>
          <w:sz w:val="20"/>
        </w:rPr>
        <w:t>The</w:t>
      </w:r>
      <w:r>
        <w:rPr>
          <w:rFonts w:ascii="Times New Roman" w:hAnsi="Times New Roman"/>
          <w:color w:val="000000"/>
          <w:sz w:val="20"/>
        </w:rPr>
        <w:t xml:space="preserve"> </w:t>
      </w:r>
      <w:r>
        <w:rPr>
          <w:rFonts w:ascii="Times New Roman" w:hAnsi="Times New Roman"/>
          <w:b/>
          <w:i/>
          <w:color w:val="000000"/>
          <w:sz w:val="20"/>
        </w:rPr>
        <w:t>Noovie</w:t>
      </w:r>
      <w:r>
        <w:rPr>
          <w:rFonts w:ascii="Times New Roman" w:hAnsi="Times New Roman"/>
          <w:color w:val="000000"/>
          <w:sz w:val="20"/>
        </w:rPr>
        <w:t xml:space="preserve">® </w:t>
      </w:r>
      <w:r>
        <w:rPr>
          <w:rFonts w:ascii="Times New Roman" w:hAnsi="Times New Roman"/>
          <w:b/>
          <w:color w:val="000000"/>
          <w:sz w:val="20"/>
        </w:rPr>
        <w:t>Show Advertising</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The </w:t>
      </w:r>
      <w:r>
        <w:rPr>
          <w:rFonts w:ascii="Times New Roman" w:hAnsi="Times New Roman"/>
          <w:b/>
          <w:i/>
          <w:color w:val="000000"/>
          <w:sz w:val="20"/>
        </w:rPr>
        <w:t>Noovie</w:t>
      </w:r>
      <w:r>
        <w:rPr>
          <w:rFonts w:ascii="Times New Roman" w:hAnsi="Times New Roman"/>
          <w:color w:val="000000"/>
          <w:sz w:val="20"/>
        </w:rPr>
        <w:t xml:space="preserve"> </w:t>
      </w:r>
      <w:r>
        <w:rPr>
          <w:rFonts w:ascii="Times New Roman" w:hAnsi="Times New Roman"/>
          <w:b/>
          <w:color w:val="000000"/>
          <w:sz w:val="20"/>
        </w:rPr>
        <w:t>Show</w:t>
      </w:r>
      <w:r>
        <w:rPr>
          <w:rFonts w:ascii="Times New Roman" w:hAnsi="Times New Roman"/>
          <w:color w:val="000000"/>
          <w:sz w:val="20"/>
        </w:rPr>
        <w:t xml:space="preserve">—The </w:t>
      </w:r>
      <w:r>
        <w:rPr>
          <w:rFonts w:ascii="Times New Roman" w:hAnsi="Times New Roman"/>
          <w:i/>
          <w:color w:val="000000"/>
          <w:sz w:val="20"/>
        </w:rPr>
        <w:t xml:space="preserve">Noovie </w:t>
      </w:r>
      <w:r>
        <w:rPr>
          <w:rFonts w:ascii="Times New Roman" w:hAnsi="Times New Roman"/>
          <w:color w:val="000000"/>
          <w:sz w:val="20"/>
        </w:rPr>
        <w:t xml:space="preserve">Show provides an entertaining pre-movie experience for theater patrons while serving as an incremental revenue source for our theater circuits. The </w:t>
      </w:r>
      <w:r>
        <w:rPr>
          <w:rFonts w:ascii="Times New Roman" w:hAnsi="Times New Roman"/>
          <w:i/>
          <w:color w:val="000000"/>
          <w:sz w:val="20"/>
        </w:rPr>
        <w:t xml:space="preserve">Noovie </w:t>
      </w:r>
      <w:r>
        <w:rPr>
          <w:rFonts w:ascii="Times New Roman" w:hAnsi="Times New Roman"/>
          <w:color w:val="000000"/>
          <w:sz w:val="20"/>
        </w:rPr>
        <w:t>Show gives movie audiences a reason to arrive at the theater early to discover what's next, with exclusive entertainment content and engaging advertising from national, regional and local brands, as well as long-form entertainment and advertising content provided to us under exclusive multi-year arrangements with leading media, entertainment, technology and other companies (“content partners”).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almost all of NCM's theater network, NCM offers post-show advertising inventory which may consist of a lights-down segment that runs after the advertised showtime with trailer lighting and may consist of a Platinum Spot embedded in the trailers, as further described below (“Post-Showtime Inventory”).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Given the customizable nature of The </w:t>
      </w:r>
      <w:r>
        <w:rPr>
          <w:rFonts w:ascii="Times New Roman" w:hAnsi="Times New Roman"/>
          <w:i/>
          <w:color w:val="000000"/>
          <w:sz w:val="20"/>
        </w:rPr>
        <w:t xml:space="preserve">Noovie </w:t>
      </w:r>
      <w:r>
        <w:rPr>
          <w:rFonts w:ascii="Times New Roman" w:hAnsi="Times New Roman"/>
          <w:color w:val="000000"/>
          <w:sz w:val="20"/>
        </w:rPr>
        <w:t xml:space="preserve">Show by theater circuit, theater location/market, film rating, film genre and film title, we produce and distribute many different versions of The </w:t>
      </w:r>
      <w:r>
        <w:rPr>
          <w:rFonts w:ascii="Times New Roman" w:hAnsi="Times New Roman"/>
          <w:i/>
          <w:color w:val="000000"/>
          <w:sz w:val="20"/>
        </w:rPr>
        <w:t xml:space="preserve">Noovie </w:t>
      </w:r>
      <w:r>
        <w:rPr>
          <w:rFonts w:ascii="Times New Roman" w:hAnsi="Times New Roman"/>
          <w:color w:val="000000"/>
          <w:sz w:val="20"/>
        </w:rPr>
        <w:t xml:space="preserve">Show each month. This programming flexibility provides advertisers with the ability to target specific audience demographics and geographic locations and ensure that the content and advertising are age-appropriate for the movie audience.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All versions of The </w:t>
      </w:r>
      <w:r>
        <w:rPr>
          <w:rFonts w:ascii="Times New Roman" w:hAnsi="Times New Roman"/>
          <w:i/>
          <w:color w:val="000000"/>
          <w:sz w:val="20"/>
        </w:rPr>
        <w:t xml:space="preserve">Noovie </w:t>
      </w:r>
      <w:r>
        <w:rPr>
          <w:rFonts w:ascii="Times New Roman" w:hAnsi="Times New Roman"/>
          <w:color w:val="000000"/>
          <w:sz w:val="20"/>
        </w:rPr>
        <w:t xml:space="preserve">Show are produced by our internal creative team, which is cost-effective and gives us significant flexibility while offering advertisers opportunities for sponsorship and integration into our movie and pop culture content series. Additionally, we work with several media and non-profit partners who provide NCM with pre-produced, culturally relevant editorial content for the show at no cost. Those content segments are co-branded with the partner and </w:t>
      </w:r>
      <w:r>
        <w:rPr>
          <w:rFonts w:ascii="Times New Roman" w:hAnsi="Times New Roman"/>
          <w:i/>
          <w:color w:val="000000"/>
          <w:sz w:val="20"/>
        </w:rPr>
        <w:t>Noovie</w:t>
      </w:r>
      <w:r>
        <w:rPr>
          <w:rFonts w:ascii="Times New Roman" w:hAnsi="Times New Roman"/>
          <w:color w:val="000000"/>
          <w:sz w:val="20"/>
        </w:rPr>
        <w:t xml:space="preserve"> messaging and can be monetized by NCM through advertising sponsorships and brand integrations. We also offer pre- and post-production advertising creative services to our clients (primarily local clients who may not have their own creative agency), as well as branded content creation for national brands for a fee. </w:t>
      </w:r>
    </w:p>
    <w:p>
      <w:pPr>
        <w:pStyle w:val="TextBody"/>
        <w:bidi w:val="0"/>
        <w:spacing w:before="120" w:after="283"/>
        <w:jc w:val="left"/>
        <w:rPr>
          <w:rFonts w:ascii="Times New Roman" w:hAnsi="Times New Roman"/>
          <w:sz w:val="20"/>
        </w:rPr>
      </w:pPr>
      <w:r>
        <w:rPr>
          <w:rFonts w:ascii="Times New Roman" w:hAnsi="Times New Roman"/>
          <w:b/>
          <w:i/>
          <w:color w:val="000000"/>
          <w:sz w:val="20"/>
        </w:rPr>
        <w:t>The Noovie Show Structure Including Post-Showtime Inventory</w:t>
      </w:r>
      <w:r>
        <w:rPr>
          <w:rFonts w:ascii="Times New Roman" w:hAnsi="Times New Roman"/>
          <w:color w:val="000000"/>
          <w:sz w:val="20"/>
        </w:rPr>
        <w:t xml:space="preserve">—The </w:t>
      </w:r>
      <w:r>
        <w:rPr>
          <w:rFonts w:ascii="Times New Roman" w:hAnsi="Times New Roman"/>
          <w:i/>
          <w:color w:val="000000"/>
          <w:sz w:val="20"/>
        </w:rPr>
        <w:t xml:space="preserve">Noovie </w:t>
      </w:r>
      <w:r>
        <w:rPr>
          <w:rFonts w:ascii="Times New Roman" w:hAnsi="Times New Roman"/>
          <w:color w:val="000000"/>
          <w:sz w:val="20"/>
        </w:rPr>
        <w:t xml:space="preserve">Show with Post-Showtime Inventory format is typically comprised of three segments that are each approximately four to ten minutes in length and shown prior to showtime, as well as two additional advertising segments shown after the advertised showtime as described below. The total length of The </w:t>
      </w:r>
      <w:r>
        <w:rPr>
          <w:rFonts w:ascii="Times New Roman" w:hAnsi="Times New Roman"/>
          <w:i/>
          <w:color w:val="000000"/>
          <w:sz w:val="20"/>
        </w:rPr>
        <w:t xml:space="preserve">Noovie </w:t>
      </w:r>
      <w:r>
        <w:rPr>
          <w:rFonts w:ascii="Times New Roman" w:hAnsi="Times New Roman"/>
          <w:color w:val="000000"/>
          <w:sz w:val="20"/>
        </w:rPr>
        <w:t xml:space="preserve">Show plus our Post-Showtime Inventory varies by circuit and the demand for advertising during a given time period. The following graphic is for illustrative purposes and is not to exact scale. </w:t>
      </w:r>
    </w:p>
    <w:p>
      <w:pPr>
        <w:pStyle w:val="TextBody"/>
        <w:bidi w:val="0"/>
        <w:spacing w:before="120" w:after="283"/>
        <w:jc w:val="center"/>
        <w:rPr/>
      </w:pPr>
      <w:r>
        <w:rPr/>
        <w:drawing>
          <wp:inline distT="0" distB="0" distL="0" distR="0">
            <wp:extent cx="5876925" cy="2152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876925" cy="2152650"/>
                    </a:xfrm>
                    <a:prstGeom prst="rect">
                      <a:avLst/>
                    </a:prstGeom>
                  </pic:spPr>
                </pic:pic>
              </a:graphicData>
            </a:graphic>
          </wp:inline>
        </w:drawing>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0"/>
        </w:rPr>
        <w:t>The Silver Pod is the first section of The</w:t>
      </w:r>
      <w:r>
        <w:rPr>
          <w:color w:val="000000"/>
        </w:rPr>
        <w:t xml:space="preserve"> </w:t>
      </w:r>
      <w:r>
        <w:rPr>
          <w:rFonts w:ascii="Times New Roman" w:hAnsi="Times New Roman"/>
          <w:i/>
          <w:color w:val="000000"/>
          <w:sz w:val="20"/>
        </w:rPr>
        <w:t xml:space="preserve">Noovie </w:t>
      </w:r>
      <w:r>
        <w:rPr>
          <w:rFonts w:ascii="Times New Roman" w:hAnsi="Times New Roman"/>
          <w:color w:val="000000"/>
          <w:sz w:val="20"/>
        </w:rPr>
        <w:t xml:space="preserve">Show which contains the entertaining content that is a core element of The </w:t>
      </w:r>
      <w:r>
        <w:rPr>
          <w:rFonts w:ascii="Times New Roman" w:hAnsi="Times New Roman"/>
          <w:i/>
          <w:color w:val="000000"/>
          <w:sz w:val="20"/>
        </w:rPr>
        <w:t xml:space="preserve">Noovie </w:t>
      </w:r>
      <w:r>
        <w:rPr>
          <w:rFonts w:ascii="Times New Roman" w:hAnsi="Times New Roman"/>
          <w:color w:val="000000"/>
          <w:sz w:val="20"/>
        </w:rPr>
        <w:t xml:space="preserve">Show programming. NCM programs exclusive Noovie content at the beginning of the show that gives audiences a look at what’s happening in the movie and pop culture arenas and features long-form entertainment from our content partners. In 2025, we continued our </w:t>
      </w:r>
      <w:r>
        <w:rPr>
          <w:rFonts w:ascii="Times New Roman" w:hAnsi="Times New Roman"/>
          <w:i/>
          <w:color w:val="000000"/>
          <w:sz w:val="20"/>
        </w:rPr>
        <w:t xml:space="preserve">Noovie </w:t>
      </w:r>
      <w:r>
        <w:rPr>
          <w:rFonts w:ascii="Times New Roman" w:hAnsi="Times New Roman"/>
          <w:color w:val="000000"/>
          <w:sz w:val="20"/>
        </w:rPr>
        <w:t xml:space="preserve">Show editorial series featuring celebrities, creators and journalists to appeal to both our moviegoing audience and to advertisers for sponsorship and integration opportunities. These series include The </w:t>
      </w:r>
      <w:r>
        <w:rPr>
          <w:rFonts w:ascii="Times New Roman" w:hAnsi="Times New Roman"/>
          <w:i/>
          <w:color w:val="000000"/>
          <w:sz w:val="20"/>
        </w:rPr>
        <w:t xml:space="preserve">Noovie </w:t>
      </w:r>
      <w:r>
        <w:rPr>
          <w:rFonts w:ascii="Times New Roman" w:hAnsi="Times New Roman"/>
          <w:color w:val="000000"/>
          <w:sz w:val="20"/>
        </w:rPr>
        <w:t>Trivia Show, where our Emmy-award winning host Maria Menounos quizzes celebrities about their career through the lens of movie trivia</w:t>
      </w:r>
      <w:r>
        <w:rPr>
          <w:rFonts w:ascii="Times New Roman" w:hAnsi="Times New Roman"/>
          <w:i/>
          <w:color w:val="000000"/>
          <w:sz w:val="20"/>
        </w:rPr>
        <w:t>; Close Up with Perri</w:t>
      </w:r>
      <w:r>
        <w:rPr>
          <w:rFonts w:ascii="Times New Roman" w:hAnsi="Times New Roman"/>
          <w:color w:val="000000"/>
          <w:sz w:val="20"/>
        </w:rPr>
        <w:t xml:space="preserve">, starring movie expert Perri Nemiroff, who shares her insider reviews on what movies to watch and why; cultural celebrations, focusing on relevant cultural holidays and moments in our communities; and the Flashback Series, focusing on key moments from popular culture in the past usually tied to historical movies. The Silver Pod features primarily local and regional advertisements, which generally range between 15 to 90 seconds. This segment also typically includes a spot for </w:t>
      </w:r>
      <w:r>
        <w:rPr>
          <w:rFonts w:ascii="Times New Roman" w:hAnsi="Times New Roman"/>
          <w:i/>
          <w:color w:val="000000"/>
          <w:sz w:val="20"/>
        </w:rPr>
        <w:t xml:space="preserve">Noovie </w:t>
      </w:r>
      <w:r>
        <w:rPr>
          <w:rFonts w:ascii="Times New Roman" w:hAnsi="Times New Roman"/>
          <w:color w:val="000000"/>
          <w:sz w:val="20"/>
        </w:rPr>
        <w:t xml:space="preserve">Show programming, such as </w:t>
      </w:r>
      <w:r>
        <w:rPr>
          <w:rFonts w:ascii="Times New Roman" w:hAnsi="Times New Roman"/>
          <w:i/>
          <w:color w:val="000000"/>
          <w:sz w:val="20"/>
        </w:rPr>
        <w:t>Noovie</w:t>
      </w:r>
      <w:r>
        <w:rPr>
          <w:color w:val="000000"/>
        </w:rPr>
        <w:t xml:space="preserve"> </w:t>
      </w:r>
      <w:r>
        <w:rPr>
          <w:rFonts w:ascii="Times New Roman" w:hAnsi="Times New Roman"/>
          <w:color w:val="000000"/>
          <w:sz w:val="20"/>
        </w:rPr>
        <w:t xml:space="preserve">Trivia, </w:t>
      </w:r>
      <w:r>
        <w:rPr>
          <w:rFonts w:ascii="Times New Roman" w:hAnsi="Times New Roman"/>
          <w:i/>
          <w:color w:val="000000"/>
          <w:sz w:val="20"/>
        </w:rPr>
        <w:t>Noovie</w:t>
      </w:r>
      <w:r>
        <w:rPr>
          <w:color w:val="000000"/>
        </w:rPr>
        <w:t xml:space="preserve"> </w:t>
      </w:r>
      <w:r>
        <w:rPr>
          <w:rFonts w:ascii="Times New Roman" w:hAnsi="Times New Roman"/>
          <w:color w:val="000000"/>
          <w:sz w:val="20"/>
        </w:rPr>
        <w:t>Cultural Celebrations (e.g. original content around Black History Month or Hispanic Heritage Month, which can also be sponsored by advertisers) and shorter segments from the editorial series mentioned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Gold Pod runs after the Silver Pod and features primarily national advertisements, which are generally 30 or 60 seconds, as well as a long-form entertainment content segment from one of our content partners. Advertised showtime is after the Gold Pod, except in Regal, where the advertised showtime is after the Silver Pod.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Pre-Trailer Pod runs after the Gold Pod and typically features 5 minutes of national advertisements which are generally between 30 or 60 seconds, at a lower lighting level than that of ads that play prior to the advertised showtime. After the conclusion of this pod, there is a courtesy public service announcement (“courtesy PSA”) (e.g. “Silence Your Cell Phones”) and a 30 second or a 60 second advertisement for the ESA Parties' beverage supplier.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Platinum Spot features an additional advertising unit that is either 30 or 60 seconds deeply embedded within the movie trailers at trailer level lighting and at similar volume levels, directly prior to the last one or two trailers preceding the feature film.</w:t>
      </w:r>
    </w:p>
    <w:p>
      <w:pPr>
        <w:pStyle w:val="TextBody"/>
        <w:bidi w:val="0"/>
        <w:spacing w:before="120" w:after="283"/>
        <w:jc w:val="left"/>
        <w:rPr>
          <w:rFonts w:ascii="Times New Roman" w:hAnsi="Times New Roman"/>
          <w:sz w:val="20"/>
        </w:rPr>
      </w:pPr>
      <w:r>
        <w:rPr>
          <w:rFonts w:ascii="Times New Roman" w:hAnsi="Times New Roman"/>
          <w:b/>
          <w:i/>
          <w:color w:val="000000"/>
          <w:sz w:val="20"/>
        </w:rPr>
        <w:t>CineLife Show</w:t>
      </w:r>
      <w:r>
        <w:rPr>
          <w:rFonts w:ascii="Times New Roman" w:hAnsi="Times New Roman"/>
          <w:color w:val="000000"/>
          <w:sz w:val="20"/>
        </w:rPr>
        <w:t xml:space="preserve">—Following the acquisition of Spotlight on November 14, 2025, the Company continued to present Spotlight's historical preshow for dine in and arthouse theaters, </w:t>
      </w:r>
      <w:r>
        <w:rPr>
          <w:rFonts w:ascii="Times New Roman" w:hAnsi="Times New Roman"/>
          <w:i/>
          <w:color w:val="000000"/>
          <w:sz w:val="20"/>
        </w:rPr>
        <w:t>CineLife</w:t>
      </w:r>
      <w:r>
        <w:rPr>
          <w:rFonts w:ascii="Times New Roman" w:hAnsi="Times New Roman"/>
          <w:color w:val="000000"/>
          <w:sz w:val="20"/>
        </w:rPr>
        <w:t xml:space="preserve">® within Spotlight's legacy theaters for the remainder of 2025. The </w:t>
      </w:r>
      <w:r>
        <w:rPr>
          <w:rFonts w:ascii="Times New Roman" w:hAnsi="Times New Roman"/>
          <w:i/>
          <w:color w:val="000000"/>
          <w:sz w:val="20"/>
        </w:rPr>
        <w:t xml:space="preserve">CineLife </w:t>
      </w:r>
      <w:r>
        <w:rPr>
          <w:rFonts w:ascii="Times New Roman" w:hAnsi="Times New Roman"/>
          <w:color w:val="000000"/>
          <w:sz w:val="20"/>
        </w:rPr>
        <w:t xml:space="preserve">Show is a curated preshow with two formats for its art house and dine-in circuits designed to appeal to an adult, culturally engaged audience. The </w:t>
      </w:r>
      <w:r>
        <w:rPr>
          <w:rFonts w:ascii="Times New Roman" w:hAnsi="Times New Roman"/>
          <w:i/>
          <w:color w:val="000000"/>
          <w:sz w:val="20"/>
        </w:rPr>
        <w:t xml:space="preserve">CineLife </w:t>
      </w:r>
      <w:r>
        <w:rPr>
          <w:rFonts w:ascii="Times New Roman" w:hAnsi="Times New Roman"/>
          <w:color w:val="000000"/>
          <w:sz w:val="20"/>
        </w:rPr>
        <w:t xml:space="preserve">Show features local, paid advertising, short films, contemporary movie trivia, customized exhibitor messaging and an eclectic soundtrack of today’s best music, curated monthly by Spotlight. </w:t>
      </w:r>
    </w:p>
    <w:p>
      <w:pPr>
        <w:pStyle w:val="TextBody"/>
        <w:bidi w:val="0"/>
        <w:spacing w:before="120" w:after="283"/>
        <w:jc w:val="left"/>
        <w:rPr>
          <w:rFonts w:ascii="Times New Roman" w:hAnsi="Times New Roman"/>
          <w:sz w:val="20"/>
        </w:rPr>
      </w:pPr>
      <w:r>
        <w:rPr>
          <w:rFonts w:ascii="Times New Roman" w:hAnsi="Times New Roman"/>
          <w:i/>
          <w:color w:val="000000"/>
          <w:sz w:val="20"/>
        </w:rPr>
        <w:t>National, Regional and Local Advertising</w:t>
      </w:r>
      <w:r>
        <w:rPr>
          <w:rFonts w:ascii="Times New Roman" w:hAnsi="Times New Roman"/>
          <w:color w:val="000000"/>
          <w:sz w:val="20"/>
        </w:rPr>
        <w:t xml:space="preserve">—Our cinema advertising business has a diverse customer base, consisting of national, regional and local advertisers. National and regional on-screen advertising in The </w:t>
      </w:r>
      <w:r>
        <w:rPr>
          <w:rFonts w:ascii="Times New Roman" w:hAnsi="Times New Roman"/>
          <w:i/>
          <w:color w:val="000000"/>
          <w:sz w:val="20"/>
        </w:rPr>
        <w:t xml:space="preserve">Noovie </w:t>
      </w:r>
      <w:r>
        <w:rPr>
          <w:rFonts w:ascii="Times New Roman" w:hAnsi="Times New Roman"/>
          <w:color w:val="000000"/>
          <w:sz w:val="20"/>
        </w:rPr>
        <w:t xml:space="preserve">Show is sold on a CPM basis to national and regional clients. We generally sell our national advertising units across our national network by film rating or groups of ratings, or by individual film or film genre grouping. This ability to target various groups of films offers national advertisers a way to target specific audience demographics at various price points and overall cost levels, which we believe expands the number of potential clients. Local advertising is often sold on a per-theater, per-week basis.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with other premium video mediums like linear TV and connected TV (CTV), we sell The </w:t>
      </w:r>
      <w:r>
        <w:rPr>
          <w:rFonts w:ascii="Times New Roman" w:hAnsi="Times New Roman"/>
          <w:i/>
          <w:color w:val="000000"/>
          <w:sz w:val="20"/>
        </w:rPr>
        <w:t xml:space="preserve">Noovie </w:t>
      </w:r>
      <w:r>
        <w:rPr>
          <w:rFonts w:ascii="Times New Roman" w:hAnsi="Times New Roman"/>
          <w:color w:val="000000"/>
          <w:sz w:val="20"/>
        </w:rPr>
        <w:t>Show inventory in both the upfront and scatter markets. Upfront is a term that describes the practice of buying advertising time “up front” on an annual basis for the upcoming year, purchasing inventory in advance and locking in the advertising rates (CPMs). Consistent with the television industry's upfront booking practices, a portion of our upfront commitments have cancellation options or options to reduce the amount that advertisers may purchase up until their commitment begins airing. These options could reduce what is ultimately spent by clients that have made upfront commitments. Scatter refers to the buying of advertising on a shorter-term basis closer to when the advertisements will run, which often results in a pricing premium compared to upfront rates. The mix between the upfront and scatter markets is based upon a number of advertising market factors, such as pricing, demand for advertising time and economic conditions. The demand in the scatter market impacts the pricing achieved for our remaining advertising inventory not sold upfront and can vary throughout the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years ended January 1, 2026 and December 26, 2024, the Company derived 80.0% and 78.1%, respectively, of its advertising revenue from national clients (including advertising agencies that represent our clients) and 14.2% and 16.2%, respectively, of its advertising revenue from regional and local advertisers across the country (including advertising agencies that represent these clients). </w:t>
      </w:r>
    </w:p>
    <w:p>
      <w:pPr>
        <w:pStyle w:val="TextBody"/>
        <w:bidi w:val="0"/>
        <w:spacing w:before="120" w:after="283"/>
        <w:jc w:val="left"/>
        <w:rPr>
          <w:rFonts w:ascii="Times New Roman" w:hAnsi="Times New Roman"/>
          <w:sz w:val="20"/>
        </w:rPr>
      </w:pPr>
      <w:r>
        <w:rPr>
          <w:rFonts w:ascii="Times New Roman" w:hAnsi="Times New Roman"/>
          <w:i/>
          <w:color w:val="000000"/>
          <w:sz w:val="20"/>
        </w:rPr>
        <w:t>Programmatic and Self-Serve Marketplaces.</w:t>
      </w:r>
      <w:r>
        <w:rPr>
          <w:rFonts w:ascii="Times New Roman" w:hAnsi="Times New Roman"/>
          <w:color w:val="000000"/>
          <w:sz w:val="20"/>
        </w:rPr>
        <w:t xml:space="preserve"> Since 2024, the Company also has two additional marketplaces where advertisers can purchase our advertising inventory: programmatic and self-serve. The programmatic marketplace offers real-time data-driven trading of advertising inventory, allowing bidding on available audiences during The </w:t>
      </w:r>
      <w:r>
        <w:rPr>
          <w:rFonts w:ascii="Times New Roman" w:hAnsi="Times New Roman"/>
          <w:i/>
          <w:color w:val="000000"/>
          <w:sz w:val="20"/>
        </w:rPr>
        <w:t xml:space="preserve">Noovie </w:t>
      </w:r>
      <w:r>
        <w:rPr>
          <w:rFonts w:ascii="Times New Roman" w:hAnsi="Times New Roman"/>
          <w:color w:val="000000"/>
          <w:sz w:val="20"/>
        </w:rPr>
        <w:t>Show. Buyers can choose from programmatic guaranteed and private marketplace options, and programmatic buys can be customized by reach, geography, film rating, day of the week and time of day. Additionally, through NCM's fully automated self-serve solution, local and regional companies can plan, buy and schedule their own ads to run on the big screen directly from NCM.</w:t>
      </w:r>
    </w:p>
    <w:p>
      <w:pPr>
        <w:pStyle w:val="TextBody"/>
        <w:bidi w:val="0"/>
        <w:spacing w:before="120" w:after="283"/>
        <w:jc w:val="left"/>
        <w:rPr>
          <w:rFonts w:ascii="Times New Roman" w:hAnsi="Times New Roman"/>
          <w:sz w:val="20"/>
        </w:rPr>
      </w:pPr>
      <w:r>
        <w:rPr>
          <w:rFonts w:ascii="Times New Roman" w:hAnsi="Times New Roman"/>
          <w:i/>
          <w:color w:val="000000"/>
          <w:sz w:val="20"/>
        </w:rPr>
        <w:t>Beverage Advertising.</w:t>
      </w:r>
      <w:r>
        <w:rPr>
          <w:rFonts w:ascii="Times New Roman" w:hAnsi="Times New Roman"/>
          <w:color w:val="000000"/>
          <w:sz w:val="20"/>
        </w:rPr>
        <w:t xml:space="preserve"> Each of the ESA Parties has a relationship with a beverage concessionaire supplier under which it is obligated to provide on-screen advertising time as part of its agreement to purchase branded beverages sold in its theaters. Under the ESAs, up to 90 seconds of the </w:t>
      </w:r>
      <w:r>
        <w:rPr>
          <w:rFonts w:ascii="Times New Roman" w:hAnsi="Times New Roman"/>
          <w:i/>
          <w:color w:val="000000"/>
          <w:sz w:val="20"/>
        </w:rPr>
        <w:t>Noovie</w:t>
      </w:r>
      <w:r>
        <w:rPr>
          <w:rFonts w:ascii="Times New Roman" w:hAnsi="Times New Roman"/>
          <w:color w:val="000000"/>
          <w:sz w:val="20"/>
        </w:rPr>
        <w:t xml:space="preserve"> program can be sold to the ESA Parties to satisfy their on-screen advertising commitments under their beverage concessionaire agreements in effect in 2025. The price for the time sold to Cinemark's beverage supplier and AMC's beverage supplier will increase at a fixed rate of 2.0% each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2025, we sold 60 seconds of on-screen advertising to one of the ESA Parties and 30 seconds of on-screen advertising to the other ESA Party for their beverage concessionaires. In 2026, such obligations are expected to decrease resulting in lower beverage revenue in 2026, as compared to 2025. During 2025, the beverage concessionaire revenue from the ESA Parties’ beverage agreements was approximately 5.8% of NCM LLC’s total revenue.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Content. </w:t>
      </w:r>
      <w:r>
        <w:rPr>
          <w:rFonts w:ascii="Times New Roman" w:hAnsi="Times New Roman"/>
          <w:color w:val="000000"/>
          <w:sz w:val="20"/>
        </w:rPr>
        <w:t xml:space="preserve">Beyond the </w:t>
      </w:r>
      <w:r>
        <w:rPr>
          <w:rFonts w:ascii="Times New Roman" w:hAnsi="Times New Roman"/>
          <w:i/>
          <w:color w:val="000000"/>
          <w:sz w:val="20"/>
        </w:rPr>
        <w:t>Noovie</w:t>
      </w:r>
      <w:r>
        <w:rPr>
          <w:rFonts w:ascii="Times New Roman" w:hAnsi="Times New Roman"/>
          <w:color w:val="000000"/>
          <w:sz w:val="20"/>
        </w:rPr>
        <w:t xml:space="preserve">-branded content during The </w:t>
      </w:r>
      <w:r>
        <w:rPr>
          <w:rFonts w:ascii="Times New Roman" w:hAnsi="Times New Roman"/>
          <w:i/>
          <w:color w:val="000000"/>
          <w:sz w:val="20"/>
        </w:rPr>
        <w:t xml:space="preserve">Noovie </w:t>
      </w:r>
      <w:r>
        <w:rPr>
          <w:rFonts w:ascii="Times New Roman" w:hAnsi="Times New Roman"/>
          <w:color w:val="000000"/>
          <w:sz w:val="20"/>
        </w:rPr>
        <w:t xml:space="preserve">Show, the majority of our entertainment and advertising content segments are provided to us by content partners. Under the terms of the contracts, our content partners create original long-form entertainment content segments and make commitments to buy a portion of our advertising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inventory at a specified CPM over a time period that is typically longer than a typical national advertising purchase. The original content produced by these content partners typically features upcoming media programming or technology products. In 2025, the content partner segments were between 60 and 120 seconds in length.</w:t>
      </w:r>
    </w:p>
    <w:p>
      <w:pPr>
        <w:pStyle w:val="TextBody"/>
        <w:bidi w:val="0"/>
        <w:spacing w:before="120" w:after="283"/>
        <w:jc w:val="left"/>
        <w:rPr>
          <w:rFonts w:ascii="Times New Roman" w:hAnsi="Times New Roman"/>
          <w:sz w:val="20"/>
        </w:rPr>
      </w:pPr>
      <w:r>
        <w:rPr>
          <w:rFonts w:ascii="Times New Roman" w:hAnsi="Times New Roman"/>
          <w:i/>
          <w:color w:val="000000"/>
          <w:sz w:val="20"/>
        </w:rPr>
        <w:t>Courtesy PSA</w:t>
      </w:r>
      <w:r>
        <w:rPr>
          <w:rFonts w:ascii="Times New Roman" w:hAnsi="Times New Roman"/>
          <w:color w:val="000000"/>
          <w:sz w:val="20"/>
        </w:rPr>
        <w:t>. In 2025, we had two agreements throughout the year to exhibit a 40-second “silence your cell phone” courtesy PSA reminding moviegoers to silence their cell phones and refrain from texting during feature films. There are two agreements in place as of February 2026.</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Theater Circuit Messaging. </w:t>
      </w:r>
      <w:r>
        <w:rPr>
          <w:rFonts w:ascii="Times New Roman" w:hAnsi="Times New Roman"/>
          <w:color w:val="000000"/>
          <w:sz w:val="20"/>
        </w:rPr>
        <w:t xml:space="preserve">The </w:t>
      </w:r>
      <w:r>
        <w:rPr>
          <w:rFonts w:ascii="Times New Roman" w:hAnsi="Times New Roman"/>
          <w:i/>
          <w:color w:val="000000"/>
          <w:sz w:val="20"/>
        </w:rPr>
        <w:t xml:space="preserve">Noovie </w:t>
      </w:r>
      <w:r>
        <w:rPr>
          <w:rFonts w:ascii="Times New Roman" w:hAnsi="Times New Roman"/>
          <w:color w:val="000000"/>
          <w:sz w:val="20"/>
        </w:rPr>
        <w:t>Show also includes time slots for the ESA Parties and network affiliates to advertise various activities associated with the operations of the theaters, including concessions, online ticketing partners, gift card and loyalty programs, special events presented by the theater operator and vendors of services provided to theaters, so long as such promotion is incidental to the vendor’s service or products sold in the theater. This service is provided to the theater operator at no charge.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Data &amp; Digital Advertising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NCMx. NCMx is a data, insights and analytics platform that utilizes the Company’s comprehensive knowledge and extensive data about moviegoer behavior to connect brands with custom audiences across all screens, both in theaters and beyond, before, during and after their moviegoing experience. NCM clients are able to leverage NCMx to execute advanced audience-matching against key geographic, behavioral and contextual targets on the big screen, as well as retarget moviegoers across any screen with tailored ads or exclusive brand offers. NCM provides advertisers with access to one of the largest collections of deterministic moviegoer data in the industry, delivering a 360-degree view of recent consumer behavior with performance metrics to refine campaign plans and generate a better return on their advertising investment. NCM is leading the cinema advertising industry as it transforms into a data-first media company that reaches audiences at scale with the most engaging content.</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NCM Boost℠. </w:t>
      </w:r>
      <w:r>
        <w:rPr>
          <w:rFonts w:ascii="Times New Roman" w:hAnsi="Times New Roman"/>
          <w:color w:val="000000"/>
          <w:sz w:val="20"/>
        </w:rPr>
        <w:t>In 2024, the Company expanded our Audience Accelerator digital product with NCM Boost which enhances cinema advertising campaigns by extending their reach beyond the big screen. This enhancement empowers advertisers to execute comprehensive retargeting, reconnecting with the elusive moviegoer audience on the right screen at the right time to maximize campaign impact. With NCM Boost, brands reach a national level scale while also targeting moviegoers with enough precision to achieve saturation at a detailed local level. NCM Boost identifies moviegoers using first-, second- and third-party data, enabling precise targeting based on demographics, genres or additional data layers to deliver tailored client campaigns. Data-driven campaigns are executed across all platforms, connecting brands with their target audience through an all-encompassing approach. Campaigns are distributed through strategic partnerships with leading premium streaming networks, ensuring broad reach across diverse channels, allowing brands to engage moviegoers on platforms such as the internet, mobile devices, connected televisions (CTV), and over-the-top (OTT) devices. This comprehensive strategy ensures brands can effectively reach their audience wherever they consume entertainment information and content.</w:t>
      </w:r>
    </w:p>
    <w:p>
      <w:pPr>
        <w:pStyle w:val="TextBody"/>
        <w:bidi w:val="0"/>
        <w:spacing w:before="120" w:after="283"/>
        <w:jc w:val="left"/>
        <w:rPr>
          <w:rFonts w:ascii="Times New Roman" w:hAnsi="Times New Roman"/>
          <w:sz w:val="20"/>
        </w:rPr>
      </w:pPr>
      <w:r>
        <w:rPr>
          <w:rFonts w:ascii="Times New Roman" w:hAnsi="Times New Roman"/>
          <w:i/>
          <w:color w:val="000000"/>
          <w:sz w:val="20"/>
        </w:rPr>
        <w:t>NCM Boomerang℠.</w:t>
      </w:r>
      <w:r>
        <w:rPr>
          <w:rFonts w:ascii="Times New Roman" w:hAnsi="Times New Roman"/>
          <w:color w:val="000000"/>
          <w:sz w:val="20"/>
        </w:rPr>
        <w:t xml:space="preserve"> Launched in 2024, NCM Boomerang is the NCMx retargeting solution designed to amplify post-theater engagement by reconnecting with moviegoers after their theater experience through the use of onscreen QR codes. By retargeting audiences at a predetermined interval, such as three hours after initial campaign exposure, NCM Boomerang enables advertisers to capitalize on the last-click attribution of big-screen campaigns seen in theaters, maximizing their impact and driving measurable results.</w:t>
      </w:r>
    </w:p>
    <w:p>
      <w:pPr>
        <w:pStyle w:val="TextBody"/>
        <w:bidi w:val="0"/>
        <w:spacing w:before="120" w:after="283"/>
        <w:jc w:val="left"/>
        <w:rPr>
          <w:rFonts w:ascii="Times New Roman" w:hAnsi="Times New Roman"/>
          <w:sz w:val="20"/>
        </w:rPr>
      </w:pPr>
      <w:r>
        <w:rPr>
          <w:rFonts w:ascii="Times New Roman" w:hAnsi="Times New Roman"/>
          <w:i/>
          <w:color w:val="000000"/>
          <w:sz w:val="20"/>
        </w:rPr>
        <w:t>NCM Bullseye℠.</w:t>
      </w:r>
      <w:r>
        <w:rPr>
          <w:rFonts w:ascii="Times New Roman" w:hAnsi="Times New Roman"/>
          <w:color w:val="000000"/>
          <w:sz w:val="20"/>
        </w:rPr>
        <w:t xml:space="preserve"> Launched in 2025, NCM Bullseye leverages AI-generated creative to deliver dynamic, hyper-localized messaging at a national scale. NCM Bullseye integrates key signals, such as DMA, geo-targeting, local offers and audience insights to optimize campaigns' reach with precision across the NCM network by enabling advertisers to deploy multiple creative renderings across a single cinema campaign, adapting and localizing the content based on audience segment, audience behavior and audience location.</w:t>
      </w:r>
    </w:p>
    <w:p>
      <w:pPr>
        <w:pStyle w:val="TextBody"/>
        <w:bidi w:val="0"/>
        <w:spacing w:before="120" w:after="283"/>
        <w:jc w:val="left"/>
        <w:rPr>
          <w:rFonts w:ascii="Times New Roman" w:hAnsi="Times New Roman"/>
          <w:sz w:val="20"/>
        </w:rPr>
      </w:pPr>
      <w:r>
        <w:rPr>
          <w:rFonts w:ascii="Times New Roman" w:hAnsi="Times New Roman"/>
          <w:i/>
          <w:color w:val="000000"/>
          <w:sz w:val="20"/>
        </w:rPr>
        <w:t>NCM Blueprint℠.</w:t>
      </w:r>
      <w:r>
        <w:rPr>
          <w:rFonts w:ascii="Times New Roman" w:hAnsi="Times New Roman"/>
          <w:color w:val="000000"/>
          <w:sz w:val="20"/>
        </w:rPr>
        <w:t xml:space="preserve"> Launched in 2025, NCM Blueprint uses real-time renovation permit data to identify homeowners who are actively engaged in remodeling projects, giving brands the ability to reach high-intent consumers at high-intent purchase moments.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market NCM’s data platform and all-encompassing marketing solutions through our national and local sales groups to enable integrated selling. Our new and upcoming data and digital products are designed to complement in-theater advertisements, offering integrated marketing packages as discussed in “Business—Our Strategy”. We plan to continue investing in our data and digital partnerships and all-encompassing marketing solutions in 2026 and beyond.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Lobby Advertising</w:t>
      </w:r>
    </w:p>
    <w:p>
      <w:pPr>
        <w:pStyle w:val="TextBody"/>
        <w:bidi w:val="0"/>
        <w:spacing w:before="120" w:after="283"/>
        <w:jc w:val="left"/>
        <w:rPr>
          <w:rFonts w:ascii="Times New Roman" w:hAnsi="Times New Roman"/>
          <w:sz w:val="20"/>
        </w:rPr>
      </w:pPr>
      <w:r>
        <w:rPr>
          <w:rFonts w:ascii="Times New Roman" w:hAnsi="Times New Roman"/>
          <w:b/>
          <w:i/>
          <w:color w:val="000000"/>
          <w:sz w:val="20"/>
        </w:rPr>
        <w:t>Lobby Entertainment Network</w:t>
      </w:r>
      <w:r>
        <w:rPr>
          <w:rFonts w:ascii="Times New Roman" w:hAnsi="Times New Roman"/>
          <w:color w:val="000000"/>
          <w:sz w:val="20"/>
        </w:rPr>
        <w:t xml:space="preserve">—Our LEN is a network of video screens strategically located throughout the lobbies of all digitally equipped ESA Parties’ theaters, as well as the majority of our network affiliates’ theaters. The LEN screens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placed in high-traffic locations such as concession stands, box offices and other waiting areas. In certain exhibitors, NCM is working with a hardware partner to develop a more modern approach to the LEN, including larger formats and multiple screens.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Programming on our LEN consists of an approximately 30-minute loop of branded entertainment content segments created specifically for the lobby with advertisements running between each segment. We have the scheduling flexibility to send different LEN programming to each theater through our DCN, and the same program is displayed simultaneously on all LEN screens within a given theater, which we believe provides the maximum impact for our advertisers. We sell national and local advertising on the LEN individually or bundled with on-screen or other lobby promotions. As a part of the LEN programming, theater exhibitors have the right to promote activities associated with the operation of the theaters or display other feature film related materials.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NCM launched the LEN programmatic offering in 2022. This automated offering allows advertisers to access and purchase available LEN programming. The partnership enabled advertisers to reach the largest network of lobby screens in movie theaters across the country programmatically for the first time.</w:t>
      </w:r>
    </w:p>
    <w:p>
      <w:pPr>
        <w:pStyle w:val="TextBody"/>
        <w:bidi w:val="0"/>
        <w:spacing w:before="120" w:after="283"/>
        <w:jc w:val="left"/>
        <w:rPr>
          <w:rFonts w:ascii="Times New Roman" w:hAnsi="Times New Roman"/>
          <w:sz w:val="20"/>
        </w:rPr>
      </w:pPr>
      <w:r>
        <w:rPr>
          <w:rFonts w:ascii="Times New Roman" w:hAnsi="Times New Roman"/>
          <w:b/>
          <w:i/>
          <w:color w:val="000000"/>
          <w:sz w:val="20"/>
        </w:rPr>
        <w:t>Lobby Promotions and Experiential Products</w:t>
      </w:r>
      <w:r>
        <w:rPr>
          <w:rFonts w:ascii="Times New Roman" w:hAnsi="Times New Roman"/>
          <w:color w:val="000000"/>
          <w:sz w:val="20"/>
        </w:rPr>
        <w:t>—We also sell a wide variety of advertising and promotional products in theater lobbies across our ESA Parties and certain network affiliates. These products can be sold individually or bundled with on-screen, LEN or digital advertising. Lobby promotions and experiential products may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brand activations ranging from lounges to 3D holograms, selfie photo stations, social media, vending machines, costume displays and more;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advertising on concession items such as beverage cups, popcorn bags and kids’ trays;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coupons and promotional materials, which are customizable by film and are distributed to ticket buyers at the box office or as they exit the theater;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tabling displays, product demonstrations and sampling;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touch-screen display units, kiosks and other interactive and creative forms of media;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signage throughout the lobbies, including posters, banners, counter cards, danglers, floor mats, standees and window clings;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exit sampling.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ESAs, the ESA Parties may conduct a limited number of lobby promotions at no charge in connection with strategic programs that promote motion pictures; however, such activities will not reduce the lobby promotions inventory available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provide in-lobby marketing and promotional placements in conjunction with our cinema advertising products allows us to offer integrated marketing solutions to advertisers that provide multiple touchpoints with theater patrons throughout the movie-going experience, which we believe is a competitive advantage over other national media platforms.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Digital Out-of-Home Products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NCM’s Digital Out-of-Home (“DOOH”) group is embedded as part of our national and local sales organizations and was created in October 2020 to further unite brands with the power of movies by extending movie-centric </w:t>
      </w:r>
      <w:r>
        <w:rPr>
          <w:rFonts w:ascii="Times New Roman" w:hAnsi="Times New Roman"/>
          <w:i/>
          <w:color w:val="000000"/>
          <w:sz w:val="20"/>
        </w:rPr>
        <w:t>Noovie®</w:t>
      </w:r>
      <w:r>
        <w:rPr>
          <w:rFonts w:ascii="Times New Roman" w:hAnsi="Times New Roman"/>
          <w:color w:val="000000"/>
          <w:sz w:val="20"/>
        </w:rPr>
        <w:t xml:space="preserve"> entertainment content, trivia and advertising beyond movie theaters to a variety of complementary venues. In 2025, NCM sold DOOH media inventory on a national, regional, local and programmatic level in relationships with digital place-based properties including screens in convenience stores and college campuses.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Network</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w:t>
      </w:r>
      <w:r>
        <w:rPr>
          <w:rFonts w:ascii="Times New Roman" w:hAnsi="Times New Roman"/>
          <w:i/>
          <w:color w:val="000000"/>
          <w:sz w:val="20"/>
        </w:rPr>
        <w:t xml:space="preserve">Noovie® </w:t>
      </w:r>
      <w:r>
        <w:rPr>
          <w:rFonts w:ascii="Times New Roman" w:hAnsi="Times New Roman"/>
          <w:color w:val="000000"/>
          <w:sz w:val="20"/>
        </w:rPr>
        <w:t xml:space="preserve">Show is distributed across NCM LLC’s national theater network — the largest digital in-theater network in North America — through the use of our proprietary DCN and Digital Content Software (“DCS”). With the DCN and DCS, we are able to schedule, deliver, play and reconcile advertising and entertainment content for The </w:t>
      </w:r>
      <w:r>
        <w:rPr>
          <w:rFonts w:ascii="Times New Roman" w:hAnsi="Times New Roman"/>
          <w:i/>
          <w:color w:val="000000"/>
          <w:sz w:val="20"/>
        </w:rPr>
        <w:t xml:space="preserve">Noovie </w:t>
      </w:r>
      <w:r>
        <w:rPr>
          <w:rFonts w:ascii="Times New Roman" w:hAnsi="Times New Roman"/>
          <w:color w:val="000000"/>
          <w:sz w:val="20"/>
        </w:rPr>
        <w:t>Show and the LEN on a national, regional, local, theater and auditorium level.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DCN is the combination of a satellite distribution network and a terrestrial management network. The DCN is integrated with NCM’s cinema advertising management system to seamlessly schedule and distribute advertising content. NCM's integrated system dynamically controls the quality, placement, timing of playback and completeness of content within specific auditoriums, and it also allows us to monitor and initiate repairs to the equipment in our digital network of theaters.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Advertising and entertainment content for The </w:t>
      </w:r>
      <w:r>
        <w:rPr>
          <w:rFonts w:ascii="Times New Roman" w:hAnsi="Times New Roman"/>
          <w:i/>
          <w:color w:val="000000"/>
          <w:sz w:val="20"/>
        </w:rPr>
        <w:t>Noovie</w:t>
      </w:r>
      <w:r>
        <w:rPr>
          <w:rFonts w:ascii="Times New Roman" w:hAnsi="Times New Roman"/>
          <w:color w:val="000000"/>
          <w:sz w:val="20"/>
        </w:rPr>
        <w:t xml:space="preserve"> Show and LEN is uploaded to our cinema advertising management system and is delivered via multicast technology to the theaters in our network and received by our Alternative Content Engine. The Alternative Content Engine holds the content until displayed in specified theater auditoriums and lobbies according to contract terms. Each theater auditorium and lobby has hardware and/or software architecture that controls the content to be shown. After playback of content, confirmation of playback is returned to NCM and is included in “post” reports provided to our advertising clients.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2025, more than 403.8 million moviegoers attended theaters that are currently under contract to present The </w:t>
      </w:r>
      <w:r>
        <w:rPr>
          <w:rFonts w:ascii="Times New Roman" w:hAnsi="Times New Roman"/>
          <w:i/>
          <w:color w:val="000000"/>
          <w:sz w:val="20"/>
        </w:rPr>
        <w:t xml:space="preserve">Noovie </w:t>
      </w:r>
      <w:r>
        <w:rPr>
          <w:rFonts w:ascii="Times New Roman" w:hAnsi="Times New Roman"/>
          <w:color w:val="000000"/>
          <w:sz w:val="20"/>
        </w:rPr>
        <w:t xml:space="preserve">Show or the </w:t>
      </w:r>
      <w:r>
        <w:rPr>
          <w:rFonts w:ascii="Times New Roman" w:hAnsi="Times New Roman"/>
          <w:i/>
          <w:color w:val="000000"/>
          <w:sz w:val="20"/>
        </w:rPr>
        <w:t>CineLife</w:t>
      </w:r>
      <w:r>
        <w:rPr>
          <w:rFonts w:ascii="Times New Roman" w:hAnsi="Times New Roman"/>
          <w:color w:val="000000"/>
          <w:sz w:val="20"/>
        </w:rPr>
        <w:t xml:space="preserve"> Show. A summary of the screens and theaters in our combined advertising network is set forth in the table below:</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Our Network</w:t>
      </w:r>
    </w:p>
    <w:p>
      <w:pPr>
        <w:pStyle w:val="TextBody"/>
        <w:bidi w:val="0"/>
        <w:jc w:val="center"/>
        <w:rPr>
          <w:rFonts w:ascii="Times New Roman" w:hAnsi="Times New Roman"/>
          <w:b/>
          <w:color w:val="000000"/>
          <w:sz w:val="20"/>
        </w:rPr>
      </w:pPr>
      <w:r>
        <w:rPr>
          <w:rFonts w:ascii="Times New Roman" w:hAnsi="Times New Roman"/>
          <w:b/>
          <w:color w:val="000000"/>
          <w:sz w:val="20"/>
        </w:rPr>
        <w:t>(As of January 1, 2026)</w:t>
      </w:r>
    </w:p>
    <w:p>
      <w:pPr>
        <w:pStyle w:val="TextBody"/>
        <w:bidi w:val="0"/>
        <w:jc w:val="center"/>
        <w:rPr/>
      </w:pPr>
      <w:r>
        <w:rPr/>
        <w:drawing>
          <wp:inline distT="0" distB="0" distL="0" distR="0">
            <wp:extent cx="5848350" cy="3295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848350" cy="3295650"/>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As of January 1, 2026, The </w:t>
      </w:r>
      <w:r>
        <w:rPr>
          <w:rFonts w:ascii="Times New Roman" w:hAnsi="Times New Roman"/>
          <w:i/>
          <w:color w:val="000000"/>
          <w:sz w:val="20"/>
        </w:rPr>
        <w:t>Noovie</w:t>
      </w:r>
      <w:r>
        <w:rPr>
          <w:rFonts w:ascii="Times New Roman" w:hAnsi="Times New Roman"/>
          <w:color w:val="000000"/>
          <w:sz w:val="20"/>
        </w:rPr>
        <w:t xml:space="preserve"> Show was displayed on network movie screens using digital projectors. Almost all screens within our network receive content through our DCN and are equipped with more powerful digital cinema projectors, with the remainder comprised of LCD projectors.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Human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had 248 full-time employees as of January 1, 2026. Our employees are located in our Centennial, Colorado headquarters, and in our other offices, including New York, Los Angeles, Chicago and Detroit. We also have remote employees, including many major markets advertising account executives that work remotely throughout the U.S. The Company continually works to structure the organization in optimal ways to meet customer, employee and shareholder needs. None of our employees are covered by collective bargaining agreements. We believe that we have a good relationship with our employees. </w:t>
      </w:r>
    </w:p>
    <w:p>
      <w:pPr>
        <w:pStyle w:val="TextBody"/>
        <w:bidi w:val="0"/>
        <w:spacing w:before="120" w:after="283"/>
        <w:jc w:val="left"/>
        <w:rPr>
          <w:rFonts w:ascii="Times New Roman" w:hAnsi="Times New Roman"/>
          <w:sz w:val="20"/>
        </w:rPr>
      </w:pPr>
      <w:r>
        <w:rPr>
          <w:rFonts w:ascii="Times New Roman" w:hAnsi="Times New Roman"/>
          <w:b/>
          <w:i/>
          <w:color w:val="000000"/>
          <w:sz w:val="20"/>
        </w:rPr>
        <w:t>Talent</w:t>
      </w:r>
      <w:r>
        <w:rPr>
          <w:rFonts w:ascii="Times New Roman" w:hAnsi="Times New Roman"/>
          <w:color w:val="000000"/>
          <w:sz w:val="20"/>
        </w:rPr>
        <w:t xml:space="preserve">—We are focused on building talent at all levels of the organization by recruiting high quality talent with a broad set of backgrounds and characteristics and have taken steps to align our policies with best practices from other respected organizations. We are focused on identifying and helping to implement initiatives intended to improve areas such as recruitment, retention, brand awareness and community outreach. </w:t>
      </w:r>
    </w:p>
    <w:p>
      <w:pPr>
        <w:pStyle w:val="TextBody"/>
        <w:bidi w:val="0"/>
        <w:spacing w:before="120" w:after="283"/>
        <w:jc w:val="left"/>
        <w:rPr>
          <w:rFonts w:ascii="Times New Roman" w:hAnsi="Times New Roman"/>
          <w:sz w:val="20"/>
        </w:rPr>
      </w:pPr>
      <w:r>
        <w:rPr>
          <w:rFonts w:ascii="Times New Roman" w:hAnsi="Times New Roman"/>
          <w:b/>
          <w:i/>
          <w:color w:val="000000"/>
          <w:sz w:val="20"/>
        </w:rPr>
        <w:t>Organizational Development</w:t>
      </w:r>
      <w:r>
        <w:rPr>
          <w:rFonts w:ascii="Times New Roman" w:hAnsi="Times New Roman"/>
          <w:color w:val="000000"/>
          <w:sz w:val="20"/>
        </w:rPr>
        <w:t xml:space="preserve">—Our Human Resources and leadership team is focused on broad management development as well as supporting targeted training to individuals and teams based on business needs. Managers and supervisors participate in specialized training to develop management skills, encourage employee development and retention and assist the Company with succession planning by identifying top talent to be developed into future leaders. Our Human Resources department also regularly provides employees with mandatory compliance training regarding preventing harassment and discrimination, workplace diversity, our code of conduct, IT and cyber security and other related courses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help them with their daily responsibilities. Compliance with mandatory training requirements is tracked by our Human Resources department and management is notified when the requirements are not met.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Human Resources department also focuses on defining and embedding the NCM culture into all people-related practices and policies to help us recruit, develop and retain a world-class team to grow the business. The Company has implemented a number of targeted initiatives to increase employee engagement and satisfaction, including team and culture-building activities, career and succession planning and ongoing analysis and enhancements of our total rewards program.</w:t>
      </w:r>
    </w:p>
    <w:p>
      <w:pPr>
        <w:pStyle w:val="TextBody"/>
        <w:bidi w:val="0"/>
        <w:spacing w:before="120" w:after="283"/>
        <w:jc w:val="left"/>
        <w:rPr>
          <w:rFonts w:ascii="Times New Roman" w:hAnsi="Times New Roman"/>
          <w:sz w:val="20"/>
        </w:rPr>
      </w:pPr>
      <w:r>
        <w:rPr>
          <w:rFonts w:ascii="Times New Roman" w:hAnsi="Times New Roman"/>
          <w:b/>
          <w:i/>
          <w:color w:val="000000"/>
          <w:sz w:val="20"/>
        </w:rPr>
        <w:t>Total Rewards</w:t>
      </w:r>
      <w:r>
        <w:rPr>
          <w:rFonts w:ascii="Times New Roman" w:hAnsi="Times New Roman"/>
          <w:color w:val="000000"/>
          <w:sz w:val="20"/>
        </w:rPr>
        <w:t xml:space="preserve">—We invest in our employees by providing comprehensive benefits and compensation packages. Our benefits packages include comprehensive health insurance with a wellness program for all eligible employees, parental leave for all new parents for the birth or adoption of a child or placement of foster care, 401k plan with a comprehensive financial wellness component and voluntary benefits employees can tailor to their specific needs ranging from additional life insurance to pet insurance.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Seasonality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 and operating results are seasonal in nature, coinciding with the timing of marketing expenditures by our advertising clients and to a lesser extent the attendance patterns within the film exhibition industry. Historically, both advertising expenditures and theater attendance tend to be higher during the second, third and fourth fiscal quarters. Advertising revenue is primarily correlated with new product releases, advertising client marketing priorities and economic cycles and to a lesser extent theater attendance levels. Seasonal demand during the summer is driven by the absence of alternative attractive advertising mediums and during the winter holiday season due to high client demand across all advertising mediums.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increased inventory availability in competitive advertising mediums. There can be no assurances that seasonal variations will not materially affect our results of operations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reflects the quarterly percentage of total NCM LLC revenue for the fiscal years ended 2025, 2024 and 2023:</w:t>
      </w:r>
    </w:p>
    <w:p>
      <w:pPr>
        <w:pStyle w:val="TextBody"/>
        <w:bidi w:val="0"/>
        <w:jc w:val="left"/>
        <w:rPr/>
      </w:pPr>
      <w:r>
        <w:rPr/>
        <w:t> </w:t>
      </w:r>
    </w:p>
    <w:tbl>
      <w:tblPr>
        <w:tblW w:w="5363" w:type="dxa"/>
        <w:jc w:val="left"/>
        <w:tblInd w:w="0" w:type="dxa"/>
        <w:tblLayout w:type="fixed"/>
        <w:tblCellMar>
          <w:top w:w="28" w:type="dxa"/>
          <w:left w:w="28" w:type="dxa"/>
          <w:bottom w:w="28" w:type="dxa"/>
          <w:right w:w="28" w:type="dxa"/>
        </w:tblCellMar>
      </w:tblPr>
      <w:tblGrid>
        <w:gridCol w:w="826"/>
        <w:gridCol w:w="146"/>
        <w:gridCol w:w="168"/>
        <w:gridCol w:w="538"/>
        <w:gridCol w:w="271"/>
        <w:gridCol w:w="146"/>
        <w:gridCol w:w="168"/>
        <w:gridCol w:w="538"/>
        <w:gridCol w:w="271"/>
        <w:gridCol w:w="146"/>
        <w:gridCol w:w="168"/>
        <w:gridCol w:w="538"/>
        <w:gridCol w:w="271"/>
        <w:gridCol w:w="146"/>
        <w:gridCol w:w="168"/>
        <w:gridCol w:w="538"/>
        <w:gridCol w:w="316"/>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w:t>
              <w:br/>
              <w:t>Quarter</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w:t>
              <w:br/>
              <w:t>Quarter</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w:t>
              <w:br/>
              <w:t>Quarter</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Fourth</w:t>
              <w:br/>
              <w:t>Quarter</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FY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FY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FY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Government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Currently, we are not subject to regulations specific to the sale and distribution of cinema advertising. We are subject to federal, state and local laws that govern businesses generally such as wage and hour, worker compensation and health and safety laws as well as privacy, information security and consumer protection-related laws and regulations. We have been and are currently in compliance with all material government mandated and environmental regulations.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advertising business competes in the estimated $409 billion U.S. advertising industry in 2025, which includes spending across television, radio, print, digital, mobile and out-of-home advertising. While cinema advertising represents a small portion of the overall advertising industry today, we believe it is well-positioned to capitalize on the continuing shift of advertising spending away from traditional media, in particular linear television where consumers can skip advertisements through DVRs and other technology, to newer and more targeted forms of media.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advertising business also competes with other providers of cinema advertising, which vary substantially in size. As the largest cinema advertising network in the U.S., we believe that we are able to generate economies of scale, operating efficiencies and enhanced opportunities for our clients to reach an engaged movie audience on both a national and local level to allow us to better compete for premium video dollars in the larger advertising marketplace.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Competitive Strengths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several strengths position us well to compete in an increasingly fragmented media landscape. We believe that our cinema advertising network is an attractive option for advertisers on a national, regional and local level and delivers measurable results for our clients that are comparable, and preferred, to the television, online and mobile or other video advertising options that we compete against in the marketplace.</w:t>
      </w:r>
    </w:p>
    <w:p>
      <w:pPr>
        <w:pStyle w:val="TextBody"/>
        <w:bidi w:val="0"/>
        <w:spacing w:before="120" w:after="283"/>
        <w:jc w:val="left"/>
        <w:rPr>
          <w:rFonts w:ascii="Times New Roman" w:hAnsi="Times New Roman"/>
          <w:sz w:val="20"/>
        </w:rPr>
      </w:pPr>
      <w:r>
        <w:rPr>
          <w:rFonts w:ascii="Times New Roman" w:hAnsi="Times New Roman"/>
          <w:b/>
          <w:i/>
          <w:color w:val="000000"/>
          <w:sz w:val="20"/>
        </w:rPr>
        <w:t>Extensive national market coverage</w:t>
      </w:r>
      <w:r>
        <w:rPr>
          <w:rFonts w:ascii="Times New Roman" w:hAnsi="Times New Roman"/>
          <w:color w:val="000000"/>
          <w:sz w:val="20"/>
        </w:rPr>
        <w:t xml:space="preserve">—Our contractual agreements with our ESA Parties and network affiliates provide long-term exclusive access (subject to limited exceptions) to sell cinema advertising across the largest network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digitally-equipped theaters in the U.S. This allows us to offer advertisers the broad reach and national scale that they need to effectively reach their target audiences.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NCM Network consisted of 17,621 screens (9,314 operated by the ESA Parties) located in 1,371 theaters (676 operated by the ESA Parties) in 47 states and the District of Columbia, including each of the top 25, 50 and 100 DMAs®, and 184 DMAs® in total, as of January 1,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over 398 million people who attended theaters in the NCM Network in 2025 represented 69.3%, 64.0% and 62.0% of the total theater attendance in theaters that present cinema advertising in the top 10, 25 and 50 U.S. DMAs®, respectively, and 56.4% of all DMAs® nationally, providing an attractive platform for national advertisers who want exposure in larger markets or on a national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average screens per theater in our NCM Network during 2025 was 12.9 screens;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annual attendance per screen of theaters included in our NCM Network during 2025 was 22,609.</w:t>
      </w:r>
    </w:p>
    <w:p>
      <w:pPr>
        <w:pStyle w:val="TextBody"/>
        <w:bidi w:val="0"/>
        <w:spacing w:before="120" w:after="283"/>
        <w:jc w:val="left"/>
        <w:rPr>
          <w:rFonts w:ascii="Times New Roman" w:hAnsi="Times New Roman"/>
          <w:sz w:val="20"/>
        </w:rPr>
      </w:pPr>
      <w:r>
        <w:rPr>
          <w:rFonts w:ascii="Times New Roman" w:hAnsi="Times New Roman"/>
          <w:b/>
          <w:i/>
          <w:color w:val="000000"/>
          <w:sz w:val="20"/>
        </w:rPr>
        <w:t>Scalable, state-of-the-art digital content distribution technology</w:t>
      </w:r>
      <w:r>
        <w:rPr>
          <w:rFonts w:ascii="Times New Roman" w:hAnsi="Times New Roman"/>
          <w:color w:val="000000"/>
          <w:sz w:val="20"/>
        </w:rPr>
        <w:t xml:space="preserve">—Our use of the combination of satellite and terrestrial DCN network technology, combined with the design and functionality of our DCS and Customer Experience Center infrastructure, makes our network efficient and scalable and also allows us to target specific audiences and provide advertising scheduling flexibility and reporting. National, local and regional advertisers are generally able to run their ads in The </w:t>
      </w:r>
      <w:r>
        <w:rPr>
          <w:rFonts w:ascii="Times New Roman" w:hAnsi="Times New Roman"/>
          <w:i/>
          <w:color w:val="000000"/>
          <w:sz w:val="20"/>
        </w:rPr>
        <w:t xml:space="preserve">Noovie® </w:t>
      </w:r>
      <w:r>
        <w:rPr>
          <w:rFonts w:ascii="Times New Roman" w:hAnsi="Times New Roman"/>
          <w:color w:val="000000"/>
          <w:sz w:val="20"/>
        </w:rPr>
        <w:t>Show less than 72 hours following the close of the proposal which is comparable to the lead time of television advertising, giving businesses that rely on time-sensitive promotional advertising strategies the opportunity to take advantage of the power of cinema.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scalability of our distribution technology allows us to expand our cinema advertising network with minimal additional capital expenditures or personnel, and we expect to benefit from this scalability in the event we add to the theaters from the ESA Parties, our existing network affiliate relationships and the addition of new network affiliates.</w:t>
      </w:r>
    </w:p>
    <w:p>
      <w:pPr>
        <w:pStyle w:val="TextBody"/>
        <w:bidi w:val="0"/>
        <w:spacing w:before="120" w:after="283"/>
        <w:jc w:val="left"/>
        <w:rPr>
          <w:rFonts w:ascii="Times New Roman" w:hAnsi="Times New Roman"/>
          <w:sz w:val="20"/>
        </w:rPr>
      </w:pPr>
      <w:r>
        <w:rPr>
          <w:rFonts w:ascii="Times New Roman" w:hAnsi="Times New Roman"/>
          <w:b/>
          <w:i/>
          <w:color w:val="000000"/>
          <w:sz w:val="20"/>
        </w:rPr>
        <w:t>Access to a highly attractive, engaged audience</w:t>
      </w:r>
      <w:r>
        <w:rPr>
          <w:rFonts w:ascii="Times New Roman" w:hAnsi="Times New Roman"/>
          <w:color w:val="000000"/>
          <w:sz w:val="20"/>
        </w:rPr>
        <w:t>—We offer advertisers the ability to reach highly-coveted target demographics, including young, affluent and educated “Millennial” and “Gen Z” moviegoers. According to Comscore PostTrak, approximately 56% of the NCM Network audiences were between the ages of 12-34 and the median age of our moviegoers is 30. Further, approximately 38% of our moviegoers reside in households with an annual income greater than $100,000, with a median moviegoer household income of $122,000. Approximately 39.0% of our audience has attained a bachelor’s degree or higher according to Transunion.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Due to the impact of cinema’s state-of-the-art immersive video and audio presentation, we also believe that movie audiences are highly engaged with The </w:t>
      </w:r>
      <w:r>
        <w:rPr>
          <w:rFonts w:ascii="Times New Roman" w:hAnsi="Times New Roman"/>
          <w:i/>
          <w:color w:val="000000"/>
          <w:sz w:val="20"/>
        </w:rPr>
        <w:t xml:space="preserve">Noovie </w:t>
      </w:r>
      <w:r>
        <w:rPr>
          <w:rFonts w:ascii="Times New Roman" w:hAnsi="Times New Roman"/>
          <w:color w:val="000000"/>
          <w:sz w:val="20"/>
        </w:rPr>
        <w:t>Show advertising and entertainment content that they view in our theater environment. The ground-breaking attention studies conducted in 2022 and 2023 by Lumen, a leader in attention measurement, demonstrated that moviegoers paid greater attention to advertisements in theaters compared to all other premium video platforms. Cinema’s attention advantage is 2 to 3 times that of Linear Live Sports, Fast Nets, Top Tier AVOD and podcasts and 7 to 16 times that of social media and digital. Further, with over 400 research studies conducted since 2017, advertising on the big screen consistently delivers strong results for advertisers across categories regardless of ad length, creative or movie rating with an average ad recall score of 75.0% with brand lift for critical key performance indicators of awareness (increase of 62.0%) and consideration (increase of 24.0%). Additionally, according to an intercept study conducted by eWorks, a market research company, a Platinum Spot advertiser experienced 88.0% brand recall among adult moviegoers between ages 18 to 34, with significant lifts in brand relevance (increase of 52.0%) and brand excitement (increase of +64%) after advertising with NCM in August 2025. The 4Dx format reaffirms the power of the immersive cinematic experience with a major auto advertiser experiencing a brand lift in awareness (increase of 425.0%) following a summer 2025 campaign.</w:t>
      </w:r>
    </w:p>
    <w:p>
      <w:pPr>
        <w:pStyle w:val="TextBody"/>
        <w:bidi w:val="0"/>
        <w:spacing w:before="120" w:after="283"/>
        <w:jc w:val="left"/>
        <w:rPr>
          <w:rFonts w:ascii="Times New Roman" w:hAnsi="Times New Roman"/>
          <w:sz w:val="20"/>
        </w:rPr>
      </w:pPr>
      <w:r>
        <w:rPr>
          <w:rFonts w:ascii="Times New Roman" w:hAnsi="Times New Roman"/>
          <w:b/>
          <w:i/>
          <w:color w:val="000000"/>
          <w:sz w:val="20"/>
        </w:rPr>
        <w:t>World-class entertainment and innovative, branded pre-feature content</w:t>
      </w:r>
      <w:r>
        <w:rPr>
          <w:rFonts w:ascii="Times New Roman" w:hAnsi="Times New Roman"/>
          <w:color w:val="000000"/>
          <w:sz w:val="20"/>
        </w:rPr>
        <w:t xml:space="preserve">—The film content created by Hollywood studios is considered some of the finest entertainment content in the world, which creates a highly-desirable advertising environment for brands. We believe that The </w:t>
      </w:r>
      <w:r>
        <w:rPr>
          <w:rFonts w:ascii="Times New Roman" w:hAnsi="Times New Roman"/>
          <w:i/>
          <w:color w:val="000000"/>
          <w:sz w:val="20"/>
        </w:rPr>
        <w:t xml:space="preserve">Noovie </w:t>
      </w:r>
      <w:r>
        <w:rPr>
          <w:rFonts w:ascii="Times New Roman" w:hAnsi="Times New Roman"/>
          <w:color w:val="000000"/>
          <w:sz w:val="20"/>
        </w:rPr>
        <w:t xml:space="preserve">Show program provides a high-quality entertainment experience for theater audiences and an effective marketing platform for advertisers. By partnering with leading media, entertainment, technology and other companies, we are able to provide better original content for our audience and increase the impact for the advertiser. Because we offer local and national “pods” within The </w:t>
      </w:r>
      <w:r>
        <w:rPr>
          <w:rFonts w:ascii="Times New Roman" w:hAnsi="Times New Roman"/>
          <w:i/>
          <w:color w:val="000000"/>
          <w:sz w:val="20"/>
        </w:rPr>
        <w:t xml:space="preserve">Noovie </w:t>
      </w:r>
      <w:r>
        <w:rPr>
          <w:rFonts w:ascii="Times New Roman" w:hAnsi="Times New Roman"/>
          <w:color w:val="000000"/>
          <w:sz w:val="20"/>
        </w:rPr>
        <w:t xml:space="preserve">Show (that is, groupings of ads interspersed among video content), our format is consistent with the grouping of ads on television networks, which allows advertisers to more easily integrate The </w:t>
      </w:r>
      <w:r>
        <w:rPr>
          <w:rFonts w:ascii="Times New Roman" w:hAnsi="Times New Roman"/>
          <w:i/>
          <w:color w:val="000000"/>
          <w:sz w:val="20"/>
        </w:rPr>
        <w:t>Noovie</w:t>
      </w:r>
      <w:r>
        <w:rPr>
          <w:rFonts w:ascii="Times New Roman" w:hAnsi="Times New Roman"/>
          <w:color w:val="000000"/>
          <w:sz w:val="20"/>
        </w:rPr>
        <w:t xml:space="preserve"> Show into traditional sight-sound-and-motion media buys. </w:t>
      </w:r>
    </w:p>
    <w:p>
      <w:pPr>
        <w:pStyle w:val="TextBody"/>
        <w:bidi w:val="0"/>
        <w:spacing w:before="120" w:after="283"/>
        <w:jc w:val="left"/>
        <w:rPr>
          <w:rFonts w:ascii="Times New Roman" w:hAnsi="Times New Roman"/>
          <w:sz w:val="20"/>
        </w:rPr>
      </w:pPr>
      <w:r>
        <w:rPr>
          <w:rFonts w:ascii="Times New Roman" w:hAnsi="Times New Roman"/>
          <w:b/>
          <w:i/>
          <w:color w:val="000000"/>
          <w:sz w:val="20"/>
        </w:rPr>
        <w:t>Prime movie audience data, measurability and targeting</w:t>
      </w:r>
      <w:r>
        <w:rPr>
          <w:rFonts w:ascii="Times New Roman" w:hAnsi="Times New Roman"/>
          <w:color w:val="000000"/>
          <w:sz w:val="20"/>
        </w:rPr>
        <w:t xml:space="preserve">—As with many other advertising mediums, we are measured by third-party research companies. The People Platform (formerly Epicenter Experience LLC) measured our audience in 2025, including the total attendance that are in their seats during The </w:t>
      </w:r>
      <w:r>
        <w:rPr>
          <w:rFonts w:ascii="Times New Roman" w:hAnsi="Times New Roman"/>
          <w:i/>
          <w:color w:val="000000"/>
          <w:sz w:val="20"/>
        </w:rPr>
        <w:t xml:space="preserve">Noovie® </w:t>
      </w:r>
      <w:r>
        <w:rPr>
          <w:rFonts w:ascii="Times New Roman" w:hAnsi="Times New Roman"/>
          <w:color w:val="000000"/>
          <w:sz w:val="20"/>
        </w:rPr>
        <w:t xml:space="preserve">Show. Additionally, unlike some other advertising mediums, we also receive attendance information by film, by rating and by screen at least monthly for all of the ESA Parties’ theaters, and by location for the network affiliate theaters within the NCM Network at least monthly, which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allows us to report the actual audience size for each showing of a film where The </w:t>
      </w:r>
      <w:r>
        <w:rPr>
          <w:rFonts w:ascii="Times New Roman" w:hAnsi="Times New Roman"/>
          <w:i/>
          <w:color w:val="000000"/>
          <w:sz w:val="20"/>
        </w:rPr>
        <w:t xml:space="preserve">Noovie </w:t>
      </w:r>
      <w:r>
        <w:rPr>
          <w:rFonts w:ascii="Times New Roman" w:hAnsi="Times New Roman"/>
          <w:color w:val="000000"/>
          <w:sz w:val="20"/>
        </w:rPr>
        <w:t>Show played. We believe that the ability to provide detailed information to our clients gives us a distinct competitive advantage over traditional media platforms whose measurement is based only on extrapolations of a very small sample of the total audience.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2025, we continued to invest in the development of our cloud-based Data Management Platform (DMP), enabling us to deliver enhanced audience insights and analytics to our clients. To strengthen the connection between brands and moviegoers, we aggregate audience data from various sources within our DMP. This data supports ad targeting and provides complete attribution reporting to evaluate campaign performance. Looking ahead to 2026, we plan to further enhance the platform’s capabilities by broadening first-party data collection through strategic initiatives and integrating additional second- and third-party data sources and audience segments.</w:t>
      </w:r>
    </w:p>
    <w:p>
      <w:pPr>
        <w:pStyle w:val="TextBody"/>
        <w:bidi w:val="0"/>
        <w:spacing w:before="120" w:after="283"/>
        <w:jc w:val="left"/>
        <w:rPr>
          <w:rFonts w:ascii="Times New Roman" w:hAnsi="Times New Roman"/>
          <w:sz w:val="20"/>
        </w:rPr>
      </w:pPr>
      <w:r>
        <w:rPr>
          <w:rFonts w:ascii="Times New Roman" w:hAnsi="Times New Roman"/>
          <w:b/>
          <w:i/>
          <w:color w:val="000000"/>
          <w:sz w:val="20"/>
        </w:rPr>
        <w:t>Integrated marketing and digital products</w:t>
      </w:r>
      <w:r>
        <w:rPr>
          <w:rFonts w:ascii="Times New Roman" w:hAnsi="Times New Roman"/>
          <w:color w:val="000000"/>
          <w:sz w:val="20"/>
        </w:rPr>
        <w:t>—Our ability to bundle our on-screen advertising opportunities with integrated lobby, digital marketing and digital out-of-home products allows us to offer advertisers multiple touchpoints to reach movie audiences anytime and anywhere to execute true 360-degree marketing programs. We believe these multiple marketing impressions throughout the entire entertainment experience allow our advertisers to extend the exposure for their brands and products and create a more engaging relationship with movie audiences in every stage of their movie journey. Additionally, our NCMx data platform makes cinema advertising more measurable, targetable and attributable than ever before. We power the NCMx suite of products with first-, second- and third-party data to better reach advertising clients’ target audiences with higher degrees of accuracy and measure a variety of business outcomes more accurately.</w:t>
      </w:r>
    </w:p>
    <w:p>
      <w:pPr>
        <w:pStyle w:val="TextBody"/>
        <w:bidi w:val="0"/>
        <w:spacing w:before="120" w:after="283"/>
        <w:jc w:val="left"/>
        <w:rPr>
          <w:rFonts w:ascii="Times New Roman" w:hAnsi="Times New Roman"/>
          <w:sz w:val="20"/>
        </w:rPr>
      </w:pPr>
      <w:r>
        <w:rPr>
          <w:rFonts w:ascii="Times New Roman" w:hAnsi="Times New Roman"/>
          <w:b/>
          <w:i/>
          <w:color w:val="000000"/>
          <w:sz w:val="20"/>
        </w:rPr>
        <w:t>Contractual theater circuit and advertiser relationships</w:t>
      </w:r>
      <w:r>
        <w:rPr>
          <w:rFonts w:ascii="Times New Roman" w:hAnsi="Times New Roman"/>
          <w:color w:val="000000"/>
          <w:sz w:val="20"/>
        </w:rPr>
        <w:t>—Our exclusive multi-year contractual relationships with our ESA Parties and network affiliates allow us to offer advertisers a national network with the scale, flexibility and targeting to meet their marketing needs. Our exclusive contractual relationships with our content partners and courtesy PSA sponsors, as well as our agreements to satisfy the ESA Parties’ on-screen marketing obligations to their beverage concessionaires, provide us with a significant upfront revenue commitment, accounting for approximately 17.1% and 19.0% of our total revenue for the years ended January 1, 2026 and December 26, 2024, respectively. In addition, our participation in the annual advertising upfront marketplace has allowed us to secure significant annual upfront commitments from national advertisers looking to secure premium cinema inventory. These upfront commitments accounted for approximately 28.9% and 30.1% of our total revenue for the years ended January 1, 2026 and December 26, 2024, respectively.</w:t>
      </w:r>
    </w:p>
    <w:p>
      <w:pPr>
        <w:pStyle w:val="TextBody"/>
        <w:bidi w:val="0"/>
        <w:spacing w:before="120" w:after="283"/>
        <w:jc w:val="left"/>
        <w:rPr>
          <w:rFonts w:ascii="Times New Roman" w:hAnsi="Times New Roman"/>
          <w:sz w:val="20"/>
        </w:rPr>
      </w:pPr>
      <w:r>
        <w:rPr>
          <w:rFonts w:ascii="Times New Roman" w:hAnsi="Times New Roman"/>
          <w:b/>
          <w:i/>
          <w:color w:val="000000"/>
          <w:sz w:val="20"/>
        </w:rPr>
        <w:t>Limited capital requirements</w:t>
      </w:r>
      <w:r>
        <w:rPr>
          <w:rFonts w:ascii="Times New Roman" w:hAnsi="Times New Roman"/>
          <w:color w:val="000000"/>
          <w:sz w:val="20"/>
        </w:rPr>
        <w:t>—NCM LLC’s capital expenditures were 3.4% and 2.3% of revenue for the years ended January 1, 2026 and December 26, 2024, respectively. For the year ended January 1, 2026, our capital expenditures and other investments were $8.3 million</w:t>
      </w:r>
      <w:r>
        <w:rPr>
          <w:rFonts w:ascii="Times New Roman" w:hAnsi="Times New Roman"/>
          <w:color w:val="FF0000"/>
          <w:sz w:val="20"/>
        </w:rPr>
        <w:t xml:space="preserve"> </w:t>
      </w:r>
      <w:r>
        <w:rPr>
          <w:rFonts w:ascii="Times New Roman" w:hAnsi="Times New Roman"/>
          <w:color w:val="000000"/>
          <w:sz w:val="20"/>
        </w:rPr>
        <w:t>with $2.9 million associated with network affiliate additions, $2.7 million associated with continued upgrades within our cinema advertising management system and associated reporting; $0.9 million associated with leasehold improvements; $0.7 million associated with digital product development; and $0.5 million associated with certain implementation and prepaid costs associated with cloud computing arrangements. Due to the network equipment investments made in theaters by us and in conjunction our ESA Parties under the ESA, and the scalable nature of our Customer Experience Center and other infrastructure, we do not expect to need major capital investments to grow our operations as our network of theaters continues to expand. We do expect to incur some capital investments in order to integrate the Spotlight Cinema Network and potentially modernize the technology within certain exhibitor lobbies. Additionally, as we continue to move our technology to cloud-based Software as a Service (“SaaS”) platforms, we expect to continue to reduce our annual capital expenditure spending. However, operating expenses associated with the SaaS licenses will continue to increase. Certain implementation costs of our SaaS platforms were capitalized during the implementation period and are recognized within operating income over the term of the SaaS contract once the systems are fully implemented.</w:t>
      </w:r>
    </w:p>
    <w:p>
      <w:pPr>
        <w:pStyle w:val="TextBody"/>
        <w:bidi w:val="0"/>
        <w:spacing w:before="120" w:after="283"/>
        <w:jc w:val="left"/>
        <w:rPr>
          <w:rFonts w:ascii="Times New Roman" w:hAnsi="Times New Roman"/>
          <w:sz w:val="20"/>
        </w:rPr>
      </w:pPr>
      <w:r>
        <w:rPr>
          <w:rFonts w:ascii="Times New Roman" w:hAnsi="Times New Roman"/>
          <w:b/>
          <w:color w:val="000000"/>
          <w:sz w:val="20"/>
        </w:rPr>
        <w:t>Our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continuing to pursue a growth strategy that we believe will create significant value following the normalization of our operations. Our strategy includes the following key components: </w:t>
      </w:r>
    </w:p>
    <w:p>
      <w:pPr>
        <w:pStyle w:val="TextBody"/>
        <w:bidi w:val="0"/>
        <w:spacing w:before="120" w:after="283"/>
        <w:jc w:val="left"/>
        <w:rPr>
          <w:rFonts w:ascii="Times New Roman" w:hAnsi="Times New Roman"/>
          <w:sz w:val="20"/>
        </w:rPr>
      </w:pPr>
      <w:r>
        <w:rPr>
          <w:rFonts w:ascii="Times New Roman" w:hAnsi="Times New Roman"/>
          <w:b/>
          <w:i/>
          <w:color w:val="000000"/>
          <w:sz w:val="20"/>
        </w:rPr>
        <w:t>Increase the Value of Cinema Media</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intend to drive an increase in value through innovation and optimization of our current product offerings. Beginning in 2019 and further expanded with the 2025 AMC Agreement, we have achieved one of our key initiatives by obtaining inventory for The </w:t>
      </w:r>
      <w:r>
        <w:rPr>
          <w:rFonts w:ascii="Times New Roman" w:hAnsi="Times New Roman"/>
          <w:i/>
          <w:color w:val="000000"/>
          <w:sz w:val="20"/>
        </w:rPr>
        <w:t xml:space="preserve">Noovie® </w:t>
      </w:r>
      <w:r>
        <w:rPr>
          <w:rFonts w:ascii="Times New Roman" w:hAnsi="Times New Roman"/>
          <w:color w:val="000000"/>
          <w:sz w:val="20"/>
        </w:rPr>
        <w:t xml:space="preserve">Show after the advertised showtime in almost all of our theaters as of January 1, 2026, based upon attendance. This Post-Showtime Inventory consists of a total of five to ten minutes depending upon the ESA Party or affiliate between the lights-down segment beginning just after the advertised movie showtime and including trailer lighting and the 30- or 60-second Platinum Spot deeply embedded within the movie trailers with trailer lighting and full trailer volume. Nearly every Spotlight exhibitor includes approximately two to five minutes of Post-Showtime Inventory, resulting in 97.0% of our combined networks including Post-Showtime Inventory as of January 1, 2026. We believe this inventory constitutes prized and impactful ad spots. We believe our local and regional clients also benefit from better inventory as their placement is closer to the advertised showtime. Within the Regal Advertising Affiliate Agreement, effective on July 14, 2023, we began advertising for five additional minutes after the posted showtime for a total of ten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minutes. Within the 2025 AMC Agreement, we began advertising for five minutes after the posted showtime and in the Platinum Spot. We believe this higher value inventory, combined with an entertaining and engaging show that is integrated with our </w:t>
      </w:r>
      <w:r>
        <w:rPr>
          <w:rFonts w:ascii="Times New Roman" w:hAnsi="Times New Roman"/>
          <w:i/>
          <w:color w:val="000000"/>
          <w:sz w:val="20"/>
        </w:rPr>
        <w:t>Noovie</w:t>
      </w:r>
      <w:r>
        <w:rPr>
          <w:rFonts w:ascii="Times New Roman" w:hAnsi="Times New Roman"/>
          <w:color w:val="000000"/>
          <w:sz w:val="20"/>
        </w:rPr>
        <w:t xml:space="preserve"> digital ecosystem, provides a unique cross-platform premium video product that will stand out in the media marketplace. We also believe it will help mitigate the potential future impact of reserved seating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relationships with our exhibitors are a key focus of our business. Our Affiliate Partnerships team is dedicated to serving the needs of our ESA Parties’ theater circuits and our 41 network affiliates nationwide in the NCM Network as of January 1, 2026. We plan to continue to expand our affiliate network by strategically targeting priority exhibitors who are not currently part of our network and whose cinema advertising contracts will be coming up for renewal in the next several years in order to add key affiliates and screens in select markets. This will allow us to increase our revenue by increasing the number of impressions we have available to sell to advertisers, extending our reach to additional markets to further improve our national footprint for brands looking to reach those audiences and strengthening our reach in markets we are already in for greater saturation in those DMAs. In 2025, we acquired Spotlight, adding 108 exhibitors and approximately 30.0 million annual attendees to our network. In January 2024, we renewed our exhibitor agreement with Santikos Enterprises through December 31, 2028, one of the largest cinema operators in the U.S, which operates a circuit of 27 theaters with 377 screens.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strategy to demonstrate the effectiveness and accountability of cinema as a premium advertising medium, the Company continues to invest in independent measurement to quantify media quality, attention and outcomes. Third-party studies have consistently shown that cinema advertising delivers materially higher attention than other video environments.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2023, the Company released a comprehensive attention study conducted by Lumen, an independent attention measurement provider, which found that cinema generates four to seven times greater attention than television, connected TV, online video, social media, and other digital platforms. The study demonstrated longer sustained attention and higher engagement throughout ad playback, as well as a direct relationship between attention metrics and brand outcomes, including recall and brand choice.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findings have been reinforced through ongoing measurement partnerships, including with Adelaide. Using Adelaide’s Attention Unit (AU) framework, cinema campaigns measured across multiple years have consistently exceeded digital and premium video benchmarks, placing cinema among the highest-quality media environments measured. Together, these studies demonstrate that cinema’s attention advantage is durable and repeatable across campaigns, categories and time.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Expand our Marketplace through Data and Programmatic Capabilities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has expanded its outcome measurement and attribution capabilities through NCMx, its proprietary data and technology platform, which integrates exposure data with third-party datasets to measure incremental reach, visitation and downstream actions. The Company has also continued to scale its programmatic capabilities through integrations with leading supply-side platforms, including Place Exchange and Vistar, enabling increased access to programmatic demand while maintaining premium media quality and measurement standards. We also intend to ensure our technology infrastructure is built to support sustained revenue growth. Following the development of programmatic LEN capabilities in 2021, in 2024 we launched two new offerings for on-screen advertising; programmatic and self-serve. Programmatic offers real-time data-driven trading of cinema advertising inventory, allowing bidding on available audiences during The </w:t>
      </w:r>
      <w:r>
        <w:rPr>
          <w:rFonts w:ascii="Times New Roman" w:hAnsi="Times New Roman"/>
          <w:i/>
          <w:color w:val="000000"/>
          <w:sz w:val="20"/>
        </w:rPr>
        <w:t xml:space="preserve">Noovie </w:t>
      </w:r>
      <w:r>
        <w:rPr>
          <w:rFonts w:ascii="Times New Roman" w:hAnsi="Times New Roman"/>
          <w:color w:val="000000"/>
          <w:sz w:val="20"/>
        </w:rPr>
        <w:t>Show. Buyers can choose from programmatic guaranteed and private marketplace options, and programmatic buys can be customized by reach, geography, film rating, day of the week and time of day. Additionally, through NCM's fully automated self-serve solution, local and regional companies can plan, buy, and schedule their ads to run on the big screen.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Optimize Operation Effectiveness and Efficiency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ensure our technology infrastructure is built to support sustained revenue growth. We continue to further enhance our cinema advertising management system implemented in January of 2021, most recently with the additional functionality of programmatic and self-serve, as discussed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technology continues to evolve, we will further assess our strategy in order to best leverage its capabilities including through use of artificial intelligence and automation, as applicable, as we continue our focus on increasing both revenue growth and cost efficiencies within our broader business processes.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Intellectual Property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been granted a perpetual, royalty-free license from the ESA Parties to use certain proprietary software for the delivery of digital advertising and other content through our DCN to screens in the U.S. We have made improvements to this software since our IPO and we own those improvements exclusively, except for improvements that were developed jointly with the ESA Parties.</w:t>
      </w:r>
    </w:p>
    <w:p>
      <w:pPr>
        <w:pStyle w:val="TextBody"/>
        <w:bidi w:val="0"/>
        <w:spacing w:before="120" w:after="283"/>
        <w:jc w:val="left"/>
        <w:rPr>
          <w:rFonts w:ascii="Times New Roman" w:hAnsi="Times New Roman"/>
          <w:sz w:val="20"/>
        </w:rPr>
      </w:pPr>
      <w:r>
        <w:rPr>
          <w:rFonts w:ascii="Times New Roman" w:hAnsi="Times New Roman"/>
          <w:color w:val="000000"/>
          <w:sz w:val="20"/>
        </w:rPr>
        <w:t>We have secured U.S. trademark registrations for NCM</w:t>
      </w:r>
      <w:r>
        <w:rPr>
          <w:rFonts w:ascii="Times New Roman" w:hAnsi="Times New Roman"/>
          <w:i/>
          <w:color w:val="000000"/>
          <w:sz w:val="20"/>
        </w:rPr>
        <w:t>®</w:t>
      </w:r>
      <w:r>
        <w:rPr>
          <w:rFonts w:ascii="Times New Roman" w:hAnsi="Times New Roman"/>
          <w:color w:val="000000"/>
          <w:sz w:val="20"/>
        </w:rPr>
        <w:t>, National CineMedia</w:t>
      </w:r>
      <w:r>
        <w:rPr>
          <w:rFonts w:ascii="Times New Roman" w:hAnsi="Times New Roman"/>
          <w:i/>
          <w:color w:val="000000"/>
          <w:sz w:val="20"/>
        </w:rPr>
        <w:t>®,</w:t>
      </w:r>
      <w:r>
        <w:rPr>
          <w:rFonts w:ascii="Times New Roman" w:hAnsi="Times New Roman"/>
          <w:color w:val="000000"/>
          <w:sz w:val="20"/>
        </w:rPr>
        <w:t xml:space="preserve"> </w:t>
      </w:r>
      <w:r>
        <w:rPr>
          <w:rFonts w:ascii="Times New Roman" w:hAnsi="Times New Roman"/>
          <w:i/>
          <w:color w:val="000000"/>
          <w:sz w:val="20"/>
        </w:rPr>
        <w:t xml:space="preserve">Noovie® </w:t>
      </w:r>
      <w:r>
        <w:rPr>
          <w:rFonts w:ascii="Times New Roman" w:hAnsi="Times New Roman"/>
          <w:color w:val="000000"/>
          <w:sz w:val="20"/>
        </w:rPr>
        <w:t xml:space="preserve">and </w:t>
      </w:r>
      <w:r>
        <w:rPr>
          <w:rFonts w:ascii="Times New Roman" w:hAnsi="Times New Roman"/>
          <w:i/>
          <w:color w:val="000000"/>
          <w:sz w:val="20"/>
        </w:rPr>
        <w:t>NCMx</w:t>
      </w:r>
      <w:r>
        <w:rPr>
          <w:rFonts w:ascii="Times New Roman" w:hAnsi="Times New Roman"/>
          <w:color w:val="000000"/>
          <w:sz w:val="20"/>
        </w:rPr>
        <w:t>. Following the acquisition of Spotlight, the Company acquired an additional trademark registration for Spotlight Cinema Networks</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Cinelife® and Cinelife Entertainment®. </w:t>
      </w:r>
      <w:r>
        <w:rPr>
          <w:rFonts w:ascii="Times New Roman" w:hAnsi="Times New Roman"/>
          <w:color w:val="000000"/>
          <w:sz w:val="20"/>
        </w:rPr>
        <w:t>It is our practice to defend our trademarks and other intellectual property rights, including the associated goodwill, from infringement by others. We are aware that other persons or entities may use names and marks containing variations of our registered trademarks and other marks and trade names. Potentially, claims alleging infringement of intellectual property rights, such as trademark infringement, could be brought against us by the users of those other names and marks. If any such infringement claim were to prove successful in preventing us from either using or prohibiting a competitor’s use of our registered trademarks or other marks or trade names, our ability to build brand identity could be negatively impacted.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maintain a website at </w:t>
      </w:r>
      <w:r>
        <w:rPr>
          <w:rFonts w:ascii="Times New Roman" w:hAnsi="Times New Roman"/>
          <w:i/>
          <w:color w:val="000000"/>
          <w:sz w:val="20"/>
        </w:rPr>
        <w:t>www.ncm.com</w:t>
      </w:r>
      <w:r>
        <w:rPr>
          <w:rFonts w:ascii="Times New Roman" w:hAnsi="Times New Roman"/>
          <w:color w:val="000000"/>
          <w:sz w:val="20"/>
        </w:rPr>
        <w:t xml:space="preserve">, on which we post free of charge our annual reports on Form 10-K, quarterly reports on Form 10-Q, current reports on Form 8-K and any amendments to these reports (under the heading “Investor Relations” located at the bottom of the home page) after we electronically file such material with, or furnish it to, the Securities and Exchange Commission (the “SEC”). We also regularly post information about the Company on the Investor Relations page. We do not incorporate the information on our website into this document and you should not consider any information on, or that can be accessed through, our website as part of this document. The SEC also maintains a website that contains our reports and other information at </w:t>
      </w:r>
      <w:r>
        <w:rPr>
          <w:rFonts w:ascii="Times New Roman" w:hAnsi="Times New Roman"/>
          <w:i/>
          <w:color w:val="000000"/>
          <w:sz w:val="20"/>
        </w:rPr>
        <w:t>www.sec.gov</w:t>
      </w:r>
      <w:r>
        <w:rPr>
          <w:rFonts w:ascii="Times New Roman" w:hAnsi="Times New Roman"/>
          <w:color w:val="000000"/>
          <w:sz w:val="20"/>
        </w:rPr>
        <w:t>.</w:t>
      </w:r>
    </w:p>
    <w:p>
      <w:pPr>
        <w:pStyle w:val="TextBody"/>
        <w:bidi w:val="0"/>
        <w:spacing w:before="120" w:after="283"/>
        <w:jc w:val="both"/>
        <w:rPr>
          <w:rFonts w:ascii="Times New Roman" w:hAnsi="Times New Roman"/>
          <w:sz w:val="20"/>
        </w:rPr>
      </w:pPr>
      <w:bookmarkStart w:id="3" w:name="item_1a_risk_factors"/>
      <w:bookmarkEnd w:id="3"/>
      <w:r>
        <w:rPr>
          <w:rFonts w:ascii="Times New Roman" w:hAnsi="Times New Roman"/>
          <w:b/>
          <w:color w:val="000000"/>
          <w:sz w:val="20"/>
        </w:rPr>
        <w:t xml:space="preserve">Item 1A. </w:t>
      </w:r>
      <w:r>
        <w:rPr>
          <w:rFonts w:ascii="Times New Roman" w:hAnsi="Times New Roman"/>
          <w:b/>
          <w:color w:val="000000"/>
          <w:sz w:val="20"/>
          <w:u w:val="single"/>
        </w:rPr>
        <w:t>Risk Factors</w:t>
      </w:r>
    </w:p>
    <w:p>
      <w:pPr>
        <w:pStyle w:val="TextBody"/>
        <w:bidi w:val="0"/>
        <w:spacing w:before="120" w:after="283"/>
        <w:jc w:val="left"/>
        <w:rPr>
          <w:rFonts w:ascii="Times New Roman" w:hAnsi="Times New Roman"/>
          <w:sz w:val="20"/>
        </w:rPr>
      </w:pPr>
      <w:r>
        <w:rPr>
          <w:rFonts w:ascii="Times New Roman" w:hAnsi="Times New Roman"/>
          <w:i/>
          <w:color w:val="000000"/>
          <w:sz w:val="20"/>
        </w:rPr>
        <w:t>Ownership of the common stock and other securities of the Company involves certain risks. You should carefully consider the following material risks and other information in this document, including our historical financial statements and related notes included herein. The material risks and uncertainties described in this document are not the only ones facing us. If any of the risks and uncertainties described in this document actually occur, our business, financial condition and results of operations could be adversely affected in a material way. This could cause the trading price of our common stock to decline, perhaps significantly, and you may lose part or all of your investment.</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Significant declines in theater attendance could reduce the attractiveness of cinema advertising and could reduce our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affected by the level of attendance at the theaters in our advertising network that operate in a highly competitive industry and whose attendance is reliant on the presence of motion pictures that attract audiences. The value of our advertising business could be adversely affected by a decline in theater attendance or even the perception by media buyers that our network is no longer relevant to their marketing plan due to the decreases in attendance and geographic coverage. Factors that could reduce attendance at our network theaters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NCM LLC’s network theater circuits cannot compete with other entertainment due to an increase in the use of alternative film delivery methods (and the shortening or elimination of the “release window” of major motion pictures bypassing the theater entirely), including network and online video streaming and downloads;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theater circuits in NCM LLC’s network are expected to continue to renovate auditoriums in certain of their theaters to install new larger, more comfortable seating or adjust seating arrangements, reducing the number of seats and the audience size in a theater auditorium. These renovations have been viewed favorably by patrons and many theater circuits have noted an intent to continue such renovations;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changes in theater operating policies, including the number and length of trailers for films that are played prior to the start of the feature film, which may result in most or all of The</w:t>
      </w:r>
      <w:r>
        <w:rPr>
          <w:color w:val="000000"/>
        </w:rPr>
        <w:t xml:space="preserve"> </w:t>
      </w:r>
      <w:r>
        <w:rPr>
          <w:rFonts w:ascii="Times New Roman" w:hAnsi="Times New Roman"/>
          <w:i/>
          <w:color w:val="000000"/>
          <w:sz w:val="20"/>
        </w:rPr>
        <w:t xml:space="preserve">Noovie® </w:t>
      </w:r>
      <w:r>
        <w:rPr>
          <w:rFonts w:ascii="Times New Roman" w:hAnsi="Times New Roman"/>
          <w:color w:val="000000"/>
          <w:sz w:val="20"/>
        </w:rPr>
        <w:t>Show starting further out from the actual start of the feature film;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reduction in consumer confidence or disposable income in general that reduces the demand for motion pictures or adversely affects the motion picture production or exhibition industries;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first-run motion pictures, which depends upon the number of films produced for theater exhibition and the production and marketing efforts of the major studios and the attractiveness and value proposition of the movies to consumers compared to other forms of entertainment;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writers', actors' or other film production-related strikes that impact the availability of feature films;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political events, such as terrorist attacks, or health-related epidemics, such as flu outbreaks, and pandemics, such as the COVID-19 Pandemic, cause consumers to avoid movie theaters or other places where large crowds are in attendance (for example the outbreak of the novel corona virus or COVID-19 in 2020 (the "COVID-19 Pandemic");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 regulations or theater operating policies that require higher levels of social distancing, restriction of capacity or prohibition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theaters in our network fail to maintain and clean their theaters and provide amenities that consumers prefer;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future theater attendance declines significantly over an extended time period, one or more of NCM LLC’s network theater circuits may face financial difficulties and could be forced to sell or close theaters or reduce the number of screens it builds or upgrades or increase ticket prices;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NCM LLC’s network theater circuits also may not successfully compete for licenses to exhibit quality films and are not assured a consistent supply of motion pictures.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these circumstances could reduce our revenue because our national and regional advertising revenue, and local advertising revenue to a lesser extent, depends on the number of theater patrons who attend movies. Additionally, if attendance underperforms against expectations or declines significantly, the Company will be required to provide additional advertising time (makegoods) to national advertisers to reach agreed-on audience delivery thresholds. Certain of these circumstances can also lead to volatility within our utilization, which typically varies more than 10% on an annual basis and even more substantially quarter-to-quarter.</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theater patron behavior could result in declines in the viewership of The Noovie®</w:t>
      </w:r>
      <w:r>
        <w:rPr>
          <w:rFonts w:ascii="Times New Roman" w:hAnsi="Times New Roman"/>
          <w:color w:val="000000"/>
          <w:sz w:val="20"/>
        </w:rPr>
        <w:t xml:space="preserve"> </w:t>
      </w:r>
      <w:r>
        <w:rPr>
          <w:rFonts w:ascii="Times New Roman" w:hAnsi="Times New Roman"/>
          <w:b/>
          <w:color w:val="000000"/>
          <w:sz w:val="20"/>
        </w:rPr>
        <w:t>S</w:t>
      </w:r>
      <w:r>
        <w:rPr>
          <w:rFonts w:ascii="Times New Roman" w:hAnsi="Times New Roman"/>
          <w:b/>
          <w:i/>
          <w:color w:val="000000"/>
          <w:sz w:val="20"/>
        </w:rPr>
        <w:t>how which could reduce the attractiveness of cinema advertising and our revenues.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value of our national and regional on-screen advertising and to a lesser extent our local advertising is based on the number of theater patrons that are in their seats and thus have the opportunity to view The </w:t>
      </w:r>
      <w:r>
        <w:rPr>
          <w:rFonts w:ascii="Times New Roman" w:hAnsi="Times New Roman"/>
          <w:i/>
          <w:color w:val="000000"/>
          <w:sz w:val="20"/>
        </w:rPr>
        <w:t xml:space="preserve">Noovie </w:t>
      </w:r>
      <w:r>
        <w:rPr>
          <w:rFonts w:ascii="Times New Roman" w:hAnsi="Times New Roman"/>
          <w:color w:val="000000"/>
          <w:sz w:val="20"/>
        </w:rPr>
        <w:t xml:space="preserve">Show. Trends in patron behavior that could reduce viewership of The </w:t>
      </w:r>
      <w:r>
        <w:rPr>
          <w:rFonts w:ascii="Times New Roman" w:hAnsi="Times New Roman"/>
          <w:i/>
          <w:color w:val="000000"/>
          <w:sz w:val="20"/>
        </w:rPr>
        <w:t xml:space="preserve">Noovie </w:t>
      </w:r>
      <w:r>
        <w:rPr>
          <w:rFonts w:ascii="Times New Roman" w:hAnsi="Times New Roman"/>
          <w:color w:val="000000"/>
          <w:sz w:val="20"/>
        </w:rPr>
        <w:t>Show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theater patrons are increasingly purchasing tickets ahead of time via online ticketing mediums and when available reserving a seat in the theater (offered in a significant percentage of our network), which could affect how early patrons arrive to the theater and reduce the number of patrons that are in a theater seat to view most or all of The</w:t>
      </w:r>
      <w:r>
        <w:rPr>
          <w:color w:val="000000"/>
        </w:rPr>
        <w:t xml:space="preserve"> </w:t>
      </w:r>
      <w:r>
        <w:rPr>
          <w:rFonts w:ascii="Times New Roman" w:hAnsi="Times New Roman"/>
          <w:i/>
          <w:color w:val="000000"/>
          <w:sz w:val="20"/>
        </w:rPr>
        <w:t xml:space="preserve">Noovie </w:t>
      </w:r>
      <w:r>
        <w:rPr>
          <w:rFonts w:ascii="Times New Roman" w:hAnsi="Times New Roman"/>
          <w:color w:val="000000"/>
          <w:sz w:val="20"/>
        </w:rPr>
        <w:t>Show;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COVID-19 Pandemic, certain consumers changed their behavior in order to avoid large groups and other public indoor activities, and these behavior changes could become a long-term trend;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certain theater chains have increased the number of trailers and time devoted to other programming prior to the display of the feature film, and in combination with our Post-Showtime Inventory, may cause patrons to arrive later to theaters and reduce the number of patrons that are in a theater seat to view most or all of The </w:t>
      </w:r>
      <w:r>
        <w:rPr>
          <w:rFonts w:ascii="Times New Roman" w:hAnsi="Times New Roman"/>
          <w:i/>
          <w:color w:val="000000"/>
          <w:sz w:val="20"/>
        </w:rPr>
        <w:t xml:space="preserve">Noovie </w:t>
      </w:r>
      <w:r>
        <w:rPr>
          <w:rFonts w:ascii="Times New Roman" w:hAnsi="Times New Roman"/>
          <w:color w:val="000000"/>
          <w:sz w:val="20"/>
        </w:rPr>
        <w:t>Show;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theater patron amenities, including bars and entertainment within exhibitor lobbies causing increased dwell time of patrons.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National advertising sales and rates are dependent on the methodology used to measure audience impressions. If a change is made to this methodology that reflects fewer audience impressions available during the show, this could adversely affect the Company’s revenue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the ESAs with, or lack of support by, the ESA Parties could adversely affect our revenue, growth and profitability.</w:t>
      </w:r>
    </w:p>
    <w:p>
      <w:pPr>
        <w:pStyle w:val="TextBody"/>
        <w:bidi w:val="0"/>
        <w:spacing w:before="120" w:after="283"/>
        <w:jc w:val="left"/>
        <w:rPr>
          <w:rFonts w:ascii="Times New Roman" w:hAnsi="Times New Roman"/>
          <w:sz w:val="20"/>
        </w:rPr>
      </w:pPr>
      <w:r>
        <w:rPr>
          <w:rFonts w:ascii="Times New Roman" w:hAnsi="Times New Roman"/>
          <w:color w:val="000000"/>
          <w:sz w:val="20"/>
        </w:rPr>
        <w:t>The ESAs with the ESA Parties are critical to our business. The ESA with AMC (as amended by the 2025 ESA Amendment) has a term of 35 years and the ESA with Cinemark (as amended by the 2019 ESA Amendment) has a term of 34 years, each such term beginning February 13, 2007. The Cinemark ESA provides NCM LLC with a five-year right of first refusal for the services that it provides to Cinemark, which begins one year prior to the end of the term of each respective ESA. The ESA Parties’ theaters represent approximately 52.9% of the screens and approximately 63.0% of the attendance in the NCM Network as of January 1, 2026.</w:t>
      </w:r>
      <w:r>
        <w:rPr>
          <w:rFonts w:ascii="Times New Roman" w:hAnsi="Times New Roman"/>
          <w:color w:val="FF0000"/>
          <w:sz w:val="20"/>
        </w:rPr>
        <w:t xml:space="preserve"> </w:t>
      </w:r>
      <w:r>
        <w:rPr>
          <w:rFonts w:ascii="Times New Roman" w:hAnsi="Times New Roman"/>
          <w:color w:val="000000"/>
          <w:sz w:val="20"/>
        </w:rPr>
        <w:t>If either ESA were terminated, not renewed at its expiration, rejected in a bankruptcy proceeding, or found to be unenforceable, it could have a material negative impact on our revenue, profitability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ESAs require the continuing cooperation, investment and support of the ESA Parties, the absence of which could adversely affect us. Pursuant to the ESAs, the ESA Parties must make investments to replace network equipment within their theaters and equip newly constructed theaters with digital network equipment. If the ESA Parties do not have adequate financial resources or operational strength, and if they do not replace equipment or equip new theaters to maintain the level of operating functionality that we have today, or if such equipment becomes obsolete, we may have to make additional capital expenditures or our advertising revenue and operating margins may decline. In addition, the ESAs give the ESA Parties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right to object to certain content in The </w:t>
      </w:r>
      <w:r>
        <w:rPr>
          <w:rFonts w:ascii="Times New Roman" w:hAnsi="Times New Roman"/>
          <w:i/>
          <w:color w:val="000000"/>
          <w:sz w:val="20"/>
        </w:rPr>
        <w:t>Noovie</w:t>
      </w:r>
      <w:r>
        <w:rPr>
          <w:rFonts w:ascii="Times New Roman" w:hAnsi="Times New Roman"/>
          <w:b/>
          <w:i/>
          <w:color w:val="000000"/>
          <w:sz w:val="20"/>
        </w:rPr>
        <w:t>®</w:t>
      </w:r>
      <w:r>
        <w:rPr>
          <w:rFonts w:ascii="Times New Roman" w:hAnsi="Times New Roman"/>
          <w:color w:val="000000"/>
          <w:sz w:val="20"/>
        </w:rPr>
        <w:t xml:space="preserve"> Show, including content that competes with us or the applicable ESA Party. If the ESA Parties do not agree with our decisions on what content, strategic program or partnerships are permitted under the ESAs, we may lose advertising clients and the resulting revenue, which would harm our business.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the non-competition provisions of the ESAs or other advertising agreements are deemed unenforceable, the counterparties could compete against us and our business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certain limited exceptions, each of the ESAs and other network affiliate agreements prohibits the applicable counterparty from engaging in any of the business activities that we provide in the counterparty’s theaters under the ESAs and network affiliate agreements, and the ESAs and certain network affiliate agreements prohibit the counterparty from owning interests in other entities that compete with us. These provisions are intended to prevent the counterparties from harming our business by providing cinema advertising services directly to their theaters or by entering into agreements with other third-party cinema advertising providers. However, under state and federal law, a court may determine that a non-competition covenant is unenforceable, in whole or in part, for reasons including, but not limited to, the court’s determination that the covenant: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 not necessary to protect a legitimate business interest of the party seeking enforcement;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unreasonably restrains the party against whom enforcement is sought;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 contrary to the public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Enforceability of a non-competition covenant is determined by a court based on all of the facts and circumstances of the specific case at the time enforcement is sought, including the type of court hearing the matter. For this reason, it is not possible for us to predict whether, or to what extent, a court would enforce the non-competition provisions contained in the ESAs and network affiliate agreements. If a court were to determine that the non-competition provisions are unenforceable, the counterparties could compete directly against us or enter into an agreement with another cinema advertising provider that competes against us. Any inability to enforce the non-competition provisions, in whole or in part, could cause our revenue to decline and could have a material negative impact on our business. If NCM seeks to enforce the non-competition provisions in connection with a counterparty’s bankruptcy, the bankruptcy court may be a less favorable venue for adjudicating the implicated provisions and result in a different outcome than would occur outside of bankruptcy.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ESA with an ESA Party that has declared bankruptcy may be rejected, renegotiated or deemed unenforceable.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the COVID-19 Pandemic, all of the theaters in NCM LLC’s network were temporarily closed and were required to seek additional financing through various methods leading to significant levels of financial distress. On September 7, 2022, Cineworld Group plc, the parent company of Regal, and certain of its subsidiaries, including Regal, Regal Cinemas, Inc., formerly a party to an ESA, and Regal CineMedia Holdings, LLC, formerly a party to other agreements with NCM LLC and NCM, Inc., filed petitions for reorganization under Chapter 11 of the United States Bankruptcy Code in the Southern District of Texas (the “Cineworld Proceeding”). In addition, each of the other ESA Parties currently has a significant amount of indebtedness with varying maturity dates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bankruptcy case were commenced by or against another ESA Party, it is possible that all or part of the ESA with the applicable ESA Party could be rejected by a trustee in the bankruptcy case pursuant to Section 365 or Section 1123 of the United States Bankruptcy Code, or by the ESA Party, and thus not be enforceable. On October 21, 2022, Regal filed a motion to reject its ESA without specifying an effective date for the rejection and indicated that Regal intended to negotiate with the Company regarding the ESA. NCM LLC filed a complaint against Regal seeking declaratory relief and an injunction prohibiting Regal from breaching certain exclusivity, non-compete, non-negotiate and confidentiality provisions in the ESA by entering into a new agreement with a third-party or bringing any of the services performed by NCM LLC in-house. Following negotiations, NCM LLC and Regal entered into a Network Affiliate Transaction Agreement (the “Regal Advertising Agreement”) and a separate termination agreement, pursuant to which, effective on July 14, 2023, Regal rejected and terminated its ESA and waived all rights and interests in the other agreements Regal and its affiliates were a party to with NCM LLC. In the event another ESA Party declares bankruptcy, NCM LLC may be required to litigate its rights and negotiate with the bankrupt ESA Party, which would have a negative impact on our business, operations and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as a part of the Cineworld Proceeding, Regal announced plans to optimize the number of theaters it operates and announced the closures of certain theaters. Should Regal or another ESA Party liquidate or dispose of theaters or remove theaters from our network through bankruptcy or for other business reasons, and if the acquirer, if applicable, did not agree to continue to allow us to sell advertising in the acquired theaters the number of theaters in our advertising networks would be reduced which in turn would reduce the number of advertising impressions available to us and thus could reduce our advertising revenue.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Pandemics, epidemics or disease outbreaks, such as the COVID-19 virus, have disrupted and could materially affect our business and the business of NCM LLC’s network theaters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COVID-19 Pandemic had a significant impact on our business and the business of NCM LLC's network theaters. As a result, we were required to take drastic measures to ensure our business survived the COVID-19 Pandemic, including furloughing and terminating employees, extending payment terms on accounts payable, and reducing or delaying planned operating and capital expenditures. Additionally, many of our network’s theaters were also required to take significant actions during the COVID-19 Pandemic and these actions have caused financial distress, including the Cineworld Proceeding, described further below. Even the perception that our business or the business of network’s theaters may be impacted, could lead to decreased advertising expenditures and other significant disruption to our business. Future pandemics could require us to implement measures similar to those implemented in response to the COVID-19 Pandemic and there can be no assurance that a future pandemic will not lead to public safety restrictions or changes in consumer behavior that will negatively impact our business, advertiser sentiment or audience attendance.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realize the anticipated benefits of additional Post-Showtime inventory or be successful in increasing the number of theaters in which NCM LLC has the right to display Post-Showtime inventory.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Beginning in 2019, NCM LLC has negotiated the right to display portions of The </w:t>
      </w:r>
      <w:r>
        <w:rPr>
          <w:rFonts w:ascii="Times New Roman" w:hAnsi="Times New Roman"/>
          <w:i/>
          <w:color w:val="000000"/>
          <w:sz w:val="20"/>
        </w:rPr>
        <w:t xml:space="preserve">Noovie® </w:t>
      </w:r>
      <w:r>
        <w:rPr>
          <w:rFonts w:ascii="Times New Roman" w:hAnsi="Times New Roman"/>
          <w:color w:val="000000"/>
          <w:sz w:val="20"/>
        </w:rPr>
        <w:t xml:space="preserve">Show after the scheduled showtime of a feature film and a Platinum Spot that is either 30 or 60 seconds of The </w:t>
      </w:r>
      <w:r>
        <w:rPr>
          <w:rFonts w:ascii="Times New Roman" w:hAnsi="Times New Roman"/>
          <w:i/>
          <w:color w:val="000000"/>
          <w:sz w:val="20"/>
        </w:rPr>
        <w:t>Noovie</w:t>
      </w:r>
      <w:r>
        <w:rPr>
          <w:rFonts w:ascii="Times New Roman" w:hAnsi="Times New Roman"/>
          <w:color w:val="000000"/>
          <w:sz w:val="20"/>
        </w:rPr>
        <w:t xml:space="preserve"> Show in the trailer position directly prior to the “attached” trailers preceding the feature film, and in certain theaters an additional 30 second spot displayed in the trailer, subject to approval from the theater owner.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Post-Showtime Inventory has resulted and will continue to result in an increase in our average CPM, revenues and Adjusted OIBDA, however we may not realize any or all such benefits and the benefits of the Post-Showtime Inventory may not exceed the additional costs NCM LLC is incurring to access the Post-Showtime Inventory. Potential difficulties and uncertainties that may impair the full realization of the anticipated benefits include, among others: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the behavior of theater patrons may change in response to the display of a portion of The </w:t>
      </w:r>
      <w:r>
        <w:rPr>
          <w:rFonts w:ascii="Times New Roman" w:hAnsi="Times New Roman"/>
          <w:i/>
          <w:color w:val="000000"/>
          <w:sz w:val="20"/>
        </w:rPr>
        <w:t xml:space="preserve">Noovie® </w:t>
      </w:r>
      <w:r>
        <w:rPr>
          <w:rFonts w:ascii="Times New Roman" w:hAnsi="Times New Roman"/>
          <w:color w:val="000000"/>
          <w:sz w:val="20"/>
        </w:rPr>
        <w:t>Show after the advertised showtime, or in response to the combination of advertising and trailers before the start of the feature film, resulting in a reduction to the number of patrons that are in a theater seat to view most or all of The</w:t>
      </w:r>
      <w:r>
        <w:rPr>
          <w:color w:val="000000"/>
        </w:rPr>
        <w:t xml:space="preserve"> </w:t>
      </w:r>
      <w:r>
        <w:rPr>
          <w:rFonts w:ascii="Times New Roman" w:hAnsi="Times New Roman"/>
          <w:i/>
          <w:color w:val="000000"/>
          <w:sz w:val="20"/>
        </w:rPr>
        <w:t xml:space="preserve">Noovie </w:t>
      </w:r>
      <w:r>
        <w:rPr>
          <w:rFonts w:ascii="Times New Roman" w:hAnsi="Times New Roman"/>
          <w:color w:val="000000"/>
          <w:sz w:val="20"/>
        </w:rPr>
        <w:t>Show;</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potential advertisers may not view the Post-Showtime Inventory as attractive due to inability to run across our entire network or view it as a premium advertising opportunity and the average CPMs for The</w:t>
      </w:r>
      <w:r>
        <w:rPr>
          <w:color w:val="000000"/>
        </w:rPr>
        <w:t xml:space="preserve"> </w:t>
      </w:r>
      <w:r>
        <w:rPr>
          <w:rFonts w:ascii="Times New Roman" w:hAnsi="Times New Roman"/>
          <w:i/>
          <w:color w:val="000000"/>
          <w:sz w:val="20"/>
        </w:rPr>
        <w:t>Noovie</w:t>
      </w:r>
      <w:r>
        <w:rPr>
          <w:color w:val="000000"/>
        </w:rPr>
        <w:t xml:space="preserve"> </w:t>
      </w:r>
      <w:r>
        <w:rPr>
          <w:rFonts w:ascii="Times New Roman" w:hAnsi="Times New Roman"/>
          <w:color w:val="000000"/>
          <w:sz w:val="20"/>
        </w:rPr>
        <w:t>Show may not increase as much as anticipated,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NCM LLC may not be able to generate sufficient revenue to satisfy any minimum guarantees required to enter into agreements for Post-Showtime inventory or sufficient minimum average CPMs required to display the Platinum Spot in Cinemark’s theaters;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the extended length of time between the advertised showtime and the beginning of the feature film may decrease the average CPM for that portion of The </w:t>
      </w:r>
      <w:r>
        <w:rPr>
          <w:rFonts w:ascii="Times New Roman" w:hAnsi="Times New Roman"/>
          <w:i/>
          <w:color w:val="000000"/>
          <w:sz w:val="20"/>
        </w:rPr>
        <w:t xml:space="preserve">Noovie </w:t>
      </w:r>
      <w:r>
        <w:rPr>
          <w:rFonts w:ascii="Times New Roman" w:hAnsi="Times New Roman"/>
          <w:color w:val="000000"/>
          <w:sz w:val="20"/>
        </w:rPr>
        <w:t>Show appearing before the advertised showtime, which may partially or fully offset any increase in average CPM for the Post-Showtime Inventory;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increased fees payable in connection with the Post-Showtime Inventory with certain counterparties may exceed the increase, if any, in revenue resulting from the access to the Post-Showtime inventory.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anticipated benefits we expect to receive as a result of the Post-Showtime Inventory are subject to factors that we do not and cannot control. Failure to realize the anticipated benefits could result in decreases in revenue and Adjusted OIBDA and diversion of management’s time and energy, and could adversely affect our business, financial condition and operating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relies heavily on technology systems, and any failures, disruptions or cyberattacks may materially and adversely affect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conduct our business, we rely on information technology networks and systems, including those managed and owned by third parties, to process, transmit and store electronic information and manage and support business processes and activities. The temporary or permanent loss of our computer equipment, internet and satellite networks, data or software systems through ransomware, data exfiltration and other cyberattacks and other security threats, termination of a material technology license or contract, operating malfunction, software virus, human error, natural disaster, power loss, terrorist attacks or other catastrophic events could disrupt our operations and cause a material negative impact and the steps that we have taken to mitigate these risks may prove to be ineffective. Although the Company maintains robust procedures, internal policies and technological security measures to safeguard its systems, including disaster recovery systems separate from our operations, robust network security and other measures to help protect our network from unauthorized access and misuse and a cyber-security insurance policy, the Company’s information technology systems or systems of the ESA Parties, network affiliates or third-party service providers could be penetrated by internal or external parties intent on extracting information, corrupting information, stealing intellectual property or trade secrets or disrupting business processes. For example, some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software vendors have previously announced that their systems were infected with malicious software, which might have impacted customers, including NCM. While NCM took prompt action to address the potential vulnerability and does not believe that there were any adverse consequences, there is no guarantee that future hacks and attacks on our network, including those through third parties, will be unsuccessful or resolved without damage to us or our customers. If information technology failures or cyber-attacks were to interrupt our advertising delivery systems, then NCM could be unable to deliver new advertising and would only be able to display advertising that has already been distributed to theaters in the short-term. This would limit NCM's ability to generate revenue until NCM is able to manually deliver revised advertising or the systems become available. Manually delivered advertising would also limit NCM's ability to optimize the distribution of advertising to maximize impressions and best meet client expectations.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potential vulnerabilities of NCM's information technology systems, NCM and its employees are also the target of cyberattacks, including malware, phishing, social engineering and other targeted attacks, that have been, at times, successful in deceiving certain employees. While NCM’s cyber security teams were able to identify and resolve these attacks prior to any significant impact on the Company, future attacks may use methods that our cyber security team is not able to identify, or our cyber security team may not identify the attacks prior to the compromise of our systems or data. Techniques used by cyber criminals to obtain unauthorized access, disable or degrade services or sabotage systems evolve frequently and may not immediately be detected, and we may be unable to implement adequate preventative measures.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are reliant on third parties for back-up, disaster recovery and other preventative systems that have failed in the past, may fail in the future and we are periodically required to obtain replacement services and migrate data, which may result in temporary lapses of protection and increased risk of disruption or data loss. Depending on the nature and scope of a disruption, if any technology network or systems fail and we are unable to recover in a timely manner, we may be unable to fulfill critical business functions, which could lead to a loss of clients and revenue, harm our reputation or interfere with our ability to comply with financial reporting and other regulatory requirements.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plans for developing additional digital or digital out-of-home revenue opportunities may not be implemented and may not be achieved.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invested significant resources in pursuing potential opportunities for revenue growth, which we describe under “Business—Our Strategy,” including the acquisition of data records. These valuable data records consist of both our own NCM first-party data from our owned-and-operated digital products and a variety of key second- and third-party data addressable consumer records, including location-based data that allows us to track when our audiences go to the movie theater to see The </w:t>
      </w:r>
      <w:r>
        <w:rPr>
          <w:rFonts w:ascii="Times New Roman" w:hAnsi="Times New Roman"/>
          <w:i/>
          <w:color w:val="000000"/>
          <w:sz w:val="20"/>
        </w:rPr>
        <w:t xml:space="preserve">Noovie </w:t>
      </w:r>
      <w:r>
        <w:rPr>
          <w:rFonts w:ascii="Times New Roman" w:hAnsi="Times New Roman"/>
          <w:color w:val="000000"/>
          <w:sz w:val="20"/>
        </w:rPr>
        <w:t>Show and where they go in the days and weeks afterwards. Our ability to increase our unique data records requires us to invest in third-party relationships, to comply with evolving privacy and data security laws, rules and regulations and to develop innovative digital properties that will increase the number of users of our digital entertainment and advertising network and mobile apps. Our ability to collect and leverage movie audience data is under increasing competitive and regulatory pressure and may be negatively impacted by changes to advertising technology, platform operator policies and privacy laws and regulation and may not deliver the future benefits that we are expecting. It is important that we maintain a critical mass of audience data to make our digital offering more attractive to advertisers, including national brands who buy both our national and regional advertising inventory.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digital out-of-home business remains at an early stage and is under significant competitive pressure with the proliferation of available alternatives in the digital out-of-home space and may not deliver the future benefits that we are expecting. If we are unable to develop relationships and advertising that is relevant to the marketplace that can be integrated with our core on-screen advertising products, and if these offerings are not attractive to our advertisers, then the digital out-of-home business may not provide significant revenue or represent a method to help expand our cinema advertising business as it matures. As such, there can be no assurance that we will recoup our investments made pursuing this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execute on products relevant to the marketplace or integrate these digital and digital out-of-home marketing products with our core on-screen and theater lobby products, or if these offerings or other data sources do not continue or are unable to provide relevant data or to grow in importance to advertising clients and agencies, they may not provide a way to help expand our advertising business as it matures and begins to compete with new or improved advertising platforms including online and mobile video services. As such, there can be no assurance that we will recoup our investments made pursuing additional revenue opportunities.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2025 Credit Facility contains restrictions and may not provide sufficient capital resources and flexibility for the Company in the future.</w:t>
      </w:r>
    </w:p>
    <w:p>
      <w:pPr>
        <w:pStyle w:val="TextBody"/>
        <w:bidi w:val="0"/>
        <w:spacing w:before="120" w:after="283"/>
        <w:jc w:val="left"/>
        <w:rPr>
          <w:rFonts w:ascii="Times New Roman" w:hAnsi="Times New Roman"/>
          <w:sz w:val="20"/>
        </w:rPr>
      </w:pPr>
      <w:r>
        <w:rPr>
          <w:rFonts w:ascii="Times New Roman" w:hAnsi="Times New Roman"/>
          <w:color w:val="000000"/>
          <w:sz w:val="20"/>
        </w:rPr>
        <w:t>On January 24, 2025, NCM LLC as borrower, entered into a Loan and Security Agreement with U.S. Bank National Association, as lender. The agreement provides for a $45.0 million senior secured revolving credit facility (the “2025 Credit Facility”) that matures on January 24, 2028. As of January 1, 2026, the Company has</w:t>
      </w:r>
      <w:r>
        <w:rPr>
          <w:rFonts w:ascii="Times New Roman" w:hAnsi="Times New Roman"/>
          <w:color w:val="FF0000"/>
          <w:sz w:val="20"/>
        </w:rPr>
        <w:t xml:space="preserve"> </w:t>
      </w:r>
      <w:r>
        <w:rPr>
          <w:rFonts w:ascii="Times New Roman" w:hAnsi="Times New Roman"/>
          <w:color w:val="000000"/>
          <w:sz w:val="20"/>
        </w:rPr>
        <w:t xml:space="preserve">$12.0 million outstanding. In connection with entering into the 2025 Credit Facility, NCM LLC repaid in full the $10.0 million balance outstanding as of December 26, 2024 and terminated all commitments under its 2023 Revolving Credit Facility. While the 2025 Credit Facility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provides benefits to the Company relative to the Revolving Credit Facility 2023, terms in the 2025 Credit Facility may restrict NCM LLC from taking actions, distributing cash or entering into agreements to raise additional capital, and the availability of the 2025 Credit Facility may be insufficient for NCM LLC’s needs, particularly in the event of an economic downturn. The Company’s future capital resource and flexibility needs are difficult to predict at this time and will depend on (i) NCM LLC’s ability to comply with the terms and conditions of the 2025 Credit Facility, (ii) ability to general sufficient cash flow from operations and (iii) future strategic initiatives.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personal information we collect and maintain through our data and digital services, as well as from third-party sources, may expose us to liability or cause us to incur greater 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collect personal information from users of our websites or apps, including those users who establish accounts, or users who view certain advertising displayed through our data and digital services. We receive certain personal information regarding consumers who enter the theaters in our network, including places visited before entering the theater and after leaving the theater, from third parties to supplement or enhance the information we collect and maintain about users of our data and digital services or individuals who view advertising or enter theaters. We also collect personal information relating to individuals who are job applicants, employees, stockholders, directors, officers and independent contractors of NCM, as well as emergency contact information they provide. In addition, we collect personal information relating to employees, owners, directors, officers and independent contractors of other organizations within the context of conducting due diligence regarding or providing or receiving a product or service to or from such organization. The collection and use of this information is governed by applicable privacy, information security and consumer protection laws and regulations that continue to evolve and may be inconsistent from one jurisdiction to another. Compliance with all such laws and regulations may increase our operating costs and adversely impact our ability to offer our clients advertising targeted to moviegoer demographics or to interact with users of our data and digital services, and could result in legal liability. For example, the failure, or perceived failure, to comply with applicable privacy information security or consumer protection-related laws or regulations or our posted privacy policies could result in actions against us by governmental entities or others. If an actual or perceived breach of our data occurs, we could incur significant costs notifying affected individuals and providing them with credit monitoring services. The market perception of the effectiveness of our security measures could also be harmed, and we could lose users of these services and the associated benefits from gathering such user data.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laws, regulations or rules relating to privacy, data security, the Internet or other areas of our data and digital services may result in the need to alter our business practices or incur greater 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number of statutes, regulations and rules may impact our business as a result of our data and digital services and our use of personal information we receive from third parties. For example, privacy laws that have passed or are being contemplated give, or will give, individuals additional rights with regards to the collection, use, access to, correction, deletion, selling, sharing and protection of their personal information and sensitive personal information. The costs of compliance with privacy laws, regulations and rules and other regulations relating to our data and digital services or other areas of our business, may be significant. The manner in which these and other regulations may be interpreted or enforced may subject us to potential liability, which in turn could have an adverse effect on our business, results of operations or financial condition. Changes to these and other regulations may impose additional burdens on us or otherwise adversely affect our business and financial results because of, for example, increased costs relating to legal compliance, defense against claims, adverse rulings or damages, the reduction or elimination of features, functionality or content from our data or digital services or our inability to use unique data records effectively. Likewise, any failure on our part to comply with these and other regulations may subject us to additional liabilities.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markets for advertising are competitive and we may be unable to compete successfully.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for advertising is very competitive. Cinema advertising is a small component of video advertising in the U.S. and thus, we must compete with established, larger and better known national and local media platforms such as cable, broadcast and satellite television networks, ad supported video-on-demand and other video media platforms. In addition to these video advertising platforms, we compete for advertising directly with additional media platforms, including digital advertising providers, online, digital out-of-home and mobile, radio, various local print media and billboards, and other cinema advertising companies. We expect all of these competitors to devote significant effort to maintaining and growing their business, which may be at our expense. We also expect existing competitors and new entrants to the advertising business, most notably the online, digital out-of-home and mobile advertising companies and ad supported video-on-demand platforms, to constantly revise and improve their business models to meet expectations of advertising clients. NCM's position in various categories as a premium provider of advertising could deter advertisers from utilizing our services due to the high cost. Certain ad agencies may also deem NCM to be a provider of digital-out-of-home rather than video advertising, which could limit NCM's access to advertising budgets.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pricing and volume of advertising may be affected by shifts in spending toward digital platforms from more traditional media, or toward new ways of purchasing advertising, such as through automated purchasing, dynamic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advertising insertion, third parties selling local advertising posts and advertising exchanges, some or all of which may not be as advantageous to the Company as current advertising methods. Expenditures by advertisers tend to be cyclical, reflecting overall economic conditions, as well as budgeting and buying patterns. A decline in the economic prospects of advertisers, industries, such as retail or consumer products, or the economy in general could alter current or prospective advertisers’ spending priorities, including changes in prospects caused by inflationary pressures, pandemics or other events. If we cannot respond effectively to media marketplace changes, advertising market changes, new entrants or advances by our existing competitors,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number of films and mix of film ratings of the available motion pictures, such as the proportion of G and PG rated films or a shift in the types and numbers of films being shown in theaters, could cause advertisers to reduce their spending with us as the theater patrons for the available films may not represent those advertisers’ target markets.</w:t>
      </w:r>
    </w:p>
    <w:p>
      <w:pPr>
        <w:pStyle w:val="TextBody"/>
        <w:bidi w:val="0"/>
        <w:spacing w:before="120" w:after="283"/>
        <w:jc w:val="left"/>
        <w:rPr>
          <w:rFonts w:ascii="Times New Roman" w:hAnsi="Times New Roman"/>
          <w:sz w:val="20"/>
        </w:rPr>
      </w:pPr>
      <w:r>
        <w:rPr>
          <w:rFonts w:ascii="Times New Roman" w:hAnsi="Times New Roman"/>
          <w:color w:val="000000"/>
          <w:sz w:val="20"/>
        </w:rPr>
        <w:t>Advertising demand also impacts the price (CPM) we are able to charge our clients. Due to increased competition, combined with seasonal marketplace supply and demand characteristics, we have experienced volatility in our pricing (CPMs) over the years, with annual national CPM variances ranging from</w:t>
      </w:r>
      <w:r>
        <w:rPr>
          <w:rFonts w:ascii="Times New Roman" w:hAnsi="Times New Roman"/>
          <w:color w:val="FF0000"/>
          <w:sz w:val="20"/>
        </w:rPr>
        <w:t xml:space="preserve"> </w:t>
      </w:r>
      <w:r>
        <w:rPr>
          <w:rFonts w:ascii="Times New Roman" w:hAnsi="Times New Roman"/>
          <w:color w:val="000000"/>
          <w:sz w:val="20"/>
        </w:rPr>
        <w:t>(18.1%) to 23.6% from 2015 to 2025</w:t>
      </w:r>
      <w:r>
        <w:rPr>
          <w:rFonts w:ascii="Times New Roman" w:hAnsi="Times New Roman"/>
          <w:color w:val="FF0000"/>
          <w:sz w:val="20"/>
        </w:rPr>
        <w:t xml:space="preserve"> </w:t>
      </w:r>
      <w:r>
        <w:rPr>
          <w:rFonts w:ascii="Times New Roman" w:hAnsi="Times New Roman"/>
          <w:color w:val="000000"/>
          <w:sz w:val="20"/>
        </w:rPr>
        <w:t>(excluding 2020).</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do not continue to upgrade our technology, our business could fail to grow and revenue and operating margins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early 2021, we implemented a new cinema advertising management system which was developed by a third-party vendor. This system replaced many of our internally developed systems and provides delivery optimization, inventory management and monetization, intelligent dynamic scheduling, increased flexibility, and workflow automation. The system also interfaces with our accounting system thus driving client invoicing and revenue recognition. Given the pervasive impact of this new system on the Company's processes, problems with the system and software could cause operational difficulties, lead to errors within our financial reporting and slow or prevent the growth of our business in the future. As we continue to move our technology to cloud-based SaaS platforms, our operating results may be impacted as operating expenses associated with the SaaS licenses may increase as our annual capital expenditure spending may decrease and this shift in costs may exceed our current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cinema advertising management system does not successfully provide all of the services we expect, if we are unable to continue to successfully and cost-effectively implement further upgrades to the system, which may include the integration of other third-party technology products, or if we lose access to the system through termination of the agreement or otherwise, our ability to offer our clients innovative, unique, integrated and targeted marketing products may be impacted, which could limit our future revenue growth. The Company has also been improving its technology systems to allow the delivery and sale of advertising through programmatic and self-serve channels, which has increased revenue opportunities. The Company may not be able to keep up with the pace of technology or develop solutions that meet the demands of the Company’s current and future advertising clients, which would result in the loss of potential advertising opportunities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upgrade and maintain our technology allowing our advertising to reach a broader audience and allow for more targeted marketing products similar to other products in the industry could hurt our ability to compete. Under the ESAs, the ESA Parties are required to provide technology that is consistent with that in place at the signing of the ESA. We may request that the ESA Parties or other theaters in our network upgrade the equipment or software installed in their theaters, but we must negotiate as to the terms of such upgrade, including cost sharing terms, if any. If we are not able to come to an agreement on a future upgrade request, we may elect to pay for the upgrades requested which could result in our incurring significant capital expenditures that could adversely affect our profitability.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Economic uncertainty or deterioration in economic conditions may adversely impact our business, operating results or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markets have experienced extreme disruption and volatility at times. A decline in consumer spending in the U.S. may lead to decreased demand for our services or delay in payments by our advertising clients, and our results of operations and financial condition could be adversely affected. These challenging economic conditions also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competition for fewer advertising and entertainment programming dollars;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pricing pressure that may adversely affect revenue and gross margin;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declining attendance and thus a decline in the impressions available for The </w:t>
      </w:r>
      <w:r>
        <w:rPr>
          <w:rFonts w:ascii="Times New Roman" w:hAnsi="Times New Roman"/>
          <w:i/>
          <w:color w:val="000000"/>
          <w:sz w:val="20"/>
        </w:rPr>
        <w:t>Noovie</w:t>
      </w:r>
      <w:r>
        <w:rPr>
          <w:color w:val="000000"/>
        </w:rPr>
        <w:t xml:space="preserve"> </w:t>
      </w:r>
      <w:r>
        <w:rPr>
          <w:rFonts w:ascii="Times New Roman" w:hAnsi="Times New Roman"/>
          <w:color w:val="000000"/>
          <w:sz w:val="20"/>
        </w:rPr>
        <w:t>Show;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credit availability and/or access to capital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forecasting, budgeting and planning due to limited visibility into the spending plans of current or prospective clients;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client financial difficulty and increased risk of uncollectible accounts;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difficulty for NCM LLC’s network theaters.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risks from changes to regulations, government funding, trade policies and tariffs imposed by governments that impact our advertising clients.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regulations, government funding, trade policies and tariffs imposed by the U.S. and other governments could have an impact on our advertising clients. If our advertising clients’ operating costs increase due to changes in policy, and they are unsuccessful in passing these increases along to consumers, then the advertisers will likely seek to reduce costs in other ways, including advertising. Additionally, changes in regulations, government funding, trade policies and tariffs could also have the impact of preventing our advertising clients from deploying new goods and services and reducing the related advertising dollars. The tariffs announced by the U.S. government on product imports in 2025 had an outsize impact on certain industries that are key advertising categories for us and the uncertainty caused by the tariffs impacted many of our advertisers. Our local team also sells advertising to government agencies that may be impacted if the level of government funding is reduced or eliminated. The uncertainty regarding the ultimate impact of any changes in regulations, government funding, trade policies or tariffs could also impact our advertisers as they continue to determine changes needed to their businesses.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Adjusted OIBDA is derived from high margin advertising revenue. Our contractual costs will grow over time, and the reduction in spending by or loss of a national advertiser or group of local advertisers or failure to grow our advertising revenue in line with these costs could have a meaningful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ESAs and certain of our network affiliate agreements include automatic annual cost or fee increases. The theater access fees under the ESAs are composed of a fixed payment per patron, increasing on a regular basis and a fixed payment per digital screen connected to the DCN, increasing annually by 5%, and certain of our network affiliate agreements include annual increases in the minimum fee per patron payable. If NCM LLC further amends the ESAs or network affiliate agreements in response to market conditions or in connection with the bankruptcy of a counterparty, the costs could increase. If we are unable to grow our high margin advertising revenue at a rate at least equal to that of our contractual obligations, our margins and results would be negatively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all of our operating income and Adjusted OIBDA from our high margin advertising business. Advertisers will not continue to do business with us if they believe our advertising medium is ineffective, unpredictable or overly expensive or lacks sufficient scale. In addition, large advertisers generally have set advertising budgets, of which cinema advertising may only be a small portion. Reductions in the size of advertisers’ budgets due to local or national economic trends, epidemics, pandemics, other natural disasters or similar events, a shift in spending to other advertising mediums, perception of uncertainty in advertising mediums, or other factors could result in lower spending on our advertising inventory. Advertisers are spending in the scatter market closer to the start date of their advertising campaign. A substantial portion of our advertising revenue relates to contracts with terms of a month or less, and clients have many video media choices and can adjust where ads are placed up until their airdates without the risk of securing desired impressions. We have previously been successful in securing favorable upfront advertising agreements, but as advertising spending shifts to the scatter market closer to the start date of advertising campaigns, our ability to maintain high CPMs in the upfront markets may decrease and it is more difficult for the Company to plan and forecast revenue. Additionally, since most of our advertising contracts are tied to a specified number of impressions over a period of time, if we do not properly forecast the number of impressions available over a period of advertising or if too few impressions are available, it could result in underdelivery requiring us to provide additional time to satisfy advertiser’s contracts rather than additional revenue, or if too many impressions are available, it could result in increased fixed fee per patron fees to theaters without a corresponding increase in revenue. If we are unable to remain competitive and provide value to our advertising clients, they may reduce their advertising purchases or stop placing advertisements with us. Even the loss of a small number of clients on large contracts that we are not able to replace would negatively affect our results.</w:t>
      </w:r>
    </w:p>
    <w:p>
      <w:pPr>
        <w:pStyle w:val="TextBody"/>
        <w:bidi w:val="0"/>
        <w:spacing w:before="120" w:after="283"/>
        <w:jc w:val="left"/>
        <w:rPr>
          <w:rFonts w:ascii="Times New Roman" w:hAnsi="Times New Roman"/>
          <w:sz w:val="20"/>
        </w:rPr>
      </w:pPr>
      <w:r>
        <w:rPr>
          <w:rFonts w:ascii="Times New Roman" w:hAnsi="Times New Roman"/>
          <w:color w:val="000000"/>
          <w:sz w:val="20"/>
        </w:rPr>
        <w:t>We also derive a significant portion of our revenue from our contracts with our content partners, courtesy PSAs and the ESA Parties’ agreements to purchase on-screen advertising for their beverage concessionaires. We are not direct parties to the agreements between the ESA Parties’ and their beverage concessionaires but expect that each ESA Party will have an agreement with a beverage concessionaire to provide advertising for the foreseeable future. The Company did not have any agencies through which it sourced advertising revenue that accounted for 10% or more of the Company's gross outstanding receivable balance as of January 1, 2026. The Company had one agency through which it sourced advertising revenue that accounted for</w:t>
      </w:r>
      <w:r>
        <w:rPr>
          <w:rFonts w:ascii="Times New Roman" w:hAnsi="Times New Roman"/>
          <w:color w:val="FF0000"/>
          <w:sz w:val="20"/>
        </w:rPr>
        <w:t xml:space="preserve"> </w:t>
      </w:r>
      <w:r>
        <w:rPr>
          <w:rFonts w:ascii="Times New Roman" w:hAnsi="Times New Roman"/>
          <w:color w:val="000000"/>
          <w:sz w:val="20"/>
        </w:rPr>
        <w:t>14.7%</w:t>
      </w:r>
      <w:r>
        <w:rPr>
          <w:rFonts w:ascii="Times New Roman" w:hAnsi="Times New Roman"/>
          <w:color w:val="FF0000"/>
          <w:sz w:val="20"/>
        </w:rPr>
        <w:t xml:space="preserve"> </w:t>
      </w:r>
      <w:r>
        <w:rPr>
          <w:rFonts w:ascii="Times New Roman" w:hAnsi="Times New Roman"/>
          <w:color w:val="000000"/>
          <w:sz w:val="20"/>
        </w:rPr>
        <w:t>of the Company’s gross outstanding receivable balance as of December 26, 2024. The Company had no agencies through which it sourced advertising revenue that accounted for 10% or more of the Company's gross outstanding receivable balance as of December 28, 2023. During the year ended December 26, 2024, the Company did not have a customer that accounted for 10% or more of the Company's revenue. During the years ended January 1, 2026 and December 28, 2023, the Company had one customer that accounted for 11.0% and 11.2%,</w:t>
      </w:r>
      <w:r>
        <w:rPr>
          <w:rFonts w:ascii="Times New Roman" w:hAnsi="Times New Roman"/>
          <w:color w:val="FF0000"/>
          <w:sz w:val="20"/>
        </w:rPr>
        <w:t xml:space="preserve"> </w:t>
      </w:r>
      <w:r>
        <w:rPr>
          <w:rFonts w:ascii="Times New Roman" w:hAnsi="Times New Roman"/>
          <w:color w:val="000000"/>
          <w:sz w:val="20"/>
        </w:rPr>
        <w:t xml:space="preserve">respectively, of the Company's revenue.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derive a significant percentage of our total revenue from a relatively small number of large companies, the loss of one or more as a customer could decrease our revenue and adversely affect current and future operating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contracts for theater advertising allow certain counterparties to engage in activities that might compete with certain elements of our business, which could reduce our revenue and growth potential.</w:t>
      </w:r>
    </w:p>
    <w:p>
      <w:pPr>
        <w:pStyle w:val="TextBody"/>
        <w:bidi w:val="0"/>
        <w:spacing w:before="120" w:after="283"/>
        <w:jc w:val="left"/>
        <w:rPr>
          <w:rFonts w:ascii="Times New Roman" w:hAnsi="Times New Roman"/>
          <w:sz w:val="20"/>
        </w:rPr>
      </w:pPr>
      <w:r>
        <w:rPr>
          <w:rFonts w:ascii="Times New Roman" w:hAnsi="Times New Roman"/>
          <w:color w:val="000000"/>
          <w:sz w:val="20"/>
        </w:rPr>
        <w:t>The ESAs and network affiliate agreements contain certain limited exceptions to our exclusive right to use the counterparties’ theaters for our advertising business. Certain counterparties have the right to enter into a limited number of strategic cross-marketing relationships with third-party, unaffiliated businesses for the purpose of generating increased attendance or revenue (other than revenue from the sale of advertising). Some of these strategic marketing relationships can include the use of on-screen, LEN and certain types of lobby promotions and can be provided at no cost, but only for the purpose of promoting the products or services of those businesses while at the same time promoting the theater circuit or the movie-going experience and some of these exceptions are broader. NCM has limited rights or does not have the right to advertise in certain theater lobbies or has agreed to allow the counterparty to sell certain types of inventory on their own behalf. The use of LEN or lobby promotions or other inventory by the theater counterparties for these advertisements and programs could result in the theater counterparties creating relationships with advertisers that could adversely affect our advertising revenue and profitability, as well as the potential we have to grow that advertising revenue in the future. In particular, the LEN and lobby promotions represented approximately</w:t>
      </w:r>
      <w:r>
        <w:rPr>
          <w:rFonts w:ascii="Times New Roman" w:hAnsi="Times New Roman"/>
          <w:color w:val="FF0000"/>
          <w:sz w:val="20"/>
        </w:rPr>
        <w:t xml:space="preserve"> </w:t>
      </w:r>
      <w:r>
        <w:rPr>
          <w:rFonts w:ascii="Times New Roman" w:hAnsi="Times New Roman"/>
          <w:color w:val="000000"/>
          <w:sz w:val="20"/>
        </w:rPr>
        <w:t>0.6%</w:t>
      </w:r>
      <w:r>
        <w:rPr>
          <w:rFonts w:ascii="Times New Roman" w:hAnsi="Times New Roman"/>
          <w:color w:val="FF0000"/>
          <w:sz w:val="20"/>
        </w:rPr>
        <w:t xml:space="preserve"> </w:t>
      </w:r>
      <w:r>
        <w:rPr>
          <w:rFonts w:ascii="Times New Roman" w:hAnsi="Times New Roman"/>
          <w:color w:val="000000"/>
          <w:sz w:val="20"/>
        </w:rPr>
        <w:t>and</w:t>
      </w:r>
      <w:r>
        <w:rPr>
          <w:rFonts w:ascii="Times New Roman" w:hAnsi="Times New Roman"/>
          <w:color w:val="FF0000"/>
          <w:sz w:val="20"/>
        </w:rPr>
        <w:t xml:space="preserve"> </w:t>
      </w:r>
      <w:r>
        <w:rPr>
          <w:rFonts w:ascii="Times New Roman" w:hAnsi="Times New Roman"/>
          <w:color w:val="000000"/>
          <w:sz w:val="20"/>
        </w:rPr>
        <w:t>0.5%</w:t>
      </w:r>
      <w:r>
        <w:rPr>
          <w:rFonts w:ascii="Times New Roman" w:hAnsi="Times New Roman"/>
          <w:color w:val="FF0000"/>
          <w:sz w:val="20"/>
        </w:rPr>
        <w:t xml:space="preserve"> </w:t>
      </w:r>
      <w:r>
        <w:rPr>
          <w:rFonts w:ascii="Times New Roman" w:hAnsi="Times New Roman"/>
          <w:color w:val="000000"/>
          <w:sz w:val="20"/>
        </w:rPr>
        <w:t xml:space="preserve">of our total advertising revenue for the year ended January 1, 2026 and December 26, 2024,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our exhibitors also have the right to install a network of video monitors in the theater lobbies in excess of those required to be installed for the LEN to be used to display trailers, studio content and other theater advertising. The presence of this additional lobby video network could reduce the effectiveness of our LEN, thereby reducing our current LEN advertising revenue and profitability and adversely affecting future revenue potential associated with that marketing platform. Other network affiliates also have the right to display advertising in the lobby or other areas of their theaters that could potentially conflict with our on-screen advertising.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depend upon our senior management and our business may be adversely affected if we cannot retain or replace them.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part upon the retention of our experienced senior management with specialized industry, sales and technical knowledge or industry relationships. In November 2025, the Company's President of Sales, Marketing and Partnerships departed the Company following the elimination of the position. If we are not able to find qualified internal or external replacements for critical members of our senior management team, the loss of these key employees could have a material negative impact on our ability to effectively pursue our business strategy and our relationships with advertisers, exhibitors, media and content partners. While the Company has been able to retain our senior management, there is no guarantee that the Company will continue to be able to recruit experienced replacements, or that the Company will not be required to institute additional retention or incentive programs in order to retain senior management. We do not have key-man life insurance covering any of our employees.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use of AI in our offerings may not result in the expected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continue to consider areas for development of artificial intelligence technologies and solutions to increase the efficiency of our business and increase value to our customers. The algorithms and models used in generative AI systems may have limitations, including biases, errors, or inability to handle certain data types or scenarios, and the costs of our investments in AI may also exceed the value provided. We may also enable or offer AI solutions that are controversial for various reasons that could lead to brand or reputational harm. We also have certain advertisers that have used AI in the development of advertising to be displayed onscreen, which may be viewed unfavorably by theater patrons and result in increased rates of creative rejection by our theater exhibitors.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ESA Parties and our network affiliates are subject to substantial government regulation, which could limit their current business, slow their future growth of locations and screens and in turn impact our business and slow our growth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ESA Parties and our network affiliates are subject to various federal, state and local laws, regulations and administrative practices affecting their movie theater business, including provisions regulating antitrust, health, safety and sanitation standards (including in connection with the COVID-19 Pandemic or other public health events), access for those with disabilities, environmental, and licensing. Some of these laws and regulations also apply directly to us and NCM LLC. Changes in existing laws or implementation of new laws, regulations and practices could have a significant impact on the ESA Parties’, our network affiliates’ and our respective businesses. For example, during a portion of the COVID-19 Pandemic, health and safety laws restricted the ability of the ESA Parties and network affiliates from opening their theaters and operating at full capacity, which significantly impacted their and our businesses.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unable to realize the expected benefits and synergies of any acquisitions or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will depend, in part, on our ability to expand our product offerings and grow our business. In some circumstances, we may determine to do so through the acquisition of or investments in businesses or technologies rather than through internal development. For example, in November 2025, we acquired Spotlight Cinema Networks to unlock new advertising and preshow entertainment inventory across theaters nationwide and in key markets. During 2025, we also agreed to make investments in various companies through cash and advertising. The pursuit of future acquisitions or investments may divert the attention of management and in many cases cause us to incur expenses as part of identifying, investigating and pursuing transactions, whether or not they are consummated.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realize the expected benefits and synergies of any acquisitions or consolidated investments, we must meet a number of significant challenges, including integration of operations and technologies, managing the business, retaining and assimilating employees, retaining key customers and vendors and implementing updated internal controls and processes. If we are unable to successfully integrate these businesses, the expected benefits may not be available to our stockholders in the future. Depending upon the success of the underlying companies invested in, we may recognize charges within earnings due to the impairment of our investments.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unable to effectively manage changes to our business strategy to continue the growth of our advertising inventory and network.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effectively implement our strategy, we may not be able to continue our historical growth. To effectively execute on our strategy to expand our digital offerings and continue to grow our inventory, we will need to develop additional products or obtain access to third-party digital inventory. These enhancements and improvements could require an additional allocation of financial and management resources and acquisition of talent. High turnover, loss of specialized talent or insufficient capital could also place significant demands on management, the success of the organization and our strategic outlook. Our ability to invest in our existing digital business, our new digital out-of-home business and other ventures has been and will continue to be negatively impacted by the COVID-19 Pandemic, NCM LLC’s Chapter 11 Case, and the current industry and economic environment, which may decrease the growth of these businesses.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amount of in-theater inventory we have to sell is limited by the length of The </w:t>
      </w:r>
      <w:r>
        <w:rPr>
          <w:rFonts w:ascii="Times New Roman" w:hAnsi="Times New Roman"/>
          <w:i/>
          <w:color w:val="000000"/>
          <w:sz w:val="20"/>
        </w:rPr>
        <w:t xml:space="preserve">Noovie® </w:t>
      </w:r>
      <w:r>
        <w:rPr>
          <w:rFonts w:ascii="Times New Roman" w:hAnsi="Times New Roman"/>
          <w:color w:val="000000"/>
          <w:sz w:val="20"/>
        </w:rPr>
        <w:t>Show. In order to maintain in-theater growth we will need to expand the number of theaters and screens in our network. If we lose a significant number of theaters or are unable to expand our network, our revenue and operating results could be adversely impacted.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revenue and Adjusted OIBDA fluctuate from quarter to quarter and may be unpredictable, which could increase the volatility of our stock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weak advertising market, the shift in spending of a major client from one quarter to another, the performance of films released or the mix of attendance from the type and rating of films in a given quarter, a disruption in the release schedule of films or changes in the television scatter market could significantly affect quarter-to-quarter results or even affect annual results. Our revenue and operating results are seasonal in nature, coinciding with the timing of marketing expenditures by our advertising clients and, to a lesser extent, the attendance patterns within the film exhibition industry, which have historically been higher during the second, third and fourth fiscal quarters. Because our results may vary from quarter to quarter and may be unpredictable, our financial results for one quarter cannot necessarily be compared to another quarter or the same quarter in prior years and may not be indicative of our financial performance in subsequent quarters. Additionally, the bankruptcy of one of NCM LLC’s significant network theater circuits, or negative news regarding the theater industry, cinema advertising generally or us could lead to increased volatility in revenue from quarter to quarter. These variations in our financial results could contribute to volatility in our stock price.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services or technology may infringe on intellectual property rights owned by others, which may interfere with our ability to provide services or expose us to increased liability or expense, or otherwise may be affected by our efforts to protect our intellectual property or restrictions or obligations in third-party licenses.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business uses a variety of intellectual property rights, including copyrights, trademarks, trade secrets, domain names and patents or patentable ideas in the provision of our advertising services, the websites we operate at ncm.com and </w:t>
      </w:r>
      <w:r>
        <w:rPr>
          <w:rFonts w:ascii="Times New Roman" w:hAnsi="Times New Roman"/>
          <w:i/>
          <w:color w:val="000000"/>
          <w:sz w:val="20"/>
        </w:rPr>
        <w:t>Noovie.com</w:t>
      </w:r>
      <w:r>
        <w:rPr>
          <w:rFonts w:ascii="Times New Roman" w:hAnsi="Times New Roman"/>
          <w:color w:val="000000"/>
          <w:sz w:val="20"/>
        </w:rPr>
        <w:t xml:space="preserve">, our digital gaming products including </w:t>
      </w:r>
      <w:r>
        <w:rPr>
          <w:rFonts w:ascii="Times New Roman" w:hAnsi="Times New Roman"/>
          <w:i/>
          <w:color w:val="000000"/>
          <w:sz w:val="20"/>
        </w:rPr>
        <w:t xml:space="preserve">Noovie </w:t>
      </w:r>
      <w:r>
        <w:rPr>
          <w:rFonts w:ascii="Times New Roman" w:hAnsi="Times New Roman"/>
          <w:color w:val="000000"/>
          <w:sz w:val="20"/>
        </w:rPr>
        <w:t>Trivia and the features and functionality, content and software we make available through those websites and apps. We rely on our own intellectual property rights, as well as intellectual property rights obtained from third parties (including through open-source licenses), to conduct our business and provide our in-theater, data, digital and creative services. We may incur expenses, some of which may be significant, in developing, protecting, maintaining, and defending our intellectual property rights or licensing intellectual property from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some instances, we may not be able to or may choose not to protect, maintain or defend our intellectual property rights or the laws of certain foreign countries may not protect our intellectual property rights to the same extent as do the laws of the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discover that our business or the technology or methods we use to operate our business infringes patent, trademark, copyright, publicity rights, or other intellectual property rights owned by others or is otherwise negatively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impacted by restrictions imposed by our obligations under third-party intellectual property licenses. In addition, our competitors or others may claim rights in patents, trademarks, copyrights, publicity rights, or other intellectual property rights that will prevent, limit or interfere with our ability to provide our in-theater, data, or digital services either in the U.S. or in international markets. We may incur significant costs in protecting our own intellectual property rights or defending or settling intellectual property infringement claims and may face significant damage awards (including the potential for awards of attorneys’ fees) if we are found to be infringing third-party intellectual property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in-theater, data and digital services facilitate the distribution of content, and we create content for others. This content includes advertising-related content, as well as movie, television, music, gaming and other media content, much of which is obtained from third parties. Our apps, websites and social media channels also include features enabling users to upload or add their own content and modify certain content. As a distributor of content, we face potential liability for negligence, copyright, patent, trademark or publicity infringement, or other claims based on the content that we distribute or create for others. We or entities that we license or receive content from or distribute content through may not be adequately insured or indemnified to cover claims of these types or liability that may be imposed on us.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Risks Related to Our Corporate Structure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a holding company with no operations of our own, and we depend on distributions and payments under the NCM LLC operating and management services agreements from NCM LLC to meet our ongoing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holding company with no operations of our own and have no independent ability to generate cash flow other than interest income on cash balances or other securities owned. Consequently, our ability to obtain operating funds primarily depends upon distributions and payments under the NCM LLC operating and management services agreement from NCM LLC. The distribution of cash flows and other transfers of funds by NCM LLC to us are subject to statutory and contractual restrictions based upon NCM LLC’s financial performance, including NCM LLC’s compliance with the covenants in the 2025 Credit Facility and the NCM LLC Operating Agreement. The 2025 Credit Facility may limit NCM LLC’s ability to distribute cash to its members, including us, based upon certain financial tests, with exceptions for, among other things, payment of our income taxes and a management fee to NCM, Inc. pursuant to the terms of the management services agreement. The declaration of future dividends on our common stock will be at the discretion of our Board of Directors and will depend upon many factors, including NCM LLC’s results of operations, financial condition, earnings, capital requirements, limitations in the 2025 Credit Facility and legal requirements. In the event NCM LLC fails to comply with these covenants and is unable to distribute cash to us quarterly, NCM, Inc.’s ability to make distributions or pay other expenses outside the ordinary course of business may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management services agreement between us and NCM LLC, NCM LLC makes payments to us to fund our day-to-day operating expenses, such as payroll. However, if NCM LLC has insufficient cash flow to make the payments pursuant to the management services agreement, we may be unable to cover these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member of NCM LLC, we incur income taxes on our proportionate share of any net taxable income of NCM LLC. The 2025 Credit Facility is structured to allow NCM LLC to distribute cash to its members (including us and NCM LLC’s other members, if any) in amounts sufficient to cover their tax liabilities and management fees, if any. To the extent that NCM LLC has insufficient cash flow to make such payments, it could have a negative impact on our business, financial condition, results of operations or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Company’s actual financial results following NCM LLC’s emergence from bankruptcy may not be comparable to the Company’s historical financial information or to NCM LLC’s projections filed with the Bankruptcy Court.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has historically consolidated NCM LLC’s financial statements, but upon the filing of the Chapter 11 Case and in accordance with applicable GAAP, the Company concluded that NCM, Inc. no longer controlled NCM LLC for accounting purposes as of April 11, 2023, the date on which NCM LLC filed its Chapter 11 Case and NCM LLC was deconsolidated from the Company’s consolidated financial statements prospectively. On August 7, 2023, and subsequent to NCM LLC’s emergence from bankruptcy, NCM, Inc. regained control of NCM LLC. The reconsolidation was treated for accounting purposes as a business combination under </w:t>
      </w:r>
      <w:r>
        <w:rPr>
          <w:rFonts w:ascii="Times New Roman" w:hAnsi="Times New Roman"/>
          <w:i/>
          <w:color w:val="000000"/>
          <w:sz w:val="20"/>
        </w:rPr>
        <w:t>ASC 805—Business Combinations</w:t>
      </w:r>
      <w:r>
        <w:rPr>
          <w:rFonts w:ascii="Times New Roman" w:hAnsi="Times New Roman"/>
          <w:color w:val="000000"/>
          <w:sz w:val="20"/>
        </w:rPr>
        <w:t xml:space="preserve"> and accordingly, the purchase price was allocated to the assets acquired and liabilities assumed based on their estimated fair values as of the date of acquisition, the Effective Date. Accordingly, the Company’s future results of operations, financial condition and business may not be comparable to the results of operations, financial condition and business reflected in our historical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filings made with the Bankruptcy Court and as cleansing materials after negotiations with NCM LLC’s creditors, the Company disclosed projected financial information regarding NCM LLC’s future prospects. Those projections were prepared solely for the purpose of negotiations and the bankruptcy proceedings and have not been, and will not be, updated on an ongoing basis and should not be relied upon by investors. At the time they were prepared, the projections reflected numerous assumptions concerning our anticipated future performance with respect to prevailing and anticipated market and economic conditions that were and remain beyond our control and that may not materialize.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Projections are inherently subject to substantial and numerous uncertainties and to a wide variety of significant business, economic and competitive risks and the assumptions underlying the projections and/or valuation estimates may prove to be wrong in material respects. Actual results may vary significantly from those contemplated by the projections. As a result, investors should not rely on these projections.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NCM LLC’s other equityholders or their affiliates, as well as our largest stockholders, may have interests that differ from those of our public stockholders and they may be able to influence our affairs.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Effective Date, NCM Inc. was the only beneficial owner of NCM LLC’s membership units, but AMC and Cinemark continue to have rights to receive additional units pursuant to the terms of the Common Unit Adjustment Agreement. As of January 1, 2026, Blantyre Capital Limited ("Blantyre Capital"), our largest stockholder, has beneficial ownership of 27,144,639 shares of our common stock, representing 29.1% of the Company’s shares outstanding. Additionally, the Company entered into a Director Designation Agreement (the “Designation Agreement”) among the Company, the Consenting Creditor Designation Committee (the “Designation Committee”) and Blantyre Capital in accordance with the Plan. The Designation Agreement provided for the designation of up to six directors, three of whom must be independent, by the Designation Committee and Blantyre Capital with up to two of the directors designated by Blantyre Capital. The number of directors designated will vary based on the ownership level of the Consenting Creditors under the Designation Agreement. In 2025, four directors were appointed under the Designation Agreement. As a result, these stockholders could be in a position to influence or control to some degree the outcome of matters requiring stockholder approval, including the adoption of amendments to our certificate of incorporation and the approval of mergers and other significant corporate transactions. Their influence or control of our Company and NCM LLC may have the effect of delaying or promoting a change of control of our Company and may adversely affect the voting and other rights of other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 interests of these stockholders may in some circumstances conflict with our interests and the interests of our other stockholders. For example, Blantyre Capital is in the business of making investments in companies and may hold, and may from time to time in the future acquire, interests in or provide advice to businesses that directly or indirectly compete with us. As another example, Cinemark may own shares of NCM, Inc. stock and may have different tax positions from us, especially in light of the TRA that provides for the payment by us to Cinemark of 90% of the amount of any tax benefits that we actually realize, or in some cases are deemed to realize, due to Cinemark’s portion of certain tax assets. This could influence Cinemark’s decisions regarding whether and when we should dispose of assets, and whether and when we or NCM LLC should incur indebtedness.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original agreements between us and the ESA Parties were made in the context of an affiliated relationship and may contain different terms than comparable agreements with unaffiliated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ESAs and the other contractual agreements that we have with the ESA Parties were originally negotiated in the context of an affiliated relationship in which representatives of the ESA Parties and their affiliates comprised our entire Board of Directors. As a result, the financial provisions and the other terms of these agreements, such as covenants, contractual obligations on our part and on the part of the ESA Parties and termination and default provisions may be less favorable to us than terms that we might have obtained in negotiations with unaffiliated third parties in similar circumstances.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certificate of incorporation and bylaws contain anti-takeover protections that may discourage or prevent strategic transactions, including a takeover of our Company, even if such a transaction would be beneficial to our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contained in our certificate of incorporation and bylaws, the NCM LLC Operating Agreement, and provisions of the Delaware General Corporation Law (“DGCL”), could delay or prevent a third-party from entering into a strategic transaction with us, even if such a transaction would benefit our stockholders. For example, our certificate of incorporation and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the issuance of “blank check” preferred stock that could be issued by our Board of Directors to increase the number of outstanding shares, making a takeover more difficult and expensive;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stockholder action by written consent;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 not permit cumulative voting in the election of directors, which would otherwise allow less than a majority of stockholders to elect director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restrictions could keep us from pursuing relationships with strategic partners and from raising additional capital, which could impede our ability to expand our business and strengthen our competitive position. These restrictions could also limit stockholder value by impeding a sale of us or NCM LLC. Further, these restrictions could restrict or limit certain investors from owning our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future issuance of membership units by NCM LLC and subsequent redemption of such units for common stock could dilute the voting power of our existing common stockholders and adversely affect the market value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Common Unit Adjustment Agreement and the ESA with Cinemark provide that NCM LLC will issue common membership units to account for changes in attendance associated with the theaters that Cinemark operates and which are made part of our advertising network. Historically, Cinemark has generally been issued additional common membership units each year. Each common membership unit may be redeemed in exchange for, at our option, shares of our common stock on a one-for-one basis or a cash payment equal to the market price of one share of our common stock. Other than the maximum number of authorized shares of common stock in our certificate of incorporation, there is no limit on the number of shares of our common stock that we may issue upon redemption of Cinemark’s common membership units in NCM LLC. For further information, refer to Note 6 to the Consolidated Financial Statements included elsewhere in this document.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future issuance of preferred stock could dilute the voting power of our common stockholders and adversely affect the market value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NCM LLC’s Plan and the terms of the Restructuring Support Agreement, NCM, Inc. issued 5,000,000 shares of Series A Preferred Stock. The Series A Preferred Stock had no dividends or other economic rights, but voted with the shares of Common Stock with a number of votes per share of Series A Preferred Stock equal to 217.47 shares of common stock. The Series A Preferred Stock was cancelled on August 7, 2023 and no shares remain outstanding. Additionally, on the Effective Date and in connection the consummation of the transactions contemplated by the Plan, the Company issued 50 shares of Series B Preferred Stock to Mr. Lesinski. The Series B Preferred Stock has no voting rights, but shall be entitled to receive cumulative dividends at a dividend rate of 11.0% on the per share liquidation value of $1,000 per share. The future issuance of shares of preferred stock with voting rights may adversely affect the voting power of the holders of our other classes of voting stock, either by diluting the voting power of our other classes of voting stock if they vote together as a single class, or by giving the holders of any such preferred stock the right to block an action on which they have a separate class vote even if the action were approved by the holders of our other classes of voting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future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For example, investors in the common stock may not wish to purchase common stock at a price above the conversion price of a series of convertible preferred stock because the holders of the preferred stock would effectively be entitled to purchase common stock at the lower conversion price causing economic dilution to the holders of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determined to be an investment company, we would become subject to burdensome regulatory requirements and our business activities could be restricted.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believe that we are an “investment company” under the Investment Company Act of 1940, as amended. As sole manager of NCM LLC, we control NCM LLC, and our interest in NCM LLC is not an “investment security” as that term is used in the Investment Company Act of 1940. If we were to stop participating in the management of NCM LLC, our interest in NCM LLC could be deemed an “investment security” for purposes of the Investment Company Act of 1940. Generally, a company is an “investment company” if it owns investment securities having a value exceeding 40% of the value of its total assets (excluding U.S. government securities and cash items). Our sole material asset is our equity interest in NCM LLC, and we and NCM LLC intend to conduct our operations so that we are not deemed an investment company under the Investment Company Act of 1940. However, a determination that we are an investment company would cause us to become subject to registration and other burdensome requirements of the Investment Company Act, which could restrict our business activities, including our ability to issue securities, limitations on our capital structure and our ability to enter into transactions with our affiliates. This may make it impractical for us to continue our business as currently conducted and could have a material negative impact on our financial performance and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TRA with Cinemark is expected to reduce the amount of overall cash flow that would otherwise be available to us and will increase our potential exposure to the financial condition of Cinemark.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initial public offering and related transactions have the effect of reducing the amounts NCM, Inc. would otherwise pay in the future to various tax authorities as a result of an increase in its proportionate share of tax basis in NCM LLC’s tangible and intangible assets. We have agreed in our TRA with Cinemark to pay to Cinemark 90% of the amount by which NCM, Inc.’s tax payments to various tax authorities are reduced as a result of the increase in tax basis associated with Cinemark’s share of certain tax assets. After paying these reduced amounts to tax authorities, if it is determined as a result of an income tax audit or examination that any amount of NCM, Inc.’s claimed tax benefits should not have been available, NCM, Inc. may be required to pay additional taxes and possibly penalties and interest to one or more tax authorities. If this were to occur and if Cinemark was insolvent or bankrupt or otherwise unable to make payment under its indemnification obligation under the TRA, then NCM, Inc.’s financial condition could be negatively impacted.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substantial number of shares that are eligible for sale could cause the market price for our common stock to decline or make it difficult for us to sell equity securities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the effect, if any, that market sales of shares of common stock by any of our significant stockholders will have on the market price of our common stock from time to time. Sales of substantial amounts of shares of our common stock in the public market, or the perception that those sales will occur, could cause the market price of our common stock to decline or make future offerings of our equity securities more difficult. If we are unable to sell equity securities at times and prices that we deem appropriate, we may be unable to fund growth. Additionally, once equity awards held by our employees become vested and/or exercisable, as applicable, to the extent that they are not held by one of our affiliates, the shares acquired upon vesting or exercise are freely tradable. </w:t>
      </w:r>
    </w:p>
    <w:p>
      <w:pPr>
        <w:pStyle w:val="TextBody"/>
        <w:bidi w:val="0"/>
        <w:spacing w:before="120" w:after="283"/>
        <w:jc w:val="left"/>
        <w:rPr>
          <w:rFonts w:ascii="Times New Roman" w:hAnsi="Times New Roman"/>
          <w:sz w:val="20"/>
        </w:rPr>
      </w:pPr>
      <w:bookmarkStart w:id="4" w:name="item_1b_unresolved_staff_comments"/>
      <w:bookmarkEnd w:id="4"/>
      <w:r>
        <w:rPr>
          <w:rFonts w:ascii="Times New Roman" w:hAnsi="Times New Roman"/>
          <w:b/>
          <w:color w:val="000000"/>
          <w:sz w:val="20"/>
        </w:rPr>
        <w:t xml:space="preserve">Item 1B. </w:t>
      </w:r>
      <w:r>
        <w:rPr>
          <w:rFonts w:ascii="Times New Roman" w:hAnsi="Times New Roman"/>
          <w:b/>
          <w:color w:val="000000"/>
          <w:sz w:val="20"/>
          <w:u w:val="single"/>
        </w:rPr>
        <w:t>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5" w:name="item_1c_cybersecurity"/>
      <w:bookmarkEnd w:id="5"/>
      <w:r>
        <w:rPr>
          <w:rFonts w:ascii="Times New Roman" w:hAnsi="Times New Roman"/>
          <w:b/>
          <w:color w:val="000000"/>
          <w:sz w:val="20"/>
        </w:rPr>
        <w:t xml:space="preserve">Item 1C. </w:t>
      </w:r>
      <w:r>
        <w:rPr>
          <w:rFonts w:ascii="Times New Roman" w:hAnsi="Times New Roman"/>
          <w:b/>
          <w:color w:val="000000"/>
          <w:sz w:val="20"/>
          <w:u w:val="single"/>
        </w:rPr>
        <w:t>Cybersecurity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a cybersecurity management program designed to identify, assess, manage, mitigate and respond to cybersecurity threats and incidents. We review our program design on at least a quarterly basis and update as needed to address the risks and threats that our corporate security team has identified. Our team also benchmarks our program to industry recognized frameworks, including the International Organization for Standardization. The Audit Committee of the Board of Directors receives regular reports on cybersecurity risks and evaluates these risks as a part of their enterprise risk review.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teams also rely on third-party diagnostic tools and periodic audits to ensure that our program is performing as designed and in-line with applicable standards. Our Chief Information Officer oversees a security committee made up of professionals on our corporate security and other information technology teams to review the results of these audits and recommend improvements. Prior to engaging a third party to provide services, our information technology team performs a risk assessment to determine the level of review of the vendor needed based on the nature of the services to be provided and type of information that may be shared. The resulting vendor review may include requiring the vendor to provide the results of external audits. We continue to monitor our vendors throughout their engagements with us to ensure they have complied with their contractual obligations, including service level agreements and other contractual standards.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also established an incident response plan to assess, identify and manage specific potential cybersecurity incidents. This plan requires the corporate security team to notify a response team. The response team assesses the risks of the identified potential incident and determines an appropriate response based on the risks identified. The response team then reports on the incident to senior management and, if necessary, a subset of our financial disclosure committee to determine if the cybersecurity incident should be reported in our public filings. </w:t>
      </w:r>
    </w:p>
    <w:p>
      <w:pPr>
        <w:pStyle w:val="TextBody"/>
        <w:bidi w:val="0"/>
        <w:spacing w:before="120" w:after="283"/>
        <w:jc w:val="left"/>
        <w:rPr>
          <w:rFonts w:ascii="Times New Roman" w:hAnsi="Times New Roman"/>
          <w:sz w:val="20"/>
        </w:rPr>
      </w:pPr>
      <w:r>
        <w:rPr>
          <w:rFonts w:ascii="Times New Roman" w:hAnsi="Times New Roman"/>
          <w:color w:val="000000"/>
          <w:sz w:val="20"/>
        </w:rPr>
        <w:t>We face cybersecurity risks in connection with our business operations. Although such risks have not materially affected us, including our business strategy, results of operations or financial condition, to date, we have experienced threats to our data and systems, including social engineering threats, denial of service attacks, malware and computer virus attacks. For more information about the cybersecurity risks we face, see Item 1A—</w:t>
      </w:r>
      <w:r>
        <w:rPr>
          <w:rFonts w:ascii="Times New Roman" w:hAnsi="Times New Roman"/>
          <w:i/>
          <w:color w:val="000000"/>
          <w:sz w:val="20"/>
        </w:rPr>
        <w:t>Risk Factors</w:t>
      </w:r>
      <w:r>
        <w:rPr>
          <w:rFonts w:ascii="Times New Roman" w:hAnsi="Times New Roman"/>
          <w:color w:val="000000"/>
          <w:sz w:val="20"/>
        </w:rPr>
        <w: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Governance</w:t>
      </w:r>
    </w:p>
    <w:p>
      <w:pPr>
        <w:pStyle w:val="TextBody"/>
        <w:bidi w:val="0"/>
        <w:spacing w:before="120" w:after="283"/>
        <w:jc w:val="left"/>
        <w:rPr>
          <w:rFonts w:ascii="Times New Roman" w:hAnsi="Times New Roman"/>
          <w:sz w:val="20"/>
        </w:rPr>
      </w:pPr>
      <w:r>
        <w:rPr>
          <w:rFonts w:ascii="Times New Roman" w:hAnsi="Times New Roman"/>
          <w:b/>
          <w:i/>
          <w:color w:val="000000"/>
          <w:sz w:val="20"/>
        </w:rPr>
        <w:t>Board Oversight</w:t>
      </w:r>
      <w:r>
        <w:rPr>
          <w:rFonts w:ascii="Times New Roman" w:hAnsi="Times New Roman"/>
          <w:color w:val="000000"/>
          <w:sz w:val="20"/>
        </w:rPr>
        <w:t>—The Audit Committee of the Board of Directors oversees the Company’s cybersecurity program. The cybersecurity team updates the Audit Committee on at least a quarterly basis to discuss the effectiveness of the Company’s risk management program, potential and identified threats, remediation and mitigation plans, and other topics as requested by the Audit Committee. The Audit Committee regularly reports to the full Board of Directors and management reports on specific matters as requested by the Board of Directors.</w:t>
      </w:r>
    </w:p>
    <w:p>
      <w:pPr>
        <w:pStyle w:val="TextBody"/>
        <w:bidi w:val="0"/>
        <w:spacing w:before="120" w:after="283"/>
        <w:jc w:val="left"/>
        <w:rPr>
          <w:rFonts w:ascii="Times New Roman" w:hAnsi="Times New Roman"/>
          <w:sz w:val="20"/>
        </w:rPr>
      </w:pPr>
      <w:r>
        <w:rPr>
          <w:rFonts w:ascii="Times New Roman" w:hAnsi="Times New Roman"/>
          <w:b/>
          <w:i/>
          <w:color w:val="000000"/>
          <w:sz w:val="20"/>
        </w:rPr>
        <w:t>Management’s Role</w:t>
      </w:r>
      <w:r>
        <w:rPr>
          <w:rFonts w:ascii="Times New Roman" w:hAnsi="Times New Roman"/>
          <w:color w:val="000000"/>
          <w:sz w:val="20"/>
        </w:rPr>
        <w:t>—The Company’s Chief Information Officer is responsible for the Company’s cybersecurity team and for reporting to the Audit Committee of the Board of Directors. The Company’s corporate security team reports directly to the Chief Information Officer. Our Chief Information Officer has more than thirty years of experience managing communication networks, data centers, information technology teams, systems administration and cybersecurity in the media and advertising industry. Our corporate security team is similarly composed of seasoned professionals with significant experience in the field. The Chief Information Officer regularly informs the Company’s senior management regarding the prevention, detection, mitigation and remediation of cybersecurity incidents and supervises such efforts. The corporate security team has a broad range of experience selecting, deploying and operating cybersecurity technologies initiatives and seeks to ensure that each team stays educated on emerging technologies and threats.</w:t>
      </w:r>
    </w:p>
    <w:p>
      <w:pPr>
        <w:pStyle w:val="TextBody"/>
        <w:bidi w:val="0"/>
        <w:spacing w:before="120" w:after="283"/>
        <w:jc w:val="left"/>
        <w:rPr>
          <w:rFonts w:ascii="Times New Roman" w:hAnsi="Times New Roman"/>
          <w:sz w:val="20"/>
        </w:rPr>
      </w:pPr>
      <w:bookmarkStart w:id="6" w:name="item_2_properties"/>
      <w:bookmarkEnd w:id="6"/>
      <w:r>
        <w:rPr>
          <w:rFonts w:ascii="Times New Roman" w:hAnsi="Times New Roman"/>
          <w:b/>
          <w:color w:val="000000"/>
          <w:sz w:val="20"/>
        </w:rPr>
        <w:t xml:space="preserve">Item 2. </w:t>
      </w:r>
      <w:r>
        <w:rPr>
          <w:rFonts w:ascii="Times New Roman" w:hAnsi="Times New Roman"/>
          <w:b/>
          <w:color w:val="000000"/>
          <w:sz w:val="20"/>
          <w:u w:val="single"/>
        </w:rPr>
        <w:t>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headquarters are located in Centennial, Colorado. As of January 1, 2026, the Company also leases offices in other cities, including, New York, Los Angeles and Chicago. We own no material real property. We believe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present facilities are adequate for our current needs and that additional space is available for future expansion on acceptable terms.</w:t>
      </w:r>
    </w:p>
    <w:p>
      <w:pPr>
        <w:pStyle w:val="TextBody"/>
        <w:bidi w:val="0"/>
        <w:spacing w:before="120" w:after="283"/>
        <w:jc w:val="left"/>
        <w:rPr>
          <w:rFonts w:ascii="Times New Roman" w:hAnsi="Times New Roman"/>
          <w:sz w:val="20"/>
        </w:rPr>
      </w:pPr>
      <w:bookmarkStart w:id="7" w:name="item_3_legal_proceedings"/>
      <w:bookmarkEnd w:id="7"/>
      <w:r>
        <w:rPr>
          <w:rFonts w:ascii="Times New Roman" w:hAnsi="Times New Roman"/>
          <w:b/>
          <w:color w:val="000000"/>
          <w:sz w:val="20"/>
        </w:rPr>
        <w:t xml:space="preserve">Item 3. </w:t>
      </w:r>
      <w:r>
        <w:rPr>
          <w:rFonts w:ascii="Times New Roman" w:hAnsi="Times New Roman"/>
          <w:b/>
          <w:color w:val="000000"/>
          <w:sz w:val="20"/>
          <w:u w:val="single"/>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sometimes involved in legal proceedings arising in the ordinary course of business. We are not aware of any litigation currently pending that would have a material adverse effect on our operating results or financial condition.</w:t>
      </w:r>
    </w:p>
    <w:p>
      <w:pPr>
        <w:pStyle w:val="TextBody"/>
        <w:bidi w:val="0"/>
        <w:spacing w:before="120" w:after="283"/>
        <w:jc w:val="left"/>
        <w:rPr>
          <w:rFonts w:ascii="Times New Roman" w:hAnsi="Times New Roman"/>
          <w:sz w:val="20"/>
        </w:rPr>
      </w:pPr>
      <w:bookmarkStart w:id="8" w:name="item_4_mine_safety_disclosures"/>
      <w:bookmarkEnd w:id="8"/>
      <w:r>
        <w:rPr>
          <w:rFonts w:ascii="Times New Roman" w:hAnsi="Times New Roman"/>
          <w:b/>
          <w:color w:val="000000"/>
          <w:sz w:val="20"/>
        </w:rPr>
        <w:t xml:space="preserve">Item 4. </w:t>
      </w:r>
      <w:r>
        <w:rPr>
          <w:rFonts w:ascii="Times New Roman" w:hAnsi="Times New Roman"/>
          <w:b/>
          <w:color w:val="000000"/>
          <w:sz w:val="20"/>
          <w:u w:val="single"/>
        </w:rPr>
        <w:t>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Information about our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Shown below are the names, ages as of the filing date of this Form 10-K and current positions of our executive officers. There are no family relationships between any of the persons listed below, or between any of such persons and any of the directors of the Company or any persons nominated or chosen by the Company to become a director or executive officer of the Company.</w:t>
      </w:r>
    </w:p>
    <w:p>
      <w:pPr>
        <w:pStyle w:val="TextBody"/>
        <w:bidi w:val="0"/>
        <w:jc w:val="left"/>
        <w:rPr/>
      </w:pPr>
      <w:r>
        <w:rPr/>
        <w:t> </w:t>
      </w:r>
    </w:p>
    <w:tbl>
      <w:tblPr>
        <w:tblW w:w="7150" w:type="dxa"/>
        <w:jc w:val="left"/>
        <w:tblInd w:w="0" w:type="dxa"/>
        <w:tblLayout w:type="fixed"/>
        <w:tblCellMar>
          <w:top w:w="28" w:type="dxa"/>
          <w:left w:w="28" w:type="dxa"/>
          <w:bottom w:w="28" w:type="dxa"/>
          <w:right w:w="28" w:type="dxa"/>
        </w:tblCellMar>
      </w:tblPr>
      <w:tblGrid>
        <w:gridCol w:w="1696"/>
        <w:gridCol w:w="146"/>
        <w:gridCol w:w="391"/>
        <w:gridCol w:w="146"/>
        <w:gridCol w:w="477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Position</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F. Lesinski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Ronnie Y. 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Maria V. Woods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General Counsel and Secretary</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Thomas F. Lesinski.</w:t>
      </w:r>
      <w:r>
        <w:rPr>
          <w:rFonts w:ascii="Times New Roman" w:hAnsi="Times New Roman"/>
          <w:color w:val="000000"/>
          <w:sz w:val="20"/>
        </w:rPr>
        <w:t xml:space="preserve"> Mr. Lesinski was appointed Chief Executive Officer of NCM, Inc. in August 2019. Prior to his current position, Mr. Lesinski served as the Non-Employee Chairman of the Board of Directors of NCM, Inc. since August 2018 and as a member of the Board of Directors of NCM, Inc. since 2014. In addition to his roles on the Board of Directors of NCM, Inc., Mr. Lesinski also served as the Chief Executive Officer of Sonar Entertainment, an independent entertainment studio, from January 2016 to August 2019. Mr. Lesinski served as the founder and CEO of Energi Entertainment, a multi-media content production company, from August 2014 until December 2015. From 2013 to 2014, Mr. Lesinski was President of Digital Content and Distribution at Legendary Entertainment, a leading media company dedicated to owning, producing and delivering content to mainstream audiences with a targeted focus on the powerful fandom demographic. Prior to that role, from 2006 to 2013, Mr. Lesinski served as President, Digital Entertainment at Paramount Pictures, a global producer and distributor of filmed entertainment. Mr. Lesinski also served as President of Worldwide Home Entertainment at Paramount Pictures for three years, prior to which, he spent ten years as an Executive Vice President and General Manager at Warner Bros. Entertainment and was a Managing Director for an advertising agency.</w:t>
      </w:r>
    </w:p>
    <w:p>
      <w:pPr>
        <w:pStyle w:val="TextBody"/>
        <w:bidi w:val="0"/>
        <w:spacing w:before="120" w:after="283"/>
        <w:jc w:val="left"/>
        <w:rPr>
          <w:rFonts w:ascii="Times New Roman" w:hAnsi="Times New Roman"/>
          <w:sz w:val="20"/>
        </w:rPr>
      </w:pPr>
      <w:r>
        <w:rPr>
          <w:rFonts w:ascii="Times New Roman" w:hAnsi="Times New Roman"/>
          <w:i/>
          <w:color w:val="000000"/>
          <w:sz w:val="20"/>
        </w:rPr>
        <w:t>Ronnie Y. Ng</w:t>
      </w:r>
      <w:r>
        <w:rPr>
          <w:rFonts w:ascii="Times New Roman" w:hAnsi="Times New Roman"/>
          <w:color w:val="000000"/>
          <w:sz w:val="20"/>
        </w:rPr>
        <w:t>. Mr. Ng was appointed Chief Financial Officer in September 2021. Mr. Ng previously served as the Chief Financial Officer and Head of Corporate Development of Allen Media Group from October 2018 until September 2021 where he led the company's finance organization and oversaw multiple large scale acquisitions and the refinancing of the company's capital structure. Before joining Allen Media Group, Mr. Ng served as Vice President in the Fixed Income Group for TCW Group from 2013 to 2018 where he invested in investment grade corporate bonds, high-yield bonds and leveraged loans. Prior to joining TCW Group, Mr. Ng was an investment banker for approximately 10 years. From 2006 to 2012 he was an Executive Director at UBS Investment Bank’s Global Media Group where he managed, advised, and structured various financings and mergers and acquisition transactions. Previously, Mr. Ng held similar investment banking positions from 2003 to 2006 at Deutsche Bank and Houlihan Lokey. Prior to Mr. Ng’s investment banking career, he provided financial and accounting due diligence services for merger and acquisition and financing transactions at Arthur Andersen. Mr. Ng holds a Bachelor of Science degree in finance from the University of Illinois at Urbana-Champaign and was a licensed general securities representative (Series 7) and Uniform Securities Agent (Series 63).</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Maria V. Woods. </w:t>
      </w:r>
      <w:r>
        <w:rPr>
          <w:rFonts w:ascii="Times New Roman" w:hAnsi="Times New Roman"/>
          <w:color w:val="000000"/>
          <w:sz w:val="20"/>
        </w:rPr>
        <w:t>Ms. Woods was appointed Executive Vice President and General Counsel in September 2021 and promoted to Chief Legal Officer and Secretary in December 2025. Ms. Woods previously served in several key leadership roles on NCM’s legal team from 2010 through 2015, rising to the role of National CineMedia, LLC’s EVP and General Counsel. Ms. Woods previously served as General Counsel for Lucky’s Market from June of 2015 to June of 2020, including during its bankruptcy proceedings in January of 2020. In between her role at Lucky’s Market and returning to NCM in September 2021, Ms. Woods served as General Counsel and Secretary at JumpCloud, Inc., providing strategic legal counsel for all legal aspects of the company’s SaaS identity management business, including, corporate governance, merger and acquisition activity, financing and stock repurchases and commercial contracting and served as General Counsel &amp; Secretary at ONE Group Hospitality, Inc. Earlier in her career, she was Associate General Counsel at Einstein Noah Restaurant Group, Inc. and Assistant General Counsel at Sun Microsystems, Inc. She began her career at Holme Roberts &amp; Owen (now Bryan Cave) in Denver. She holds a Bachelor of Arts in Communications Studies from the University of Iowa and a Juris Doctorate from the University of Denver Sturm College of Law.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120" w:after="283"/>
        <w:jc w:val="left"/>
        <w:rPr>
          <w:rFonts w:ascii="Times New Roman" w:hAnsi="Times New Roman"/>
          <w:sz w:val="20"/>
        </w:rPr>
      </w:pPr>
      <w:bookmarkStart w:id="9" w:name="item_5_market_for_registrant_common"/>
      <w:bookmarkEnd w:id="9"/>
      <w:r>
        <w:rPr>
          <w:rFonts w:ascii="Times New Roman" w:hAnsi="Times New Roman"/>
          <w:b/>
          <w:color w:val="000000"/>
          <w:sz w:val="20"/>
        </w:rPr>
        <w:t xml:space="preserve">Item 5. </w:t>
      </w:r>
      <w:r>
        <w:rPr>
          <w:rFonts w:ascii="Times New Roman" w:hAnsi="Times New Roman"/>
          <w:b/>
          <w:color w:val="000000"/>
          <w:sz w:val="20"/>
          <w:u w:val="single"/>
        </w:rPr>
        <w:t>Market</w:t>
      </w:r>
      <w:r>
        <w:rPr>
          <w:rFonts w:ascii="Times New Roman" w:hAnsi="Times New Roman"/>
          <w:color w:val="000000"/>
          <w:sz w:val="20"/>
          <w:u w:val="single"/>
        </w:rPr>
        <w:t xml:space="preserve"> </w:t>
      </w:r>
      <w:r>
        <w:rPr>
          <w:rFonts w:ascii="Times New Roman" w:hAnsi="Times New Roman"/>
          <w:b/>
          <w:color w:val="000000"/>
          <w:sz w:val="20"/>
          <w:u w:val="single"/>
        </w:rPr>
        <w:t>for Registrant’s Common Equity, Related Stockholder Matters and Issuer Purchases of Equity Securities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$0.01 par value, is traded on The Nasdaq Global Select Market under the symbol “NCMI”. There were 205 stockholders of record as of February 20, 2026 (does not include beneficial holders of shares held in “street name”).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discretion of the Board of Directors, the Company will consider returning a portion of its free cash flow to stockholders. The declaration, payment, timing and amount of any future dividends payable will be at the sole discretion of the Board of Directors who will take into account general economic and advertising market business conditions, the Company’s financial condition, available cash, current and anticipated cash needs and any other factors that the Board of Directors considers relevant.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table below provides information about shares purchased in connection with the Company’s share repurchase program during the three months ended January 1, 2026.</w:t>
      </w:r>
    </w:p>
    <w:tbl>
      <w:tblPr>
        <w:tblW w:w="10004" w:type="dxa"/>
        <w:jc w:val="left"/>
        <w:tblInd w:w="0" w:type="dxa"/>
        <w:tblLayout w:type="fixed"/>
        <w:tblCellMar>
          <w:top w:w="28" w:type="dxa"/>
          <w:left w:w="28" w:type="dxa"/>
          <w:bottom w:w="28" w:type="dxa"/>
          <w:right w:w="28" w:type="dxa"/>
        </w:tblCellMar>
      </w:tblPr>
      <w:tblGrid>
        <w:gridCol w:w="3886"/>
        <w:gridCol w:w="146"/>
        <w:gridCol w:w="177"/>
        <w:gridCol w:w="948"/>
        <w:gridCol w:w="146"/>
        <w:gridCol w:w="146"/>
        <w:gridCol w:w="373"/>
        <w:gridCol w:w="827"/>
        <w:gridCol w:w="146"/>
        <w:gridCol w:w="146"/>
        <w:gridCol w:w="198"/>
        <w:gridCol w:w="1062"/>
        <w:gridCol w:w="146"/>
        <w:gridCol w:w="146"/>
        <w:gridCol w:w="411"/>
        <w:gridCol w:w="909"/>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t>
              <w:br/>
              <w:t>Total Number</w:t>
              <w:br/>
              <w:t>of Shares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w:t>
              <w:br/>
              <w:t>Average Price</w:t>
              <w:br/>
              <w:t>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w:t>
              <w:br/>
              <w:t>Total Number</w:t>
              <w:br/>
              <w:t>of Shares</w:t>
              <w:br/>
              <w:t>Purchased as</w:t>
              <w:br/>
              <w:t>Part of Publicly</w:t>
              <w:br/>
              <w:t>Announced</w:t>
              <w:br/>
              <w:t>Plans or</w:t>
              <w:br/>
              <w:t xml:space="preserve">Programs </w:t>
            </w:r>
            <w:r>
              <w:rPr>
                <w:rFonts w:ascii="Times New Roman" w:hAnsi="Times New Roman"/>
                <w:b/>
                <w:i/>
                <w:color w:val="000000"/>
                <w:sz w:val="16"/>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w:t>
              <w:br/>
              <w:t>Maximum</w:t>
              <w:br/>
              <w:t>Number (or</w:t>
              <w:br/>
              <w:t>Approximate</w:t>
              <w:br/>
              <w:t>Dollar Value)</w:t>
              <w:br/>
              <w:t>of Shares that</w:t>
              <w:br/>
              <w:t>may yet be</w:t>
              <w:br/>
              <w:t>Purchased under</w:t>
              <w:br/>
              <w:t>the Plans or</w:t>
              <w:br/>
              <w:t xml:space="preserve">Programs </w:t>
              <w:br/>
              <w:t xml:space="preserve"> (in millions) </w:t>
            </w:r>
            <w:r>
              <w:rPr>
                <w:rFonts w:ascii="Times New Roman" w:hAnsi="Times New Roman"/>
                <w:b/>
                <w:i/>
                <w:color w:val="000000"/>
                <w:sz w:val="16"/>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26, 2025 through October 23,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24, 2025 through November 27,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28, 2025 through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477,264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477,264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for the quarter ended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833,047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833,047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60" w:after="120"/>
        <w:jc w:val="left"/>
        <w:rPr>
          <w:rFonts w:ascii="Times New Roman" w:hAnsi="Times New Roman"/>
          <w:sz w:val="20"/>
        </w:rPr>
      </w:pPr>
      <w:r>
        <w:rPr>
          <w:rFonts w:ascii="Times New Roman" w:hAnsi="Times New Roman"/>
          <w:i/>
          <w:color w:val="000000"/>
          <w:sz w:val="20"/>
        </w:rPr>
        <w:t xml:space="preserve">(1) </w:t>
      </w:r>
      <w:r>
        <w:rPr>
          <w:rFonts w:ascii="Times New Roman" w:hAnsi="Times New Roman"/>
          <w:color w:val="000000"/>
          <w:sz w:val="20"/>
        </w:rPr>
        <w:t>On March 18, 2024, the Board of Directors of the Company approved a stock repurchase program under which the Company is authorized to use assets of the Company to repurchase up to $100.0 million of shares of the Company’s Common Stock, exclusive of any fees, commissions or other expenses related to such repurchases, from time to time over a period of three years. Shares may be repurchased under the program through open market purchases, block trades, or accelerated or other structured share repurchase programs.</w:t>
      </w:r>
    </w:p>
    <w:p>
      <w:pPr>
        <w:pStyle w:val="TextBody"/>
        <w:bidi w:val="0"/>
        <w:jc w:val="both"/>
        <w:rPr>
          <w:rFonts w:ascii="Times New Roman" w:hAnsi="Times New Roman"/>
          <w:sz w:val="20"/>
        </w:rPr>
      </w:pPr>
      <w:bookmarkStart w:id="10" w:name="item_6_reserved"/>
      <w:bookmarkEnd w:id="10"/>
      <w:r>
        <w:rPr>
          <w:rFonts w:ascii="Times New Roman" w:hAnsi="Times New Roman"/>
          <w:b/>
          <w:color w:val="000000"/>
          <w:sz w:val="20"/>
        </w:rPr>
        <w:t xml:space="preserve">Item 6. </w:t>
      </w:r>
      <w:r>
        <w:rPr>
          <w:rFonts w:ascii="Times New Roman" w:hAnsi="Times New Roman"/>
          <w:b/>
          <w:color w:val="000000"/>
          <w:sz w:val="20"/>
          <w:u w:val="single"/>
        </w:rPr>
        <w:t>[RESERVED]</w:t>
      </w:r>
    </w:p>
    <w:p>
      <w:pPr>
        <w:pStyle w:val="TextBody"/>
        <w:bidi w:val="0"/>
        <w:spacing w:before="120" w:after="283"/>
        <w:jc w:val="both"/>
        <w:rPr>
          <w:rFonts w:ascii="Times New Roman" w:hAnsi="Times New Roman"/>
          <w:sz w:val="20"/>
        </w:rPr>
      </w:pPr>
      <w:bookmarkStart w:id="11" w:name="item_7_managementdiscussionandanalysis"/>
      <w:bookmarkEnd w:id="11"/>
      <w:r>
        <w:rPr>
          <w:rFonts w:ascii="Times New Roman" w:hAnsi="Times New Roman"/>
          <w:b/>
          <w:color w:val="000000"/>
          <w:sz w:val="20"/>
        </w:rPr>
        <w:t xml:space="preserve">Item 7. </w:t>
      </w:r>
      <w:r>
        <w:rPr>
          <w:rFonts w:ascii="Times New Roman" w:hAnsi="Times New Roman"/>
          <w:b/>
          <w:color w:val="000000"/>
          <w:sz w:val="20"/>
          <w:u w:val="single"/>
        </w:rPr>
        <w:t>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 discussed in the forepart of this report, some of the information in this Annual Report on Form 10-K includes “forward-looking statements” within the meaning of Section 27A of the Securities Act of 1933, as amended, and Section 21E of the Securities Exchange Act of 1934, as amended (the “Exchange Act”). All statements other than statements of historical facts included in this Form 10-K,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The following discussion and analysis should be read in conjunction with our historical financial statements and the related notes thereto included elsewhere in this document. In the following discussion and analysis, the term net income refers to net income attributable to NCM, Inc.</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This following section of this Form 10-K generally discusses fiscal 2025 and fiscal 2024 items and year-to-year comparisons between fiscal 2025 and fiscal 2024. Discussions of fiscal 2023 items and year-to-year comparisons between fiscal 2024 and fiscal 2023 that are not included in this Form 10-K can be found in “Management’s Discussion and Analysis of Financial Condition and Results of Operations” in Part II, Item 7 of the Company’s Annual Report on Form 10-K for the fiscal year ended December 26,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National CineMedia is the largest cinema advertising platform in the U.S. With unparalleled reach and scale, NCM connects brands to sought-after young, diverse audiences through the power of movies and pop culture. A premium video, full-funnel marketing solution for advertisers, NCM enhances marketers’ ability to measure and drive results. We currently derive revenue principally from the sale of advertising to national, regional and local businesses in The </w:t>
      </w:r>
      <w:r>
        <w:rPr>
          <w:rFonts w:ascii="Times New Roman" w:hAnsi="Times New Roman"/>
          <w:i/>
          <w:color w:val="000000"/>
          <w:sz w:val="20"/>
        </w:rPr>
        <w:t xml:space="preserve">Noovie® </w:t>
      </w:r>
      <w:r>
        <w:rPr>
          <w:rFonts w:ascii="Times New Roman" w:hAnsi="Times New Roman"/>
          <w:color w:val="000000"/>
          <w:sz w:val="20"/>
        </w:rPr>
        <w:t xml:space="preserve">Show, our cinema advertising and entertainment show seen on movie screens across the U.S. within the NCM Network, and the </w:t>
      </w:r>
      <w:r>
        <w:rPr>
          <w:rFonts w:ascii="Times New Roman" w:hAnsi="Times New Roman"/>
          <w:i/>
          <w:color w:val="000000"/>
          <w:sz w:val="20"/>
        </w:rPr>
        <w:t xml:space="preserve">Cinelife® </w:t>
      </w:r>
      <w:r>
        <w:rPr>
          <w:rFonts w:ascii="Times New Roman" w:hAnsi="Times New Roman"/>
          <w:color w:val="000000"/>
          <w:sz w:val="20"/>
        </w:rPr>
        <w:t xml:space="preserve">Show within the Spotlight Cinema Network. We present multiple formats of The </w:t>
      </w:r>
      <w:r>
        <w:rPr>
          <w:rFonts w:ascii="Times New Roman" w:hAnsi="Times New Roman"/>
          <w:i/>
          <w:color w:val="000000"/>
          <w:sz w:val="20"/>
        </w:rPr>
        <w:t xml:space="preserve">Noovie® </w:t>
      </w:r>
      <w:r>
        <w:rPr>
          <w:rFonts w:ascii="Times New Roman" w:hAnsi="Times New Roman"/>
          <w:color w:val="000000"/>
          <w:sz w:val="20"/>
        </w:rPr>
        <w:t xml:space="preserve">Show and </w:t>
      </w:r>
      <w:r>
        <w:rPr>
          <w:rFonts w:ascii="Times New Roman" w:hAnsi="Times New Roman"/>
          <w:i/>
          <w:color w:val="000000"/>
          <w:sz w:val="20"/>
        </w:rPr>
        <w:t xml:space="preserve">Cinelife® </w:t>
      </w:r>
      <w:r>
        <w:rPr>
          <w:rFonts w:ascii="Times New Roman" w:hAnsi="Times New Roman"/>
          <w:color w:val="000000"/>
          <w:sz w:val="20"/>
        </w:rPr>
        <w:t xml:space="preserve">Show depending on the theater circuit in which it runs, with almost all theater circuits including Post-Showtime advertising inventory after the advertised showtime. The movie trailers presented by the theater circuits that run before the feature film are not part of our preshows.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also sell advertising on our LEN, a series of strategically-placed screens located in movie theater lobbies, as well as other forms of advertising, promotions and experiences in theater lobbies. In addition, we sell digital advertising through the </w:t>
      </w:r>
      <w:r>
        <w:rPr>
          <w:rFonts w:ascii="Times New Roman" w:hAnsi="Times New Roman"/>
          <w:i/>
          <w:color w:val="000000"/>
          <w:sz w:val="20"/>
        </w:rPr>
        <w:t>NCMx</w:t>
      </w:r>
      <w:r>
        <w:rPr>
          <w:rFonts w:ascii="Times New Roman" w:hAnsi="Times New Roman"/>
          <w:color w:val="000000"/>
          <w:sz w:val="20"/>
        </w:rPr>
        <w:t xml:space="preserve"> suite of products and through our </w:t>
      </w:r>
      <w:r>
        <w:rPr>
          <w:rFonts w:ascii="Times New Roman" w:hAnsi="Times New Roman"/>
          <w:i/>
          <w:color w:val="000000"/>
          <w:sz w:val="20"/>
        </w:rPr>
        <w:t>Noovie</w:t>
      </w:r>
      <w:r>
        <w:rPr>
          <w:rFonts w:ascii="Times New Roman" w:hAnsi="Times New Roman"/>
          <w:color w:val="000000"/>
          <w:sz w:val="20"/>
        </w:rPr>
        <w:t xml:space="preserve"> digital properties. We also sell advertising across a variety of complementary out of home venues. In combination, our multimedia advertising connects brands with audiences across all screens, both in theaters and beyond, before, during and after their moviegoing experience. We have long-term ESAs (approximately 15.6 weighted average years) with the ESA Parties and multi-year agreements with network affiliates, which expire at various dates between March 31, 2026 and July 13, 2033, with our largest affiliate agreement expiring on July 13, 2033. The weighted average remaining term of the ESAs and the network affiliate agreements is 11.8 years as of January 1, 2026. The ESAs and network affiliate agreements grant NCM LLC exclusive rights in their theaters to sell advertising, subject to limited exceptions. Our advertising preshows and LEN programming are distributed predominantly through our proprietary DCN and Media Director.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We focus on many operating metrics including revenue, Adjusted OIBDA and Adjusted OIBDA margin, as some of our primary measurement metrics. In addition, we monitor our monthly advertising performance measurements, including advertising inventory utilization, advertising pricing (CPM), local advertising rate per theater per week, advertising revenue per attendee, as well as significant operating expenses and related trends. We also monitor free cash flow, cash balances, the fixed charge coverage ratio and revolving credit facility availability to ensure financial debt covenant compliance and that there is adequate cash availability to fund our working capital needs, debt obligations and any future dividends declared by our Board of Directors.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120" w:after="283"/>
        <w:jc w:val="left"/>
        <w:rPr>
          <w:rFonts w:ascii="Times New Roman" w:hAnsi="Times New Roman"/>
          <w:sz w:val="20"/>
        </w:rPr>
      </w:pPr>
      <w:r>
        <w:rPr>
          <w:rFonts w:ascii="Times New Roman" w:hAnsi="Times New Roman"/>
          <w:b/>
          <w:i/>
          <w:color w:val="000000"/>
          <w:sz w:val="20"/>
        </w:rPr>
        <w:t>Spotlight</w:t>
      </w:r>
      <w:r>
        <w:rPr>
          <w:rFonts w:ascii="Times New Roman" w:hAnsi="Times New Roman"/>
          <w:color w:val="000000"/>
          <w:sz w:val="20"/>
        </w:rPr>
        <w:t>—On November 14, 2025, NCM LLC entered into a Membership Interest Purchase Agreement (“MIPA”) with Spotlight Cinema Networks (“Spotlight”), a niche cinema advertising company, whereby the Company acquired 100.0% of Spotlight. The acquisition of Spotlight adds high-scale luxury screens and exhibitors that offer unique and engaging customer experiences to the Company’s platform, unlocking new advertising and preshow entertainment inventory. Spotlight’s exhibitor partners, including Cinépolis Luxury Cinema, Landmark Theatres, Flix Brewhouse and LOOK Dine-In Cinemas, complement NCM’s national theater network and extend NCM’s reach among culturally engaged premium audiences. The addition of Spotlight’s footprint increases NCM’s national market share by more than 6.0% and expands its theater presence by approximately 30.0% in the critical New York and Los Angeles markets. Spotlight was consolidated within the Company's financial statements for the period of November 15, 2025 through January 1, 2026. Refer to Note 5—</w:t>
      </w:r>
      <w:r>
        <w:rPr>
          <w:rFonts w:ascii="Times New Roman" w:hAnsi="Times New Roman"/>
          <w:i/>
          <w:color w:val="000000"/>
          <w:sz w:val="20"/>
        </w:rPr>
        <w:t>Business Combinations</w:t>
      </w:r>
      <w:r>
        <w:rPr>
          <w:rFonts w:ascii="Times New Roman" w:hAnsi="Times New Roman"/>
          <w:color w:val="000000"/>
          <w:sz w:val="20"/>
        </w:rPr>
        <w:t xml:space="preserve"> for more information regarding the acquisition and consolidation of Spotlight. </w:t>
      </w:r>
    </w:p>
    <w:p>
      <w:pPr>
        <w:pStyle w:val="TextBody"/>
        <w:bidi w:val="0"/>
        <w:spacing w:before="120" w:after="283"/>
        <w:jc w:val="left"/>
        <w:rPr>
          <w:rFonts w:ascii="Times New Roman" w:hAnsi="Times New Roman"/>
          <w:sz w:val="20"/>
        </w:rPr>
      </w:pPr>
      <w:r>
        <w:rPr>
          <w:rFonts w:ascii="Times New Roman" w:hAnsi="Times New Roman"/>
          <w:b/>
          <w:i/>
          <w:color w:val="000000"/>
          <w:sz w:val="20"/>
        </w:rPr>
        <w:t>AMC</w:t>
      </w:r>
      <w:r>
        <w:rPr>
          <w:rFonts w:ascii="Times New Roman" w:hAnsi="Times New Roman"/>
          <w:color w:val="000000"/>
          <w:sz w:val="20"/>
        </w:rPr>
        <w:t xml:space="preserve">—On April 17, 2025, the Company and AMC, entered into the Second Amended and Restated Exhibitor Services Agreement (the “2025 AMC Agreement”) and a separate termination agreement (the “AMC Termination Agreement”) by and among NCM LLC, NCM, Inc. and AMC. The 2025 AMC Agreement extends the term of the ESA by five years, more closely aligns the program distributed by NCM LLC in AMC theaters to the predominant pre-feature program show structure in the rest of NCM LLC's advertising network and adjusts the consideration paid by NCM LLC. The AMC Termination Agreement waives AMC’s rights under certain agreements entered into at the time of the IPO. The agreements were accounted for in accordance with the lease modification guidance within ASC 842—Leases as the amended ESA contains a short-term operating lease of AMC’s screens. The agreements were considered combined as they were entered into contemporaneously by the same parties. As a result of the agreements, in the year ended January 1, 2026, NCM LLC released $24.8 million of the 'Payable under the TRA' and reversed the receivable of $10.6 million from AMC, related to unpaid integration payments, and the receivable under the Common Unit Adjustment Agreement within 'Prepaid expenses and other assets' on the Company's audited Condensed Consolidated Balance Sheet. NCM will no longer have an obligation to make TRA payments to AMC, provide common units as a part of the Common Unit Adjustment Agreement or distribute NCM LLC's available cash to AMC and the Company received the benefits of the revised ESA, including enhancements related to the pre-feature show structure and the exclusive right to advertise in AMC's theaters. The net impact of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reversals was recorded to the 'Intangible Assets, net of amortization' as AMC's forfeiture of this net payable was considered akin to a lease incentive. The reduction in the intangible asset for the ESAs and the extension of the term of the ESA will result in reduced amortization expense, as it is considered akin to lease expense, for the remainder of the contract term. Refer to Note 6—</w:t>
      </w:r>
      <w:r>
        <w:rPr>
          <w:rFonts w:ascii="Times New Roman" w:hAnsi="Times New Roman"/>
          <w:i/>
          <w:color w:val="000000"/>
          <w:sz w:val="20"/>
        </w:rPr>
        <w:t>Intangible Assets</w:t>
      </w:r>
      <w:r>
        <w:rPr>
          <w:rFonts w:ascii="Times New Roman" w:hAnsi="Times New Roman"/>
          <w:color w:val="000000"/>
          <w:sz w:val="20"/>
        </w:rPr>
        <w:t>, Note 7 —</w:t>
      </w:r>
      <w:r>
        <w:rPr>
          <w:rFonts w:ascii="Times New Roman" w:hAnsi="Times New Roman"/>
          <w:i/>
          <w:color w:val="000000"/>
          <w:sz w:val="20"/>
        </w:rPr>
        <w:t>Income Taxes</w:t>
      </w:r>
      <w:r>
        <w:rPr>
          <w:rFonts w:ascii="Times New Roman" w:hAnsi="Times New Roman"/>
          <w:color w:val="000000"/>
          <w:sz w:val="20"/>
        </w:rPr>
        <w:t>, and Note 13—</w:t>
      </w:r>
      <w:r>
        <w:rPr>
          <w:rFonts w:ascii="Times New Roman" w:hAnsi="Times New Roman"/>
          <w:i/>
          <w:color w:val="000000"/>
          <w:sz w:val="20"/>
        </w:rPr>
        <w:t>Commitments and Contingencies</w:t>
      </w:r>
      <w:r>
        <w:rPr>
          <w:rFonts w:ascii="Times New Roman" w:hAnsi="Times New Roman"/>
          <w:color w:val="000000"/>
          <w:sz w:val="20"/>
        </w:rPr>
        <w:t xml:space="preserve"> and the Company’s Form 8-K filed with the SEC on April 23, 2025 for additional detail surrounding these agreements.</w:t>
      </w:r>
    </w:p>
    <w:p>
      <w:pPr>
        <w:pStyle w:val="TextBody"/>
        <w:bidi w:val="0"/>
        <w:spacing w:before="120" w:after="283"/>
        <w:jc w:val="left"/>
        <w:rPr>
          <w:rFonts w:ascii="Times New Roman" w:hAnsi="Times New Roman"/>
          <w:sz w:val="20"/>
        </w:rPr>
      </w:pPr>
      <w:r>
        <w:rPr>
          <w:rFonts w:ascii="Times New Roman" w:hAnsi="Times New Roman"/>
          <w:b/>
          <w:i/>
          <w:color w:val="000000"/>
          <w:sz w:val="20"/>
        </w:rPr>
        <w:t>Debt Agreement</w:t>
      </w:r>
      <w:r>
        <w:rPr>
          <w:rFonts w:ascii="Times New Roman" w:hAnsi="Times New Roman"/>
          <w:color w:val="000000"/>
          <w:sz w:val="20"/>
        </w:rPr>
        <w:t>—On January 24, 2025, NCM LLC, entered into a Loan and Security Agreement with U.S. Bank National Association, as lender. The agreement provides for a $45.0 million senior secured revolving credit facility (the “2025 Credit Facility”) that matures on January 24, 2028. In connection with entering into the 2025 Credit Facility, NCM LLC repaid in full the $10.0 million balance outstanding as of December 26, 2024 and terminated all commitments under its 2023 Revolving Credit Facility, and paid a prepayment fee equal to 1% of the total commitment. The 2025 Credit Facility is expected to result in a meaningful reduction of the Company’s overall interest expense, extends the maturity date to 2028 and is a cash flow-based revolving loan compared to the asset-based revolving loan of the 2023 Revolving Credit Facility. As of January 1, 2026, NCM LLC has an outstanding balance of $12.0 million under the 2025 Credit Facility. Borrowings under the 2025 Credit Facility may be used for, among other things, working capital and other general corporate purposes of the Company and bear interest at a floating rate equal to term SOFR (subject to a floor of zero) plus an applicable margin of 2.00%, which is subject to increase by an additional 2.00% upon the occurrence of an event of default.</w:t>
      </w:r>
    </w:p>
    <w:p>
      <w:pPr>
        <w:pStyle w:val="TextBody"/>
        <w:bidi w:val="0"/>
        <w:spacing w:before="120" w:after="283"/>
        <w:jc w:val="left"/>
        <w:rPr>
          <w:rFonts w:ascii="Times New Roman" w:hAnsi="Times New Roman"/>
          <w:sz w:val="20"/>
        </w:rPr>
      </w:pPr>
      <w:r>
        <w:rPr>
          <w:rFonts w:ascii="Times New Roman" w:hAnsi="Times New Roman"/>
          <w:b/>
          <w:i/>
          <w:color w:val="000000"/>
          <w:sz w:val="20"/>
        </w:rPr>
        <w:t>Share Repurchase Program</w:t>
      </w:r>
      <w:r>
        <w:rPr>
          <w:rFonts w:ascii="Times New Roman" w:hAnsi="Times New Roman"/>
          <w:color w:val="000000"/>
          <w:sz w:val="20"/>
        </w:rPr>
        <w:t xml:space="preserve">—On March 18, 2024, the Board of Directors of the Company approved a stock repurchase program under which the Company is authorized to use assets of the Company to repurchase up to $100.0 million of shares of the Company’s Common Stock, exclusive of any fees, commissions or other expenses related to such repurchases, from time to time over a period of three years. Shares may be repurchased under the program through open market purchases, block trades, or accelerated or other structured share repurchase programs. During the year ended January 1, 2026 and December 26, 2024, 4.1 million and 2.5 million shares were repurchased on the open market, respectively. In accordance with </w:t>
      </w:r>
      <w:r>
        <w:rPr>
          <w:rFonts w:ascii="Times New Roman" w:hAnsi="Times New Roman"/>
          <w:i/>
          <w:color w:val="000000"/>
          <w:sz w:val="20"/>
        </w:rPr>
        <w:t>ASC 505 —Equity</w:t>
      </w:r>
      <w:r>
        <w:rPr>
          <w:rFonts w:ascii="Times New Roman" w:hAnsi="Times New Roman"/>
          <w:color w:val="000000"/>
          <w:sz w:val="20"/>
        </w:rPr>
        <w:t>, the Company elected to retire the shares. Upon the retirement of these shares, the excess over par value paid, inclusive of direct costs, of</w:t>
      </w:r>
      <w:r>
        <w:rPr>
          <w:rFonts w:ascii="Times New Roman" w:hAnsi="Times New Roman"/>
          <w:color w:val="FF0000"/>
          <w:sz w:val="20"/>
        </w:rPr>
        <w:t xml:space="preserve"> </w:t>
      </w:r>
      <w:r>
        <w:rPr>
          <w:rFonts w:ascii="Times New Roman" w:hAnsi="Times New Roman"/>
          <w:color w:val="000000"/>
          <w:sz w:val="20"/>
        </w:rPr>
        <w:t>$22.3 million and $13.4 million was recorded as a reduction to retained earnings for the year ended January 1, 2026 and December 26, 2024, respectively.</w:t>
      </w:r>
    </w:p>
    <w:p>
      <w:pPr>
        <w:pStyle w:val="TextBody"/>
        <w:bidi w:val="0"/>
        <w:spacing w:before="120" w:after="283"/>
        <w:jc w:val="left"/>
        <w:rPr>
          <w:rFonts w:ascii="Times New Roman" w:hAnsi="Times New Roman"/>
          <w:sz w:val="20"/>
        </w:rPr>
      </w:pPr>
      <w:r>
        <w:rPr>
          <w:rFonts w:ascii="Times New Roman" w:hAnsi="Times New Roman"/>
          <w:b/>
          <w:i/>
          <w:color w:val="000000"/>
          <w:sz w:val="20"/>
        </w:rPr>
        <w:t>Reverse Stock Split</w:t>
      </w:r>
      <w:r>
        <w:rPr>
          <w:rFonts w:ascii="Times New Roman" w:hAnsi="Times New Roman"/>
          <w:color w:val="000000"/>
          <w:sz w:val="20"/>
        </w:rPr>
        <w:t>—On August 3, 2023, the Company effected a one-for-ten (1:10) reverse stock split of its common stock, par value $0.01 per share. The reverse stock split reduced the number of outstanding shares of the Company’s common stock from 174,112,385 shares as of August 3, 2023, to 17,411,323 shares outstanding post-split. After the cancellation of Regal’s shares on August 7, 2023, there were 13,343,065 shares outstanding. The primary purpose of the reverse stock split was to comply with the Company’s obligations under the NCMI 9019 Settlement, as well as, to increase the per share market price of the Company’s common stock in an effort to maintain compliance with applicable Nasdaq continued listing standards.</w:t>
      </w:r>
    </w:p>
    <w:p>
      <w:pPr>
        <w:pStyle w:val="TextBody"/>
        <w:bidi w:val="0"/>
        <w:spacing w:before="120" w:after="283"/>
        <w:jc w:val="left"/>
        <w:rPr>
          <w:rFonts w:ascii="Times New Roman" w:hAnsi="Times New Roman"/>
          <w:sz w:val="20"/>
        </w:rPr>
      </w:pPr>
      <w:r>
        <w:rPr>
          <w:rFonts w:ascii="Times New Roman" w:hAnsi="Times New Roman"/>
          <w:b/>
          <w:i/>
          <w:color w:val="000000"/>
          <w:sz w:val="20"/>
        </w:rPr>
        <w:t>Bankruptcy Filing, Deconsolidation and Reconsolidation of NCM LLC</w:t>
      </w:r>
      <w:r>
        <w:rPr>
          <w:rFonts w:ascii="Times New Roman" w:hAnsi="Times New Roman"/>
          <w:color w:val="000000"/>
          <w:sz w:val="20"/>
        </w:rPr>
        <w:t>—On April 11, 2023, NCM LLC filed a voluntary petition for reorganization with a prearranged Chapter 11 plan under Chapter 11 of Title 11 of the United States Code in the Bankruptcy Code in the Bankruptcy Court. During the Chapter 11 Case, the Company was deemed to no longer control NCM LLC for accounting purposes and NCM LLC was deconsolidated from the Company’s financial statements prospectively as of April 11, 2023. We continued to operate as the manager of the debtor-in-possession pursuant to the authority granted under Chapter 11 of the Bankruptcy Code throughout the Chapter 11 Case.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27, 2023, the Bankruptcy Court entered the Confirmation Order approving the Disclosure Statement on a final basis and confirming the Company’s Plan. Following confirmation of the Plan on August 7, 2023, all the conditions to effectiveness of the Plan were satisfied or waived, the Restructuring Transactions were substantially consummated and NCM LLC emerged from bankruptcy. Among other things, on the Effective Date, in accordance with the Plan, all common units under the NCM LLC Operating Agreement were canceled and extinguished, NCM, Inc. received NCM LLC common units and transferred the NCM Capital Contribution of approximately $15.5 million to NCM LLC, NCM LLC assumed certain unexpired Executory Contracts and Unexpired Leases, including AMC’s and Cinemark’s ESAs, NCM LLC transferred $8.8 million of cash to a professional fees escrow account and $15.0 million to an unsecured creditor settlements escrow account for the General Unsecured Claim Pool. NCM LLC commenced distributions to creditors, including the issuance of shares of NCM, Inc. common stock to holders of Secured Debt Claims and NCM LLC entered into an Exit Facility to support operations upon emergence. As a result of the Plan, all historical debt of NCM LLC was discharged and NCM LLC recorded a gain on bankruptcy of $916.4 million for the year ended December 28, 2023.</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Additionally, upon emergence from bankruptcy, NCM, Inc., regained control and retained 100.0% ownership of NCM LLC, after taking into account elections by the holders of Secured Debt Claims to receive NCM, Inc. common stock in lieu of NCM LLC common units and was therefore reconsolidated into the Company’s financial statements prospectively as of August 7, 2023 akin to an acquisition under </w:t>
      </w:r>
      <w:r>
        <w:rPr>
          <w:rFonts w:ascii="Times New Roman" w:hAnsi="Times New Roman"/>
          <w:i/>
          <w:color w:val="000000"/>
          <w:sz w:val="20"/>
        </w:rPr>
        <w:t>ASC 805 – Business Combinations</w:t>
      </w:r>
      <w:r>
        <w:rPr>
          <w:rFonts w:ascii="Times New Roman" w:hAnsi="Times New Roman"/>
          <w:color w:val="000000"/>
          <w:sz w:val="20"/>
        </w:rPr>
        <w:t xml:space="preserve">. In accordance with </w:t>
      </w:r>
      <w:r>
        <w:rPr>
          <w:rFonts w:ascii="Times New Roman" w:hAnsi="Times New Roman"/>
          <w:i/>
          <w:color w:val="000000"/>
          <w:sz w:val="20"/>
        </w:rPr>
        <w:t xml:space="preserve">ASC 805 </w:t>
      </w:r>
      <w:r>
        <w:rPr>
          <w:rFonts w:ascii="Times New Roman" w:hAnsi="Times New Roman"/>
          <w:color w:val="000000"/>
          <w:sz w:val="20"/>
        </w:rPr>
        <w:t xml:space="preserve">– </w:t>
      </w:r>
      <w:r>
        <w:rPr>
          <w:rFonts w:ascii="Times New Roman" w:hAnsi="Times New Roman"/>
          <w:i/>
          <w:color w:val="000000"/>
          <w:sz w:val="20"/>
        </w:rPr>
        <w:t>Business Combinations</w:t>
      </w:r>
      <w:r>
        <w:rPr>
          <w:rFonts w:ascii="Times New Roman" w:hAnsi="Times New Roman"/>
          <w:color w:val="000000"/>
          <w:sz w:val="20"/>
        </w:rPr>
        <w:t xml:space="preserve">, the assets and liabilities of NCM LLC were adjusted to their estimated fair value as of the Effective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As of January 1, 2026, the Company has not completed all agreed upon payments to the General Unsecured Claim Pool, due to the existence of one pre-petition litigation matter that is ongoing in the Bankruptcy Court, which could impact the payments to other unsecured creditors from the General Unsecured Claims Pool. As a result, the Company held a total of $3.0 million</w:t>
      </w:r>
      <w:r>
        <w:rPr>
          <w:rFonts w:ascii="Times New Roman" w:hAnsi="Times New Roman"/>
          <w:color w:val="FF0000"/>
          <w:sz w:val="20"/>
        </w:rPr>
        <w:t xml:space="preserve"> </w:t>
      </w:r>
      <w:r>
        <w:rPr>
          <w:rFonts w:ascii="Times New Roman" w:hAnsi="Times New Roman"/>
          <w:color w:val="000000"/>
          <w:sz w:val="20"/>
        </w:rPr>
        <w:t xml:space="preserve">within the escrow accounts and accruals, presented within ‘Restricted cash’ and ‘Accounts Payable’ on the audited Consolidated Balance Sheets as of January 1, 2026 and December 26, 2024, respectively. </w:t>
      </w:r>
    </w:p>
    <w:p>
      <w:pPr>
        <w:pStyle w:val="TextBody"/>
        <w:bidi w:val="0"/>
        <w:spacing w:before="120" w:after="283"/>
        <w:jc w:val="left"/>
        <w:rPr>
          <w:rFonts w:ascii="Times New Roman" w:hAnsi="Times New Roman"/>
          <w:sz w:val="20"/>
        </w:rPr>
      </w:pPr>
      <w:r>
        <w:rPr>
          <w:rFonts w:ascii="Times New Roman" w:hAnsi="Times New Roman"/>
          <w:b/>
          <w:i/>
          <w:color w:val="000000"/>
          <w:sz w:val="20"/>
        </w:rPr>
        <w:t>Regal Advertising Agreement</w:t>
      </w:r>
      <w:r>
        <w:rPr>
          <w:rFonts w:ascii="Times New Roman" w:hAnsi="Times New Roman"/>
          <w:color w:val="000000"/>
          <w:sz w:val="20"/>
        </w:rPr>
        <w:t xml:space="preserve">—On September 7, 2022, Cineworld Group plc, the parent company of Regal, and certain of its subsidiaries, including Regal, Regal Cinemas, Inc., formerly a party to an ESA with NCM LLC, and Regal CineMedia Holdings, LLC, formerly a party to other agreements with NCM LLC and NCM, Inc., filed petitions for reorganization under Chapter 11 of the United States Bankruptcy Code in the Southern District of Texas. On October 21, 2022, Regal filed a motion to reject the ESA without specifying an effective date for the rejection and indicated that Regal planned on negotiating with NCM LLC. NCM LLC also filed an adversary proceeding against Regal seeking declaratory relief and an injunction prohibiting Regal from breaching certain exclusivity, non-compete, non-negotiate and confidentiality provisions in the ESA by entering into a new agreement with a third-party or bringing any of the services performed by NCM LLC in-house. On February 1, 2023, Cineworld filed a motion for summary judgment on NCM LLC’s adversary proceeding. On May 5, 2023, NCM LLC and Regal agreed to stay the ongoing litigation while the parties worked towards the terms of a new arrangement for NCM LLC to provide advertising services to Regal. In lieu of litigating Regal’s potential rejection of the ESA and NCM LLC’s adversary proceeding against Regal, the parties negotiated a Regal Advertising Agreement and Regal Termination Agreement. The Regal Advertising Agreement was effective on July 14, 2023 and provides that NCM LLC acquired the exclusive right to provide on-screen advertisements at Regal’s theaters for a term of ten years in exchange for payments based on the attendance at Regal’s theaters and the revenue generated by NCM LLC through advertising displayed in Regal’s theaters.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Regal Advertising Agreement, NCM LLC has the right to display advertising in Regal’s theaters with a program of inventory that provides for (i) up to five minutes in length for exhibition on-screen immediately prior to showtime of a feature film or digital programming event, (ii) up to ten minutes immediately after the showtime of a feature film, extending the time available to NCM LLC by five minutes, and (iii) the Platinum Spot that may be exhibited on-screen prior to the last two trailers, which may be either thirty or sixty seconds in length, and subject to Regal’s approval, NCM LLC may display two thirty-second spots in the Platinum Spot and a Gold Spot, a thirty second spot displayed immediately prior to the fourth trailer preceding a feature film or digital programming event.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Regal Termination Agreement, effective on July 14, 2023, Regal rejected and terminated the ESA. Additionally Regal and Regal’s affiliates’ waived all rights and interests as to the Tax Receivable Agreement, the Common Unit Adjustment Agreement, the Software License Agreement, the Director Designation Agreement, the Registration Rights Agreement and all the other joint venture agreements described in NCM LLC’s Company Operating Agreement and Regal and Regal’s affiliates waived and released claims against other parties thereto. In connection with the Regal Advertising Agreement, NCM LLC and Regal also agreed to dismiss with prejudice the ongoing litigation between the parties related to NCM LLC’s request to enforce certain provisions of the ESA, including the exclusivity provision. Following the effective date of the Regal Termination Agreement of July 14, 2023, Regal is no longer an ESA Party or related party and is included within the network affiliate metrics.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Summary Operating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operations data for the years ended January 1, 2026, December 26, 2024 and December 27, 2023 and the balance sheet data as of January 1, 2026 and December 26, 2024 are derived from the audited Consolidated Financial Statements of NCM, Inc. included elsewhere in this document (dollars in millions, except share and margin data):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672" w:type="dxa"/>
        <w:jc w:val="left"/>
        <w:tblInd w:w="0" w:type="dxa"/>
        <w:tblLayout w:type="fixed"/>
        <w:tblCellMar>
          <w:top w:w="28" w:type="dxa"/>
          <w:left w:w="28" w:type="dxa"/>
          <w:bottom w:w="28" w:type="dxa"/>
          <w:right w:w="28" w:type="dxa"/>
        </w:tblCellMar>
      </w:tblPr>
      <w:tblGrid>
        <w:gridCol w:w="3961"/>
        <w:gridCol w:w="146"/>
        <w:gridCol w:w="271"/>
        <w:gridCol w:w="734"/>
        <w:gridCol w:w="166"/>
        <w:gridCol w:w="146"/>
        <w:gridCol w:w="295"/>
        <w:gridCol w:w="800"/>
        <w:gridCol w:w="166"/>
        <w:gridCol w:w="146"/>
        <w:gridCol w:w="199"/>
        <w:gridCol w:w="866"/>
        <w:gridCol w:w="776"/>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 26,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to 2025</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Network operating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Theater exhibition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Administrative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NCM,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NCM, Inc. basic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NCM, Inc. diluted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completion of our IPO, NCM LLC was wholly-owned by its ESA Parties. In connection with the offering, NCM, Inc. purchased newly issued common membership units from NCM LLC and common membership units from NCM LLC’s ESA Parties and became a member of and the sole manager of NCM LLC. We entered into several agreements to effect the reorganization and the financing transaction and certain amendments were made to the existing ESAs to govern the relationships among NCM LLC and NCM LLC’s ESA Parties after the completion of these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operations data discussed herein were derived from the audited Consolidated Financial Statements and accounting records of NCM, Inc. and should be read in conjunction with the notes thereto.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52-week or 53-week fiscal year ending on the first Thursday after December 25. Fiscal year 2025 contained 53 weeks and fiscal year 2024 contained 52 weeks. Our 2026 fiscal year will contain 52 weeks. Throughout this document, we refer to our fiscal years as set forth below:</w:t>
      </w:r>
    </w:p>
    <w:p>
      <w:pPr>
        <w:pStyle w:val="TextBody"/>
        <w:bidi w:val="0"/>
        <w:jc w:val="left"/>
        <w:rPr/>
      </w:pPr>
      <w:r>
        <w:rPr/>
        <w:t> </w:t>
      </w:r>
    </w:p>
    <w:tbl>
      <w:tblPr>
        <w:tblW w:w="3193" w:type="dxa"/>
        <w:jc w:val="left"/>
        <w:tblInd w:w="0" w:type="dxa"/>
        <w:tblLayout w:type="fixed"/>
        <w:tblCellMar>
          <w:top w:w="28" w:type="dxa"/>
          <w:left w:w="28" w:type="dxa"/>
          <w:bottom w:w="28" w:type="dxa"/>
          <w:right w:w="28" w:type="dxa"/>
        </w:tblCellMar>
      </w:tblPr>
      <w:tblGrid>
        <w:gridCol w:w="1696"/>
        <w:gridCol w:w="146"/>
        <w:gridCol w:w="135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Reference in</w:t>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Fiscal Year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this Document</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26,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r>
    </w:tbl>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0" w:after="120"/>
        <w:jc w:val="left"/>
        <w:rPr>
          <w:rFonts w:ascii="Times New Roman" w:hAnsi="Times New Roman"/>
          <w:sz w:val="20"/>
        </w:rPr>
      </w:pPr>
      <w:r>
        <w:rPr>
          <w:rFonts w:ascii="Times New Roman" w:hAnsi="Times New Roman"/>
          <w:b/>
          <w:i/>
          <w:color w:val="000000"/>
          <w:sz w:val="20"/>
        </w:rPr>
        <w:t>Fiscal Years 2025 and 2024</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Total revenue increased $2.4 million, or 1.0%, from $240.8 million for 2024 to $243.2 million for 2025. The following is a summary of revenue by category (in millions):</w:t>
      </w:r>
    </w:p>
    <w:p>
      <w:pPr>
        <w:pStyle w:val="TextBody"/>
        <w:bidi w:val="0"/>
        <w:jc w:val="left"/>
        <w:rPr/>
      </w:pPr>
      <w:r>
        <w:rPr/>
        <w:t> </w:t>
      </w:r>
    </w:p>
    <w:tbl>
      <w:tblPr>
        <w:tblW w:w="9048" w:type="dxa"/>
        <w:jc w:val="left"/>
        <w:tblInd w:w="0" w:type="dxa"/>
        <w:tblLayout w:type="fixed"/>
        <w:tblCellMar>
          <w:top w:w="28" w:type="dxa"/>
          <w:left w:w="28" w:type="dxa"/>
          <w:bottom w:w="28" w:type="dxa"/>
          <w:right w:w="28" w:type="dxa"/>
        </w:tblCellMar>
      </w:tblPr>
      <w:tblGrid>
        <w:gridCol w:w="3796"/>
        <w:gridCol w:w="146"/>
        <w:gridCol w:w="211"/>
        <w:gridCol w:w="571"/>
        <w:gridCol w:w="146"/>
        <w:gridCol w:w="146"/>
        <w:gridCol w:w="211"/>
        <w:gridCol w:w="571"/>
        <w:gridCol w:w="146"/>
        <w:gridCol w:w="146"/>
        <w:gridCol w:w="354"/>
        <w:gridCol w:w="711"/>
        <w:gridCol w:w="166"/>
        <w:gridCol w:w="146"/>
        <w:gridCol w:w="231"/>
        <w:gridCol w:w="834"/>
        <w:gridCol w:w="516"/>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to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to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National advertising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Local and regional advertising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ESA Party advertising revenue from beverage</w:t>
              <w:br/>
              <w:t>   concessionaire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data on theater attendance and revenue per attendee for the year ended January 1, 2026 and December 26, 2024:</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521" w:type="dxa"/>
        <w:jc w:val="left"/>
        <w:tblInd w:w="0" w:type="dxa"/>
        <w:tblLayout w:type="fixed"/>
        <w:tblCellMar>
          <w:top w:w="28" w:type="dxa"/>
          <w:left w:w="28" w:type="dxa"/>
          <w:bottom w:w="28" w:type="dxa"/>
          <w:right w:w="28" w:type="dxa"/>
        </w:tblCellMar>
      </w:tblPr>
      <w:tblGrid>
        <w:gridCol w:w="4786"/>
        <w:gridCol w:w="146"/>
        <w:gridCol w:w="211"/>
        <w:gridCol w:w="571"/>
        <w:gridCol w:w="146"/>
        <w:gridCol w:w="146"/>
        <w:gridCol w:w="211"/>
        <w:gridCol w:w="571"/>
        <w:gridCol w:w="146"/>
        <w:gridCol w:w="146"/>
        <w:gridCol w:w="231"/>
        <w:gridCol w:w="834"/>
        <w:gridCol w:w="376"/>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to 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National advertising revenue per attendee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Local and regional advertising revenue per attendee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advertising revenue (excluding ESA Party beverage</w:t>
              <w:br/>
              <w:t>   revenue) per attendee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 per attendee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theater attendance (in millions) </w:t>
            </w: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(1)</w:t>
      </w:r>
      <w:r>
        <w:rPr>
          <w:rFonts w:ascii="Times New Roman" w:hAnsi="Times New Roman"/>
          <w:color w:val="000000"/>
          <w:sz w:val="20"/>
        </w:rPr>
        <w:t xml:space="preserve"> Represents the total attendance within the NCM Network, excluding screens and attendance associated with certain AMC Carmike theaters that were part of another cinema advertising network during the periods presented, as well as, estimated attendance for the Spotlight Cinema Network for the period included within the Company's consolidated results (November 14, 2025 to January 1, 2026).</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National advertising revenue.</w:t>
      </w:r>
      <w:r>
        <w:rPr>
          <w:rFonts w:ascii="Times New Roman" w:hAnsi="Times New Roman"/>
          <w:color w:val="000000"/>
          <w:sz w:val="20"/>
        </w:rPr>
        <w:t xml:space="preserve"> National advertising revenue increased by $6.5 million, or 3.5%, from $188.0 million in 2024 to $194.5 million in 2025. The increase in national advertising revenue was due</w:t>
      </w:r>
      <w:r>
        <w:rPr>
          <w:rFonts w:ascii="Times New Roman" w:hAnsi="Times New Roman"/>
          <w:color w:val="FF0000"/>
          <w:sz w:val="20"/>
        </w:rPr>
        <w:t xml:space="preserve"> </w:t>
      </w:r>
      <w:r>
        <w:rPr>
          <w:rFonts w:ascii="Times New Roman" w:hAnsi="Times New Roman"/>
          <w:color w:val="000000"/>
          <w:sz w:val="20"/>
        </w:rPr>
        <w:t xml:space="preserve">to an increase in impressions at our existing exhibitors, as well as through the Spotlight acquisition. The majority of the increase was driven by a 22.1% increase in national advertising utilization, as well as a 2.0% increase in NCM Network attendance due in part to the extra week in our fiscal year 2025, as compared to 2024. In order to increase utilization and better monetize attendance, the Company strategically decreased national advertising CPMs by 18.1% in 2025, as compared to 2024.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Local and regional advertising revenue.</w:t>
      </w:r>
      <w:r>
        <w:rPr>
          <w:rFonts w:ascii="Times New Roman" w:hAnsi="Times New Roman"/>
          <w:color w:val="000000"/>
          <w:sz w:val="20"/>
        </w:rPr>
        <w:t xml:space="preserve"> Local and regional advertising revenue decreased by $4.5 million, or 11.5%, from $39.1 million in 2024 to $34.6 million in 2025. The decrease in local and regional advertising revenue was primarily due to a decrease in contract activity and size within the pharmaceutical, travel, government and automotive categories in 2025, as compared to 2024. These decreases were partially offset by an increase in contract activity and size within the gaming, technology, beverages, retail and apparel and healthcare categories in 2025, as compared to 2024.</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ESA Party beverage revenue.</w:t>
      </w:r>
      <w:r>
        <w:rPr>
          <w:rFonts w:ascii="Times New Roman" w:hAnsi="Times New Roman"/>
          <w:color w:val="000000"/>
          <w:sz w:val="20"/>
        </w:rPr>
        <w:t xml:space="preserve"> ESA Party beverage revenue increased $0.4 million, or 2.9%, from $13.7 million in 2024 to $14.1 million in 2025. The increase in ESA Party beverage revenue was primarily due to a 3.7% increase in ESA Party attendance in 2025, as compared to 2024.</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Operating expenses. </w:t>
      </w:r>
      <w:r>
        <w:rPr>
          <w:rFonts w:ascii="Times New Roman" w:hAnsi="Times New Roman"/>
          <w:color w:val="000000"/>
          <w:sz w:val="20"/>
        </w:rPr>
        <w:t>Total operating expenses decreased $3.2 million, or 1.2%, from $260.3 million for 2024 to $257.1 million for 2025. The following table shows the changes in operating expense for 2025 and 2024 (in millions):</w:t>
      </w:r>
    </w:p>
    <w:p>
      <w:pPr>
        <w:pStyle w:val="TextBody"/>
        <w:bidi w:val="0"/>
        <w:jc w:val="left"/>
        <w:rPr/>
      </w:pPr>
      <w:r>
        <w:rPr/>
        <w:t> </w:t>
      </w:r>
    </w:p>
    <w:tbl>
      <w:tblPr>
        <w:tblW w:w="7908" w:type="dxa"/>
        <w:jc w:val="left"/>
        <w:tblInd w:w="0" w:type="dxa"/>
        <w:tblLayout w:type="fixed"/>
        <w:tblCellMar>
          <w:top w:w="28" w:type="dxa"/>
          <w:left w:w="28" w:type="dxa"/>
          <w:bottom w:w="28" w:type="dxa"/>
          <w:right w:w="28" w:type="dxa"/>
        </w:tblCellMar>
      </w:tblPr>
      <w:tblGrid>
        <w:gridCol w:w="2596"/>
        <w:gridCol w:w="146"/>
        <w:gridCol w:w="211"/>
        <w:gridCol w:w="571"/>
        <w:gridCol w:w="146"/>
        <w:gridCol w:w="146"/>
        <w:gridCol w:w="211"/>
        <w:gridCol w:w="571"/>
        <w:gridCol w:w="146"/>
        <w:gridCol w:w="146"/>
        <w:gridCol w:w="354"/>
        <w:gridCol w:w="711"/>
        <w:gridCol w:w="166"/>
        <w:gridCol w:w="146"/>
        <w:gridCol w:w="231"/>
        <w:gridCol w:w="834"/>
        <w:gridCol w:w="57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to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to 2025</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Network operating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Theater exhibition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Administrative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Network operating costs</w:t>
      </w:r>
      <w:r>
        <w:rPr>
          <w:rFonts w:ascii="Times New Roman" w:hAnsi="Times New Roman"/>
          <w:i/>
          <w:color w:val="000000"/>
          <w:sz w:val="20"/>
          <w:u w:val="single"/>
        </w:rPr>
        <w:t>.</w:t>
      </w:r>
      <w:r>
        <w:rPr>
          <w:rFonts w:ascii="Times New Roman" w:hAnsi="Times New Roman"/>
          <w:color w:val="000000"/>
          <w:sz w:val="20"/>
        </w:rPr>
        <w:t xml:space="preserve"> Network operating costs decreased $0.7 million, or 5.1%, from $13.7 million in 2024 to $13.0 million in 2025. The decrease in network operating costs was primarily due to a $0.5 million decrease in satellite related expenses due to the completion of the satellite transition in 2024, and a $0.3 million decrease in expenses related to our digital product offerings in 2025, as compared to 2024. These decreases were partially offset by a $0.1 million increase in personnel related costs in 2025, as compared to 2024.</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Theater exhibition fees.</w:t>
      </w:r>
      <w:r>
        <w:rPr>
          <w:rFonts w:ascii="Times New Roman" w:hAnsi="Times New Roman"/>
          <w:color w:val="000000"/>
          <w:sz w:val="20"/>
        </w:rPr>
        <w:t xml:space="preserve"> Theater exhibition fees increased $6.6 million, or 5.9%, from $111.9 million in 2024 to $118.5 million in 2025. The increase in theater exhibition fees was primarily due to a $5.1 million increase in existing exhibitor related fees driven by the 2.0% increase in network attendance due to the extra week in our fiscal year 2025, as compared to 2024, contractual rate increases within our exhibitor agreements in 2025, as compared to 2024, and the rate increases within the 2025 AMC Agreement entered into in April of 2025. The theater exhibition fees also increased $1.5 million due to the consolidation of Spotlight for the period of November 14, 2025 through January 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Selling and marketing costs.</w:t>
      </w:r>
      <w:r>
        <w:rPr>
          <w:rFonts w:ascii="Times New Roman" w:hAnsi="Times New Roman"/>
          <w:color w:val="000000"/>
          <w:sz w:val="20"/>
        </w:rPr>
        <w:t xml:space="preserve"> Selling and marketing costs remained at $41.6 million in 2025, consistent with $41.6 million in 2024. This was primarily due to a $1.6 million increase in selling related expenses partly driven by the timing of our periodic company-wide sales meeting, a $1.0 million increase in variable costs associated with certain sales partnerships and platforms and a $0.4 million increase in marketing research expenses due to an increase in research studies sold during 2025, as compared to 2024. These increases were offset by a $3.0 million decrease in personnel-related expenses primarily due to a decrease in performance-based compensation expense, a decrease in severance expenses due to the workforce reorganization in the first quarter of 2024 and a decrease in stock-based compensation due to the grant of the one time management equity incentive plan in the first quarter of 2024, compared to normalized grant activity in 2025.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Administrative and other costs.</w:t>
      </w:r>
      <w:r>
        <w:rPr>
          <w:rFonts w:ascii="Times New Roman" w:hAnsi="Times New Roman"/>
          <w:color w:val="000000"/>
          <w:sz w:val="20"/>
        </w:rPr>
        <w:t xml:space="preserve"> Administrative and other costs decreased $4.6 million, or 9.1%, from $50.7 million in 2024 to $46.1 million in 2025. The decrease is primarily due to a $4.8 million decrease in personnel related costs primarily due to retention related expenses in 2024 related to the Chapter 11 Case, as well as a decrease in the Company's performance as compared to compensation targets in 2025 and a $3.8 million decrease in legal and professional fees related to the Chapter 11 Case and Cineworld Proceeding in 2025, as compared to 2024. These decreases were partially offset by a $1.4 million increase in cloud computing expenses due to improvements made to our programmatic offerings, a $1.3 million increase in system optimization costs, a $0.4 million increase in investor and public relation costs, primarily related to the Company's investor day in March of 2025, a $0.3 million increase in legal and professional fees related to the Spotlight acquisition, a $0.3 million increase in board of director fees and a $0.2 million increase in facility related expenses in 2025, as compared to 2024.</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Depreciation expense.</w:t>
      </w:r>
      <w:r>
        <w:rPr>
          <w:rFonts w:ascii="Times New Roman" w:hAnsi="Times New Roman"/>
          <w:color w:val="000000"/>
          <w:sz w:val="20"/>
        </w:rPr>
        <w:t xml:space="preserve"> Depreciation expense remained at $4.6 million in 2025, consistent with $4.6 million in 2024.</w:t>
      </w:r>
      <w:r>
        <w:rPr>
          <w:rFonts w:ascii="Times New Roman" w:hAnsi="Times New Roman"/>
          <w:color w:val="FF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Amortization expense.</w:t>
      </w:r>
      <w:r>
        <w:rPr>
          <w:rFonts w:ascii="Times New Roman" w:hAnsi="Times New Roman"/>
          <w:color w:val="000000"/>
          <w:sz w:val="20"/>
        </w:rPr>
        <w:t xml:space="preserve"> Amortization expense decreased $4.5 million, or 11.6%, from $37.8 million in 2024 to $33.3 million in 2025. The decrease in amortization expense was primarily due to the reduction and extension of the useful life of the intangible asset related to the ESA Parties following the 2025 AMC Agreement in the second quarter of 2025 as further discussed in Note 6—</w:t>
      </w:r>
      <w:r>
        <w:rPr>
          <w:rFonts w:ascii="Times New Roman" w:hAnsi="Times New Roman"/>
          <w:i/>
          <w:color w:val="000000"/>
          <w:sz w:val="20"/>
        </w:rPr>
        <w:t>Intangible Assets</w:t>
      </w:r>
      <w:r>
        <w:rPr>
          <w:rFonts w:ascii="Times New Roman" w:hAnsi="Times New Roman"/>
          <w:color w:val="000000"/>
          <w:sz w:val="20"/>
        </w:rPr>
        <w:t xml:space="preserve"> and Note 7—</w:t>
      </w:r>
      <w:r>
        <w:rPr>
          <w:rFonts w:ascii="Times New Roman" w:hAnsi="Times New Roman"/>
          <w:i/>
          <w:color w:val="000000"/>
          <w:sz w:val="20"/>
        </w:rPr>
        <w:t>Income Taxes</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i/>
          <w:color w:val="000000"/>
          <w:sz w:val="20"/>
          <w:u w:val="single"/>
        </w:rPr>
        <w:t>Non-operating (income) expense.</w:t>
      </w:r>
      <w:r>
        <w:rPr>
          <w:rFonts w:ascii="Times New Roman" w:hAnsi="Times New Roman"/>
          <w:color w:val="000000"/>
          <w:sz w:val="20"/>
        </w:rPr>
        <w:t xml:space="preserve"> Total non-operating expense decreased $5.9 million, or 226.9%, from non-operating expense of $2.6 million in 2024 to non-operating income of $3.3 million in 2025. The following table shows the changes in non-operating expense for 2025 and 2024 (in millions):</w:t>
      </w:r>
    </w:p>
    <w:p>
      <w:pPr>
        <w:pStyle w:val="TextBody"/>
        <w:bidi w:val="0"/>
        <w:jc w:val="left"/>
        <w:rPr/>
      </w:pPr>
      <w:r>
        <w:rPr/>
        <w:t> </w:t>
      </w:r>
    </w:p>
    <w:tbl>
      <w:tblPr>
        <w:tblW w:w="8111" w:type="dxa"/>
        <w:jc w:val="left"/>
        <w:tblInd w:w="0" w:type="dxa"/>
        <w:tblLayout w:type="fixed"/>
        <w:tblCellMar>
          <w:top w:w="28" w:type="dxa"/>
          <w:left w:w="28" w:type="dxa"/>
          <w:bottom w:w="28" w:type="dxa"/>
          <w:right w:w="28" w:type="dxa"/>
        </w:tblCellMar>
      </w:tblPr>
      <w:tblGrid>
        <w:gridCol w:w="4621"/>
        <w:gridCol w:w="146"/>
        <w:gridCol w:w="211"/>
        <w:gridCol w:w="421"/>
        <w:gridCol w:w="166"/>
        <w:gridCol w:w="146"/>
        <w:gridCol w:w="211"/>
        <w:gridCol w:w="421"/>
        <w:gridCol w:w="166"/>
        <w:gridCol w:w="146"/>
        <w:gridCol w:w="354"/>
        <w:gridCol w:w="711"/>
        <w:gridCol w:w="39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to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on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(Gain) loss on re-measurement of the payable under the </w:t>
              <w:br/>
              <w:t>   tax receivable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non-operating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decrease in non-operating expense was primarily due to an $8.3 million decrease in loss on re-measurement of the payable under the tax receivable agreement largely due to the addition of two years of estimates in management's forecast for future years in 2024 following increased insight into the respective movie slates and market demand as compared to the addition of one new forecasted year in 2025 to replace the completed prior year within the calculation and the subsequent decrease in the forecast during 2025, as compared to the original forecast. The decrease in non-operating expense is also due to a $1.1 million decrease in interest expense due to the termination of the Company's outstanding debt in the first quarter of 2025. These decreases were partially offset by a $1.8 million increase in loss on debt extinguishment in the first quarter of 2025 following the Company's termination of its Revolving Credit Facility 2023, a $1.0 million decrease in interest income and a $0.7 million decrease in non-operating income related to the Company's equity method investment in ACJV, LLC in 2025, compared to 2024.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OIBDA and Adjusted OIBDA margin are not financial measures calculated in accordance with GAAP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OIBDA represents operating income before depreciation and amortization expense adjusted to also exclude non-cash share-based payment costs, impairment of long-lived assets, workforce reorganization costs, termination of the Regal ESA, system optimization costs, satellite transitions costs, Spotlight acquisition and transition related costs and advisor fees related to involvement in the Cineworld Proceeding and Chapter 11 Case. Our management uses this non-GAAP financial measure to evaluate operating performance, to forecast future results and as a basis for compensation.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believes this is an important supplemental measure of operating performance because it eliminates items that have less bearing on its operating performance and highlights trends in its core business that may not otherwise be apparent when relying solely on GAAP financial measures. The Company believes the presentation of this measure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share-based payment costs, impairment of long-lived assets, workforce reorganization costs, termination of the Regal ESA, system optimization costs, satellite transition costs, acquisition related costs and advisor fees related to involvement in the Cineworld Proceeding and Chapter 11 Case, interest rates, debt levels or income tax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OIBDA margin is calculated by dividing Adjusted OIBDA by total revenue. Our management uses this non-GAAP financial measure to evaluate operating performance, to forecast future results and as a basis for compensation. The Company believes this is an important supplemental measure of operating performance because it eliminates items that have less bearing on its operating performance and highlight trends in its core business that may not otherwise be apparent when relying solely on GAAP financial measures. The Company believes the presentation of this measure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share-based payment costs, impairment of long-lived assets, workforce reorganization costs, termination of the Regal ESA, system optimization costs, satellite transitions costs, acquisition related costs, advisor fees related to involvement in the Cineworld Proceeding and Chapter 11 Case, interest rates, debt levels or income tax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limitation of both of these measures, however, is that they exclude depreciation and amortization, which represent a proxy for the periodic costs of certain capitalized tangible and intangible assets used in generating revenues in NCM LLC’s business. In addition, Adjusted OIBDA and Adjusted OIBDA margin have the limitation of not reflecting the effect of the non-cash share-based payment costs, impairment of long-lived assets, workforce reorganization costs, termination of the Regal ESA, system optimization costs, satellite transitions costs, acquisition related costs and advisor fees related to involvement in the Cineworld Proceeding and Chapter 11 Case. Adjusted OIBDA should not be regarded as an alternative to operating income, net income or as indicators of operating performance, nor should it be considered in isolation of, or as substitutes for financial measures prepared in accordance with GAAP. The Company believes that operating income is the most directly comparable GAAP financial measure to Adjusted OIBDA, and operating margin is the most directly comparable GAAP financial measure to Adjusted OIBDA margin. Because not all companies use identical calculations, these non-GAAP presentations may not be comparable to other similarly titled measures of other companies, or calculations in NCM LLC’s 2025 Credit Facility.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reconciles operating income to Adjusted OIBDA for the periods presented (dollars in millions):</w:t>
      </w:r>
    </w:p>
    <w:tbl>
      <w:tblPr>
        <w:tblW w:w="9867" w:type="dxa"/>
        <w:jc w:val="left"/>
        <w:tblInd w:w="0" w:type="dxa"/>
        <w:tblLayout w:type="fixed"/>
        <w:tblCellMar>
          <w:top w:w="28" w:type="dxa"/>
          <w:left w:w="28" w:type="dxa"/>
          <w:bottom w:w="28" w:type="dxa"/>
          <w:right w:w="28" w:type="dxa"/>
        </w:tblCellMar>
      </w:tblPr>
      <w:tblGrid>
        <w:gridCol w:w="3886"/>
        <w:gridCol w:w="146"/>
        <w:gridCol w:w="352"/>
        <w:gridCol w:w="953"/>
        <w:gridCol w:w="331"/>
        <w:gridCol w:w="146"/>
        <w:gridCol w:w="403"/>
        <w:gridCol w:w="1097"/>
        <w:gridCol w:w="331"/>
        <w:gridCol w:w="146"/>
        <w:gridCol w:w="376"/>
        <w:gridCol w:w="1124"/>
        <w:gridCol w:w="576"/>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 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26, 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2023</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Share-based compensation costs </w:t>
            </w:r>
            <w:r>
              <w:rPr>
                <w:rFonts w:ascii="Times New Roman" w:hAnsi="Times New Roman"/>
                <w:i/>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Impairment of long-lived assets </w:t>
            </w:r>
            <w:r>
              <w:rPr>
                <w:rFonts w:ascii="Times New Roman" w:hAnsi="Times New Roman"/>
                <w:i/>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Workforce reorganization costs </w:t>
            </w:r>
            <w:r>
              <w:rPr>
                <w:rFonts w:ascii="Times New Roman" w:hAnsi="Times New Roman"/>
                <w:i/>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Loss on termination of Regal ESA, net </w:t>
            </w:r>
            <w:r>
              <w:rPr>
                <w:rFonts w:ascii="Times New Roman" w:hAnsi="Times New Roman"/>
                <w:i/>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System optimization costs </w:t>
            </w:r>
            <w:r>
              <w:rPr>
                <w:rFonts w:ascii="Times New Roman" w:hAnsi="Times New Roman"/>
                <w:i/>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Satellite transition costs </w:t>
            </w:r>
            <w:r>
              <w:rPr>
                <w:rFonts w:ascii="Times New Roman" w:hAnsi="Times New Roman"/>
                <w:i/>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Spotlight acquisition and integration costs </w:t>
            </w:r>
            <w:r>
              <w:rPr>
                <w:rFonts w:ascii="Times New Roman" w:hAnsi="Times New Roman"/>
                <w:i/>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Advisor fees related to the Chapter 11 Case </w:t>
            </w:r>
            <w:r>
              <w:rPr>
                <w:rFonts w:ascii="Times New Roman" w:hAnsi="Times New Roman"/>
                <w:i/>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OIBDA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OIBDA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Share-based compensation costs are included in 'network operating costs', 'selling and marketing costs' and 'administrative and other costs' in the Company's audited Consolidated Financial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impairment of long-lived assets primarily relates to the write down of certain intangible assets related to a purchased affiliate and internally developed software and leasehold improvements no longer in use.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Workforce reorganization costs represent eliminated positions and redundancy costs associated with changes to the Company’s workforce, as well as related office relocations.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net impact of Regal's termination of the ESA resulting from the disposal of the intangible asset partially offset by the surrender of Regal's ownership in the Company and the forgiveness of the prepetition claims.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System optimization costs represent costs incurred related to a one-time assessment of the technology surrounding the Company's programmatic offerings beginning in the third quarter of 2024 and an assessment of operating efficiencies beginning in the third quarter of 2025.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One-time costs of transitioning satellite providers during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Advisor and legal fees incurred in connection with the acquisition of Spotlight in the fourth quarter of 2025, as well as, temporary transition costs incurred during the integration of Spotlight into the Company's processes.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Advisor and legal fees and expenses incurred in connection with the Company’s involvement in the Cineworld Proceeding and Chapter 11 Case and related appeals, as well as insurance and retention related expenses.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Known Trends and Uncertainties</w:t>
      </w:r>
    </w:p>
    <w:p>
      <w:pPr>
        <w:pStyle w:val="TextBody"/>
        <w:bidi w:val="0"/>
        <w:spacing w:before="120" w:after="283"/>
        <w:jc w:val="left"/>
        <w:rPr>
          <w:rFonts w:ascii="Times New Roman" w:hAnsi="Times New Roman"/>
          <w:sz w:val="20"/>
        </w:rPr>
      </w:pPr>
      <w:r>
        <w:rPr>
          <w:rFonts w:ascii="Times New Roman" w:hAnsi="Times New Roman"/>
          <w:b/>
          <w:i/>
          <w:color w:val="000000"/>
          <w:sz w:val="20"/>
        </w:rPr>
        <w:t>Beverage Revenue</w:t>
      </w:r>
      <w:r>
        <w:rPr>
          <w:rFonts w:ascii="Times New Roman" w:hAnsi="Times New Roman"/>
          <w:color w:val="000000"/>
          <w:sz w:val="20"/>
        </w:rPr>
        <w:t xml:space="preserve">—Under the ESAs, up to 90 seconds of The </w:t>
      </w:r>
      <w:r>
        <w:rPr>
          <w:rFonts w:ascii="Times New Roman" w:hAnsi="Times New Roman"/>
          <w:i/>
          <w:color w:val="000000"/>
          <w:sz w:val="20"/>
        </w:rPr>
        <w:t xml:space="preserve">Noovie® </w:t>
      </w:r>
      <w:r>
        <w:rPr>
          <w:rFonts w:ascii="Times New Roman" w:hAnsi="Times New Roman"/>
          <w:color w:val="000000"/>
          <w:sz w:val="20"/>
        </w:rPr>
        <w:t xml:space="preserve">Show program can be sold to the ESA Parties to satisfy their on-screen advertising commitments under their beverage concessionaire agreements. In 2025, Cinemark purchased 60 seconds of on-screen advertising time and AMC purchased 30 seconds to satisfy their obligations under their beverage concessionaire agreements in effect in 2025. In 2026, such obligations are expected to decrease resulting in lower beverage revenue in 2026, as compared to 2025. The price for the time sold to Cinemark's beverage supplier and AMC's beverage supplier will increase at a fixed rate of 2.0% each year. </w:t>
      </w:r>
    </w:p>
    <w:p>
      <w:pPr>
        <w:pStyle w:val="TextBody"/>
        <w:bidi w:val="0"/>
        <w:spacing w:before="120" w:after="283"/>
        <w:jc w:val="left"/>
        <w:rPr>
          <w:rFonts w:ascii="Times New Roman" w:hAnsi="Times New Roman"/>
          <w:sz w:val="20"/>
        </w:rPr>
      </w:pPr>
      <w:r>
        <w:rPr>
          <w:rFonts w:ascii="Times New Roman" w:hAnsi="Times New Roman"/>
          <w:b/>
          <w:i/>
          <w:color w:val="000000"/>
          <w:sz w:val="20"/>
        </w:rPr>
        <w:t>Theater Exhibition Fees</w:t>
      </w:r>
      <w:r>
        <w:rPr>
          <w:rFonts w:ascii="Times New Roman" w:hAnsi="Times New Roman"/>
          <w:color w:val="000000"/>
          <w:sz w:val="20"/>
        </w:rPr>
        <w:t>—In consideration for the Company's access to the ESA Parties’ and network affiliate theaters for on-screen and LEN advertising and lobby promotions, the ESA Parties and network affiliates receive access fees based either upon number of attendees, a revenue share or a combination, including a minimum revenue guarantee per attendee, or a fee per digital cinema screen. Many of these agreements contain annual increases to the respective fee structures or guaranteed minimums, either per patron, per theater and/or per digital screen. The payments under the ESA Parties' agreements and network affiliate agreements are recorded within ‘Theater exhibition fees’ in the audited Consolidated Statement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Condition and Liquidity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balances can fluctuate due to the seasonality of our business and related timing of collections of accounts receivable balances and operating expenditure payments, as well as interest or principal payments on our 2025 Credit Facility, income tax payments, TRA payments, available cash payments (as defined in the NCM LLC Operating Agreement) to Cinemark in the event Cinemark holds NCM LLC membership units and any amount of dividends to NCM, Inc.’s common stockholders. We have sufficient sources of liquidity to meet our material cash commitments for the next 12 months and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24, 2025, NCM LLC entered into a Loan and Security Agreement with U.S. Bank National Association, as lender. The agreement provides for a $45.0 million senior secured revolving credit facility, the 2025 Credit Facility, that matures on January 24, 2028. In connection with entering into the 2025 Credit Facility, NCM LLC repaid in full the $10.0 million balance outstanding as of December 26, 2024 and terminated all commitments under its 2023 Revolving Credit Facility, and in connection with this termination, paid a prepayment fee equal to 1% of the total commitment. As of January 1, 2026, NCM LLC has an outstanding balance of $12.0 million under the 2025 Credit Facility. Borrowings under the 2025 Credit Facility may be used for, among other things, working capital and other general corporate purposes of the Company and bear interest at a floating rate equal to term SOFR (subject to a floor of zero) plus an applicable margin of 2.00%, which is subject to increase by an additional 2.00% upon the occurrence of an event of default.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7, 2023, NCM LLC entered into the Revolving Credit Facility 2023 with CIT Northbridge Credit LLC as agent. The Revolving Credit Facility 2023 was an asset backed line facility where the capacity depended upon NCM LLC’s trade accounts receivable balance, as adjusted for aged balances and other considerations. The maximum availability NCM LLC had access to under the revolver was $55.0 million. The proceeds of the Revolving Credit Facility 2023 could have been used for, inter alia, working capital and capital expenditures. The Revolving Credit Facility 2023 would have matured on August 7, 2026. The interest rate under the Revolving Credit Facility 2023 was a base rate or SOFR benchmark plus (i) 3.75% if less than 50% of revolving commitments were utilized or (ii) 4.50% if 50% or more of revolving commitments were utilized (utilizing the average revolver usage for the prior calendar month as a benchmark for this determination). The Revolving Credit Facility 2023 also contained a financial maintenance covenant requiring that the fixed charge coverage ratio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ending on the last day of each fiscal month was at least 1.1 to 1.0 during a “Trigger Period.” A Trigger Period begins upon (i) an event of default or (ii) if availability is less than the greater of (a) $5.0 million and (b) 10% of aggregate revolving commitments. A Trigger Period ends only if (i) no event of default existed for the preceding 30 consecutive days and (ii) availability is greater than both (a) $5.0 million and (b) 10% of aggregate revolving commitments. Upon the effectiveness of the Revolving Credit Facility 2023, NCM LLC immediately drew $10.0 million from the facility, which represented the only amount outstanding under the Revolving Credit Facility 2023, as of December 26, 2024. This balance was subsequently repaid on January 24, 2025 upon the termination of the Revolving Credit Facility 2023, effective on January 24,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our financial liquidity is as follows (in millions):</w:t>
      </w:r>
    </w:p>
    <w:p>
      <w:pPr>
        <w:pStyle w:val="TextBody"/>
        <w:bidi w:val="0"/>
        <w:jc w:val="left"/>
        <w:rPr/>
      </w:pPr>
      <w:r>
        <w:rPr/>
        <w:t> </w:t>
      </w:r>
    </w:p>
    <w:tbl>
      <w:tblPr>
        <w:tblW w:w="8987" w:type="dxa"/>
        <w:jc w:val="left"/>
        <w:tblInd w:w="0" w:type="dxa"/>
        <w:tblLayout w:type="fixed"/>
        <w:tblCellMar>
          <w:top w:w="28" w:type="dxa"/>
          <w:left w:w="28" w:type="dxa"/>
          <w:bottom w:w="28" w:type="dxa"/>
          <w:right w:w="28" w:type="dxa"/>
        </w:tblCellMar>
      </w:tblPr>
      <w:tblGrid>
        <w:gridCol w:w="4336"/>
        <w:gridCol w:w="146"/>
        <w:gridCol w:w="293"/>
        <w:gridCol w:w="652"/>
        <w:gridCol w:w="146"/>
        <w:gridCol w:w="146"/>
        <w:gridCol w:w="403"/>
        <w:gridCol w:w="1097"/>
        <w:gridCol w:w="146"/>
        <w:gridCol w:w="146"/>
        <w:gridCol w:w="303"/>
        <w:gridCol w:w="762"/>
        <w:gridCol w:w="41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January 1,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26,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to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Cash, cash equivalents and marketable securities </w:t>
            </w: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2025 Credit Facility availability </w:t>
            </w:r>
            <w:r>
              <w:rPr>
                <w:rFonts w:ascii="Times New Roman" w:hAnsi="Times New Roman"/>
                <w:i/>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Revolving Credit Facility 2023 availability </w:t>
            </w:r>
            <w:r>
              <w:rPr>
                <w:rFonts w:ascii="Times New Roman" w:hAnsi="Times New Roman"/>
                <w:i/>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liquidity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40" w:after="283"/>
        <w:jc w:val="left"/>
        <w:rPr/>
      </w:pPr>
      <w:r>
        <w:rPr>
          <w:rFonts w:ascii="Times New Roman" w:hAnsi="Times New Roman"/>
          <w:color w:val="000000"/>
          <w:sz w:val="20"/>
        </w:rPr>
        <w:t>Included in cash and cash equivalents as of January 1, 2026 and December 26, 2024, there was</w:t>
      </w:r>
      <w:r>
        <w:rPr>
          <w:color w:val="FF0000"/>
        </w:rPr>
        <w:t xml:space="preserve"> </w:t>
      </w:r>
      <w:r>
        <w:rPr>
          <w:rFonts w:ascii="Times New Roman" w:hAnsi="Times New Roman"/>
          <w:color w:val="000000"/>
          <w:sz w:val="20"/>
        </w:rPr>
        <w:t>$23.8 million and $63.5 million, respectively, of cash held by NCM LLC which is not available to satisfy dividends declared by NCM, Inc., income tax, TRA payments and other NCM, Inc. obligations.</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2025 Credit Facility portion of NCM LLC’s total borrowings that is available, subject to certain conditions, for general corporate purposes of NCM LLC in the ordinary course of business and for other transactions permitted under the 2025 Credit Facility, and a portion is available for letters of credit. NCM LLC’s total capacity under the 2025 Credit Facility is $45.0 million as of January 1, 2026. As of January 1, 2026, the amount available under the 2025 Credit Facility in the table above is net of letters of credit of $0.6 million and the amount outstanding under the 2025 Credit Facility of $12.0 million.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(3)</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Revolving Credit Facility 2023 portion of NCM LLC’s total borrowings that was available, subject to certain conditions, for general corporate purposes of NCM LLC in the ordinary course of business and for other transactions permitted under the senior secured credit facility, and a portion was available for letters of credit. NCM LLC’s total capacity under the Revolving Credit Facility 2023, which was subject to fluctuations in the underlying assets, was $55.0 million prior to its extinguishment. As of December 26, 2024, the amount available under the Revolving Credit Facility 2023 in the table above is net of letters of credit of $0.6 million and the amount outstanding under the Revolving Credit Facility 2023 of $10.0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generated and used cash as follows (in millions):</w:t>
      </w:r>
    </w:p>
    <w:p>
      <w:pPr>
        <w:pStyle w:val="TextBody"/>
        <w:bidi w:val="0"/>
        <w:jc w:val="left"/>
        <w:rPr/>
      </w:pPr>
      <w:r>
        <w:rPr/>
        <w:t> </w:t>
      </w:r>
    </w:p>
    <w:tbl>
      <w:tblPr>
        <w:tblW w:w="3899" w:type="dxa"/>
        <w:jc w:val="left"/>
        <w:tblInd w:w="0" w:type="dxa"/>
        <w:tblLayout w:type="fixed"/>
        <w:tblCellMar>
          <w:top w:w="28" w:type="dxa"/>
          <w:left w:w="28" w:type="dxa"/>
          <w:bottom w:w="28" w:type="dxa"/>
          <w:right w:w="28" w:type="dxa"/>
        </w:tblCellMar>
      </w:tblPr>
      <w:tblGrid>
        <w:gridCol w:w="1756"/>
        <w:gridCol w:w="146"/>
        <w:gridCol w:w="211"/>
        <w:gridCol w:w="526"/>
        <w:gridCol w:w="166"/>
        <w:gridCol w:w="146"/>
        <w:gridCol w:w="211"/>
        <w:gridCol w:w="526"/>
        <w:gridCol w:w="21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Cash Flows – Fiscal Years 2025 and 2024</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The $51.9 million decrease in cash provided by operating activities for 2025, as compared to 2024, was due to 1) a $27.8 million increase in the change in deferred revenue, 2) a $19.5 million decrease in account receivable collections, 3) a $4.4 million decrease in net loss adjusted for non-cash items and 4) a $3.2 million increase in payments of accounts payable and accrued expenses in 2025, as compared to 2024. These decreases in cash provided by operating activities were partially offset by a $5.4 million decrease in prepaid expenses in 2025, as compared to 2024.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Investing Activities. </w:t>
      </w:r>
      <w:r>
        <w:rPr>
          <w:rFonts w:ascii="Times New Roman" w:hAnsi="Times New Roman"/>
          <w:color w:val="000000"/>
          <w:sz w:val="20"/>
        </w:rPr>
        <w:t xml:space="preserve">The $9.7 million increase in cash used in investing activities for 2025, as compared to 2024, was primarily due to the $8.5 million increase in purchases of strategic investments and the acquisition of the Spotlight Cinema Network.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Financing Activities. </w:t>
      </w:r>
      <w:r>
        <w:rPr>
          <w:rFonts w:ascii="Times New Roman" w:hAnsi="Times New Roman"/>
          <w:color w:val="000000"/>
          <w:sz w:val="20"/>
        </w:rPr>
        <w:t>The $19.4 million increase in cash used in financing activities for 2025, as compared to 2024, was primarily due to a $11.1 million increase in the payment of dividends and an $8.9 million increase in payments made to repurchase shares of NCM, Inc.'s common stock in 2025, as compared to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Capital and Capital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NCM, Inc.’s primary source of liquidity and capital resources is the quarterly available cash distributions from NCM LLC as well as its existing cash and cash equivalents balances, which as of January 1, 2026 were $37.6 million (including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$23.8 million of cash and restricted cash held by NCM LLC). NCM LLC’s primary sources of liquidity and capital resources are (i) its cash provided by operating activities, (ii) cash on hand and (iii) availability under the 2025 Credit Facility. The $23.8 million of cash at NCM LLC will be used to fund operations. Cash at NCM, Inc. is used to fund income taxes, payments associated with the TRA, stock repurchases and for future payment of dividends to NCM, Inc. stockholders if and when declared by the Board of Directors. </w:t>
      </w:r>
    </w:p>
    <w:p>
      <w:pPr>
        <w:pStyle w:val="TextBody"/>
        <w:bidi w:val="0"/>
        <w:spacing w:before="120" w:after="283"/>
        <w:jc w:val="left"/>
        <w:rPr>
          <w:rFonts w:ascii="Times New Roman" w:hAnsi="Times New Roman"/>
          <w:sz w:val="20"/>
        </w:rPr>
      </w:pPr>
      <w:r>
        <w:rPr>
          <w:rFonts w:ascii="Times New Roman" w:hAnsi="Times New Roman"/>
          <w:color w:val="000000"/>
          <w:sz w:val="20"/>
        </w:rPr>
        <w:t>NCM LLC is required, pursuant to the terms of the NCM LLC Operating Agreement, to distribute its available cash, as defined in the NCM LLC Operating Agreement, quarterly to its members (only NCM, Inc. as of January 1, 2026). The members are only able to receive available cash when they hold units. The available cash distribution to the members of NCM LLC for the year ended January 1, 2026 was calculated as approximately $20.8 million, due entirely to NCM, Inc., as the only holder of NCM LLC units as of January 1, 2026. The $20.8 million is comprised of negative available cash generated by NCM LLC to NCM, Inc. for the first and second quarter of 2025 of $13.4 million and $3.7 million, respectively, and positive available cash generated by NCM LLC to NCM, Inc. for the third and fourth quarter of 2025 of $7.1 million and $30.8 million, respectively. The cumulative negative available cash balance as of January 1, 2026 is $238.6 million (including $182.3 million for NCM, Inc. and $56.3 million for Cinemark).</w:t>
      </w:r>
      <w:r>
        <w:rPr>
          <w:rFonts w:ascii="Times New Roman" w:hAnsi="Times New Roman"/>
          <w:color w:val="FF0000"/>
          <w:sz w:val="20"/>
        </w:rPr>
        <w:t xml:space="preserve"> </w:t>
      </w:r>
      <w:r>
        <w:rPr>
          <w:rFonts w:ascii="Times New Roman" w:hAnsi="Times New Roman"/>
          <w:color w:val="000000"/>
          <w:sz w:val="20"/>
        </w:rPr>
        <w:t>These amounts can only be offset against positive available cash within the second quarter of future years. NCM, Inc. has the option to defer payment of any available cash distributions payable to NCM, Inc. at its discretion. As of January 1, 2026, NCM LLC owed NCM, Inc. $52.7 million in deferred available cash distributions.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NCM, Inc. expects to use its cash balances and cash received from future available cash distributions (as allowed for under the 2025 Credit Facility) to fund payments associated with the Tax Receivable Agreement ("TRA"), stock repurchases, strategic initiatives and future dividends if and when declared by the Board of Directors. The Company made an estimated TRA payment in 2025 for the 2024 tax year and did not make a TRA payment in 2024 for the 2023 tax year. The Company also expects to make a TRA payment in 2026 for the 2025 tax year. Distributions from NCM LLC and NCM, Inc. cash balances should be sufficient to fund payments associated with the TRA, income taxes and any stock repurchases or declared dividends for the foreseeable future at the discretion of the Board of Directors. On March 18, 2024, the Board of Directors of the Company approved a stock repurchase program under which the Company is authorized to use assets of the Company to repurchase up to $100.0 million of shares of the Company’s Common Stock, exclusive of any fees, commissions or other expenses related to such repurchases, from time to time over a period of three years. As of January 1, 2026, the Company has $64.8 million remaining within the authorized program. At the discretion of the Board of Directors, the Company will consider returning a portion of its free cash flow to stockholders. The declaration, payment, timing and amount of any future stock repurchases or dividends payable will be at the sole discretion of the Board of Directors who will take into account general economic and advertising market business conditions, the Company’s financial condition, available cash, current and anticipated cash needs and any other factors that the Board of Directors considers relevant.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Capital Expenditures</w:t>
      </w:r>
    </w:p>
    <w:p>
      <w:pPr>
        <w:pStyle w:val="TextBody"/>
        <w:bidi w:val="0"/>
        <w:spacing w:before="120" w:after="283"/>
        <w:jc w:val="left"/>
        <w:rPr>
          <w:rFonts w:ascii="Times New Roman" w:hAnsi="Times New Roman"/>
          <w:sz w:val="20"/>
        </w:rPr>
      </w:pPr>
      <w:r>
        <w:rPr>
          <w:rFonts w:ascii="Times New Roman" w:hAnsi="Times New Roman"/>
          <w:color w:val="000000"/>
          <w:sz w:val="20"/>
        </w:rPr>
        <w:t>Capital expenditures of NCM LLC include digital applications being developed primarily by our programmers and outside consultants, capitalized software development or upgrades for our Digital Content Software, audience targeting and data management systems, cinema advertising management system, equipment required for our content production and post-production facilities, office leasehold improvements, desktop equipment for use by our employees, and in certain cases, the costs necessary to install equipment at or digitize all or a portion of a network affiliate’s theaters when they are added to our network. Capital expenditures in 2025 were $8.3 million (including $2.9 million associated with network affiliate additions; $2.7 million associated with upgrades to our existing systems related to the continued upgrades of our cinema advertising management system and related reporting; $0.9 million associated with leasehold improvements; $0.7 million associated with digital product development and data; and $0.5 million associated with certain implementation and prepaid costs associated with Cloud Computing arrangements) compared to $5.6 million in 2024 (including $1.9 million associated with upgrades to our existing systems related to the continued upgrades of our cinema advertising management system; $1.7 million associated with leasehold improvements; $1.0 million associated with digital product development; $0.4 million associated with network affiliate additions and $0.4 million associated with certain implementation and prepaid costs associated with Cloud Computing arrangements).</w:t>
      </w:r>
      <w:r>
        <w:rPr>
          <w:rFonts w:ascii="Times New Roman" w:hAnsi="Times New Roman"/>
          <w:color w:val="FF0000"/>
          <w:sz w:val="20"/>
        </w:rPr>
        <w:t xml:space="preserve"> </w:t>
      </w:r>
      <w:r>
        <w:rPr>
          <w:rFonts w:ascii="Times New Roman" w:hAnsi="Times New Roman"/>
          <w:color w:val="000000"/>
          <w:sz w:val="20"/>
        </w:rPr>
        <w:t>The capital expenditures have typically been satisfied through cash flow from operations. All capital expenditures related to the DCN within the ESA Parties’ theaters have been made by the ESA Parties under the ESAs. We expect they will continue to be made by the ESA Parties in accordance with the ESAs.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make approximately $9.0 million to $10.0 million of capital expenditures in fiscal 2026. We expect approximately $4.0 million of capital expenditures related to upgrades to our Digital Content distribution and management software and our other internal management systems, including our cinema advertising management system, reporting systems, network equipment and software licensing, $4.0 million towards network affiliate additions and upgrades to currently contracted network affiliates, $1.0 million towards digital products and audience measurement tools and $1.0 million towards leasehold improvements. Our capital expenditures may increase as we add additional network affiliates.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 that additional expenditures, if any, would be funded in part by additional cash flows associated with those new network affiliates.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Financings</w:t>
      </w:r>
    </w:p>
    <w:p>
      <w:pPr>
        <w:pStyle w:val="TextBody"/>
        <w:bidi w:val="0"/>
        <w:spacing w:before="120" w:after="283"/>
        <w:jc w:val="left"/>
        <w:rPr>
          <w:rFonts w:ascii="Times New Roman" w:hAnsi="Times New Roman"/>
          <w:sz w:val="20"/>
        </w:rPr>
      </w:pPr>
      <w:r>
        <w:rPr>
          <w:rFonts w:ascii="Times New Roman" w:hAnsi="Times New Roman"/>
          <w:color w:val="000000"/>
          <w:sz w:val="20"/>
        </w:rPr>
        <w:t>On January 24, 2025, NCM LLC entered into a Loan and Security Agreement with U.S. Bank National Association, as lender. The agreement provides for a $45.0 million senior secured revolving credit facility, the 2025 Credit Facility, that matures on January 24, 2028. In connection with entering into the 2025 Credit Facility, NCM LLC repaid in full the $10.0 million balance outstanding as of January 1, 2026 and terminated all commitments under its 2023 Revolving Credit Facility, and in connection with this termination, paid a prepayment fee equal to 1% of the total commitment.</w:t>
      </w:r>
      <w:r>
        <w:rPr>
          <w:rFonts w:ascii="Times New Roman" w:hAnsi="Times New Roman"/>
          <w:color w:val="FF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January 1, 2026, NCM LLC has an outstanding balance of $12.0 million under the 2025 Credit Facility. Borrowings under the 2025 Credit Facility may be used for, among other things, working capital and other general corporate purposes of the Company and bear interest at a floating rate equal to term SOFR (subject to a floor of zero) plus an applicable margin of 2.00%, which is subject to increase by an additional 2.00% upon the occurrence of an event of default. A commitment fee of 0.25% is payable quarterly in arrears based on the average daily amount of the undrawn portion of the commitments under the 2025 Credit Facility for the preceding quarter. The 2025 Credit Facility has a $5.0 million sublimit for the issuance of letters of credit. Fees are payable on outstanding letters of credit at a per annum rate equal to 2.00%, plus certain customary fees payable in connection with the issuance, amendment, renewal and extension of letters of credit and the processing of drawings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of NCM LLC’s future subsidiaries, the Guarantors, are required to guarantee the repayment of NCM LLC’s obligations under the 2025 Credit Facility. The obligations of NCM LLC and any such Guarantors with respect to the 2025 Credit Facility are and will be secured by a pledge of substantially all assets of NCM LLC and each of the Guarantors, including, without limitation, accounts receivables, deposit accounts, intellectual property, investment property, inventory, equipment and equity interests in their respective subsidiaries. The 2025 Credit Facility contains affirmative and negative covenants customary for financings of this type, including limitations on NCM LLC’s and its subsidiaries' ability to incur additional debt, grant or permit additional liens, make investments and acquisitions, merge or consolidate with others, dispose of assets, pay dividends and distributions, make equity repurchases, pay subordinated indebtedness and enter into affiliate transactions. In addition, the 2025 Credit Facility contains financial covenants requiring NCM LLC to maintain a maximum leverage ratio of no greater than 2.25 to 1.00 and a minimum fixed charge coverage ratio of no less than 1.50 to 1.00, each measured on a quarterly basis. The 2025 Credit Facility also includes events of default customary for facilities of this type and upon the occurrence of such events of default, subject to customary cure rights, all outstanding loans under the 2025 Credit Facility may be accelerated and/or the Company’s commitments terminated. The 2025 Credit Facility also contains representations, warranties, and events of defaults customary for this type of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January 1, 2026, NCM LLC’s maximum availability under the $45.0 million 2025 Credit Facility was $32.4 million, net of $12.0 million outstanding and net letters of credit of $0.6 million. The weighted-average interest rate on the 2025 Credit Facility as of January 1, 2026 was 5.8%. NCM LLC was in compliance at January 1, 2026 with a fixed charge coverage ratio of 13.5 to 1.0 (versus the required ratio of 1.50 to 1.00) and a maximum leverage ratio of 0.4 to 1.0 (versus the required ratio of 2.25 to 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January 1, 2026, the weighted average remaining maturity was 2.1 years. As of January 1, 2026, 100.0% of our borrowings bear interest at variable rates and as such, our net income and earnings per share could fluctuate with market interest rate fluctuations that could increase or decrease the interest paid on our borrowings.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7, 2023, NCM LLC entered into the Revolving Credit Facility 2023 with CIT Northbridge Credit LLC as agent and on January 24, 2025, it was terminated. The Revolving Credit Facility 2023 was an asset backed line facility where the capacity depends upon NCM LLC’s trade accounts receivable balance, as adjusted for aged balances and other considerations, and was secured by a lien on substantially all of assets of NCM LLC. The maximum availability NCM LLC had access to under the Revolving Credit Facility 2023 was $55.0 million. The proceeds of the Revolving Credit Facility 2023 could have been used for, inter alia, working capital and capital expenditures. The Revolving Credit Facility 2023 would have matured on August 7, 2026. The interest rate under the Revolving credit facility 2023 was a base rate or SOFR benchmark plus (i) 3.75% if less than 50% of revolving commitments were utilized or (ii) 4.50% if 50% or more of revolving commitments were utilized (utilizing the average revolver usage for the prior calendar month as a benchmark for this determination). The Revolving Credit Facility 2023 also contained a financial maintenance covenant requiring that the fixed charge coverage ratio ending on the last day of each fiscal month was at least 1.1 to 1.0 during a “Trigger Period.” A Trigger Period began upon (i) an event of default or (ii) if availability is less than the greater of (a) $5.0 million and (b) 10% of aggregate revolving commitments. A Trigger Period ended only if (i) no event of default existed for the preceding thirty (30) consecutive days and (ii) availability was greater than both (a) $5.0 million and (b) 10% of aggregate revolving commitments. Upon the effectiveness of the Revolving Credit Facility 2023, NCM LLC immediately drew $10.0 million from the facility, which represented the only amount outstanding under the Revolving Credit Facility 2023, as of December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26, 2024. The Revolving Credit Facility 2023 also contained customary representations, warranties, covenants, events of default, terms and conditions, including limitations on liens, incurrence of debt, mergers and significant asset dispositions. Upon execution of the Revolving Credit Facility 2023, NCM LLC recorded $2.4 million as debt issuance costs and received $9.1 million in proceeds.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Estimates and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accounting policies of the Company are described in Note 1 to the audited Consolidated Financial Statements included elsewhere in this document. Certain accounting policies involve significant judgments, assumptions and estimates by management that have a material impact on the carrying value of certain assets and liabilities, which management considers critical accounting policies. The judgments, assumptions and estimates used by management are based on historical experience, knowledge of the accounts and other factors, which are believed to be reasonable under the circumstances and are evaluated on an ongoing basis. Because of the nature of the judgments and assumptions made by management, actual results could differ from these judgments and estimates, which could have a material impact on the carrying values of assets and liabilities and the results of operations of the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Business Combinations</w:t>
      </w:r>
    </w:p>
    <w:p>
      <w:pPr>
        <w:pStyle w:val="TextBody"/>
        <w:bidi w:val="0"/>
        <w:spacing w:before="120" w:after="283"/>
        <w:jc w:val="left"/>
        <w:rPr>
          <w:rFonts w:ascii="Times New Roman" w:hAnsi="Times New Roman"/>
          <w:sz w:val="20"/>
        </w:rPr>
      </w:pPr>
      <w:r>
        <w:rPr>
          <w:rFonts w:ascii="Times New Roman" w:hAnsi="Times New Roman"/>
          <w:color w:val="000000"/>
          <w:sz w:val="20"/>
        </w:rPr>
        <w:t>The Company has accounted for all acquisitions, including the reconsolidation of NCM LLC, using the acquisition method of accounting. The acquisition method requires us to make significant estimates and assumptions, especially at the acquisition date as the purchase price is allocated to the estimated fair values of acquired tangible and intangible assets and the liabilities assumed. NCM LLC uses its best estimates to determine the useful lives of the tangible and definite-lived intangible assets, which impact the periods over which depreciation and amortization of those assets are recognized. These best estimates and assumptions are inherently uncertain as they pertain to forward-looking views of NCM LLC's business, exhibitor behavior and market conditions. In conjunction with the acquisition of Spotlight, NCM LLC recognized goodwill at the amount by which the purchase price paid exceeds the fair value of the net assets acquired. See Note 5—</w:t>
      </w:r>
      <w:r>
        <w:rPr>
          <w:rFonts w:ascii="Times New Roman" w:hAnsi="Times New Roman"/>
          <w:i/>
          <w:color w:val="000000"/>
          <w:sz w:val="20"/>
        </w:rPr>
        <w:t>Business Combinations</w:t>
      </w:r>
      <w:r>
        <w:rPr>
          <w:rFonts w:ascii="Times New Roman" w:hAnsi="Times New Roman"/>
          <w:color w:val="000000"/>
          <w:sz w:val="20"/>
        </w:rPr>
        <w:t xml:space="preserve"> for more information on the Company's valuation methods and the results of applying the acquisition method of accounting, including the estimated fair values of the assets acquired and liabilities assumed, and, where relevant, the estimated remaining useful lives.</w:t>
      </w:r>
    </w:p>
    <w:p>
      <w:pPr>
        <w:pStyle w:val="TextBody"/>
        <w:bidi w:val="0"/>
        <w:spacing w:before="120" w:after="283"/>
        <w:jc w:val="left"/>
        <w:rPr>
          <w:rFonts w:ascii="Times New Roman" w:hAnsi="Times New Roman"/>
          <w:sz w:val="20"/>
        </w:rPr>
      </w:pPr>
      <w:r>
        <w:rPr>
          <w:rFonts w:ascii="Times New Roman" w:hAnsi="Times New Roman"/>
          <w:color w:val="000000"/>
          <w:sz w:val="20"/>
        </w:rPr>
        <w:t>Our ongoing accounting for goodwill and the tangible and intangible assets acquired requires significant estimates and assumptions as the Company exercises judgment to evaluate these assets for impairment. Our processes and accounting policies for evaluating impairments are further described in Note 1—</w:t>
      </w:r>
      <w:r>
        <w:rPr>
          <w:rFonts w:ascii="Times New Roman" w:hAnsi="Times New Roman"/>
          <w:i/>
          <w:color w:val="000000"/>
          <w:sz w:val="20"/>
        </w:rPr>
        <w:t>Basis of Presentation and Summary of Significant Accounting Policies</w:t>
      </w:r>
      <w:r>
        <w:rPr>
          <w:rFonts w:ascii="Times New Roman" w:hAnsi="Times New Roman"/>
          <w:color w:val="000000"/>
          <w:sz w:val="2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Deconsolidation of NCM LLC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NCM LLC does not have a readily determinable fair value. Upon the deconsolidation of NCM LLC, the original cost of the investment was valued based upon NCM, Inc.'s ownership of the secured debt of NCM LLC and the estimation of the enterprise value of NCM LLC utilizing a combination of a market approach and income approach. The market approach relied upon a comparison with guideline public companies and entails selecting relevant financial information of the subject company and capitalizing those amounts using valuation multiples that are based on empirical market observation. The income approach relied upon an analysis of NCM LLC’s projected economic earnings discounted to present value. Significant assumptions utilized within these analyses include the weighted average cost of capital and NCM LLC’s forecasted cash flows. Due to the inherent uncertainty of determining the fair value of securities that do not have a readily available fair value, the determination of the fair value required significant judgment or estimation and changes in the estimates and assumptions used in the valuation models could materially affect the determination.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Valuation of Intangible Assets</w:t>
      </w:r>
    </w:p>
    <w:p>
      <w:pPr>
        <w:pStyle w:val="TextBody"/>
        <w:bidi w:val="0"/>
        <w:spacing w:before="120" w:after="283"/>
        <w:jc w:val="left"/>
        <w:rPr>
          <w:rFonts w:ascii="Times New Roman" w:hAnsi="Times New Roman"/>
          <w:sz w:val="20"/>
        </w:rPr>
      </w:pPr>
      <w:r>
        <w:rPr>
          <w:rFonts w:ascii="Times New Roman" w:hAnsi="Times New Roman"/>
          <w:color w:val="000000"/>
          <w:sz w:val="20"/>
        </w:rPr>
        <w:t>In accordance with ASC 360—</w:t>
      </w:r>
      <w:r>
        <w:rPr>
          <w:rFonts w:ascii="Times New Roman" w:hAnsi="Times New Roman"/>
          <w:i/>
          <w:color w:val="000000"/>
          <w:sz w:val="20"/>
        </w:rPr>
        <w:t>Property, Plant and Equipment,</w:t>
      </w:r>
      <w:r>
        <w:rPr>
          <w:rFonts w:ascii="Times New Roman" w:hAnsi="Times New Roman"/>
          <w:color w:val="000000"/>
          <w:sz w:val="20"/>
        </w:rPr>
        <w:t xml:space="preserve"> we evaluate intangible assets and other long-lived assets for impairment whenever a triggering event occurs indicating that they may not be recoverable. Recoverability is assessed by comparing the carrying amount of an asset group to future undiscounted net cash flows expected to be generated. If the carrying amount of an asset group is not recoverable, an impairment loss is recognized equal to the difference between the carrying amount and the fair value of the asset group. We group assets for purposes of such review at the lowest level for which identifiable cash flows of the asset group are largely independent of the cash flows of the other groups of assets and liabilities. In order to calculate the future undiscounted net cash flows, we utilize estimates and assumptions based on historical data and consideration of future market conditions while incorporating management’s expectations as of the balance sheet date. Unforeseen events, changes in circumstances and market conditions and material differences in estimates of future cash flows could adversely affect the fair value of our assets and could result in impairment charges.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Nature of Estimates Required.</w:t>
      </w:r>
      <w:r>
        <w:rPr>
          <w:rFonts w:ascii="Times New Roman" w:hAnsi="Times New Roman"/>
          <w:color w:val="000000"/>
          <w:sz w:val="20"/>
        </w:rPr>
        <w:t xml:space="preserve"> We account for income taxes in accordance with ASC 740 – </w:t>
      </w:r>
      <w:r>
        <w:rPr>
          <w:rFonts w:ascii="Times New Roman" w:hAnsi="Times New Roman"/>
          <w:i/>
          <w:color w:val="000000"/>
          <w:sz w:val="20"/>
        </w:rPr>
        <w:t xml:space="preserve">Income Taxes, </w:t>
      </w:r>
      <w:r>
        <w:rPr>
          <w:rFonts w:ascii="Times New Roman" w:hAnsi="Times New Roman"/>
          <w:color w:val="000000"/>
          <w:sz w:val="20"/>
        </w:rPr>
        <w:t>which requires an asset and liability approach to financial accounting and reporting for income taxes. Accordingly, deferred tax assets and liabilities arise from the differences between the tax basis of an asset or liability and its reported amount in the audited Consolidated Financial Statements. Deferred tax amounts are determined using the tax rates expected to be in effect when the taxes will actually be paid or refunds received, as provided under currently enacted tax law. Valuation allowances are to be established when necessary to reduce deferred tax assets to the amount expected to be realized. The Company generated a three-year cumulative pre-tax book loss during 2021 driven by the impact of the COVID-19 Pandemic on the Company’s operations in 2020 and 2021. Given the associated weight assigned to this item as negative evidence within the Company’s analysis, the Company determined it is more-likely-than-not that the Company will not be able to realize certain of the Company’s deferred tax assets before they expire. Given the additional pre-tax book losses in 2024 and 2025, the Company continues to have a valuation allowance in the amount of $160.8 million</w:t>
      </w:r>
      <w:r>
        <w:rPr>
          <w:rFonts w:ascii="Times New Roman" w:hAnsi="Times New Roman"/>
          <w:color w:val="FF0000"/>
          <w:sz w:val="20"/>
        </w:rPr>
        <w:t xml:space="preserve"> </w:t>
      </w:r>
      <w:r>
        <w:rPr>
          <w:rFonts w:ascii="Times New Roman" w:hAnsi="Times New Roman"/>
          <w:color w:val="000000"/>
          <w:sz w:val="20"/>
        </w:rPr>
        <w:t xml:space="preserve">against the deferred tax asset as of January 1, 2026. The Company had a valuation allowance in the amount of $169.1 million against the deferred tax asset as of December 26, 2024. As we do expect to generate pre-tax book income following the complete recovery from the lingering impacts of the COVID-19 Pandemic and Chapter 11 Case, we have recorded an impact from the Net Business Interest Expense Limitation IRC § 163(j) on our payable to ESA Parties under the TRA.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due to the basis differences resulting from our IPO-related transactions (including the TRA with the ESA Parties) and subsequent adjustments pursuant to the Common Unit Adjustment Agreement, we are required to make cash payments under the TRA to the ESA Parties in amounts equal to 90% of our actual tax benefit realized from the tax amortization of the basis difference for certain deferred assets noted above. Following the increase in the valuation allowance as of December 31, 2020, the Company recorded a corresponding $151.9 million reduction to the “Payable to ESA Parties under the tax receivable agreement” equal to the portion of the payable related to 90% of the amortization of the expected benefits from the realization of the deferred tax assets deemed not more-likely-than-not to be realized as of December 31, 2020. Once the Company returns to a more normal operating level and emerges from a three-year cumulative pre-tax book loss position, part or all the valuation allowance is expected to reverse, resulting in an inverse impact to the payable to ESA Parties under the tax receivable agreement which would increase to reflect future payments to the ESA Parties at that time. The requirements of the TRA, as amended, are highly technical and complex and involve management’s judgment, including judgments to determine hypothetical tax outcomes exclusive of the IPO date transaction and agreements. Management performs thorough analysis of the estimate each quarter and upon new information or conditions will refine its estimate. If we were to fail to meet certain of the requirements of the TRA, we could be subject to additional payments to taxing authorities or to the ESA Parties. We recognize the tax benefit from an uncertain tax position only when it is more likely than not, based on the technical merits of the position, that the tax position will be sustained upon examination, including the resolution of any related appeals or litigation. The tax benefits recognized in the audited Consolidated Financial Statements from such a position are measured as the largest benefit that has a greater than fifty percent likelihood of being realized upon ultimate resolution.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use our net operating losses ("NOLs") to offset future taxable income may be subject to certain limitations. In general, under Section 382 of the Internal Revenue Code of 1986, as amended, a corporation that undergoes an ownership change is subject to limitations on its ability to utilize NOLs existing prior to the ownership change period to offset future taxable income subsequent to the ownership change. Management concluded that NCM Inc. had an ownership change upon emergence from the Chapter 11 Case and if there is a future change in our stock ownership (which may be outside of our control) the change could result in an additional ownership change further limiting our ability to utilize NOLs in accordance with Section 382 of the Code. As of January 1, 2026, the Company had gross federal net operating loss carryforwards subject to IRC 382 limitations of $61.6 million, gross state net operating loss carryforwards of $96.3 million subject to 382 limitations, $14.5 million of IRC 163(j) excess business interest expense carryforwards subject to IRC 382 limitations, and $1.5 million of federal Research &amp; Development credits subject to 382 limitations.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fiscal 2025, our provision for income taxes was $0.0 million. Changes in management’s estimates and assumptions regarding the enacted tax rate applied to deferred tax assets and liabilities, the ability to realize the value of deferred tax assets, or the timing of the reversal of tax basis differences and judgments used to determine hypothetical tax outcomes exclusive of the IPO date transaction and agreements could impact the provision for income taxes and change the effective tax rate.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Share-based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2024, a portion of the restricted stock units issued by the Company vest subject to market-based metrics. We measured the fair value of these awards on the date of grant using a Monte Carlo simulation model. This model considers various subjective assumptions as inputs, and represent our best estimates, which involve inherent uncertainties and the application of our judgment as it relates to market volatilities, the historical volatility of our stock price, risk-free rates and expected life. The valuation model also incorporates exercise and forfeiture assumptions based on an analysis of historical data. Determining these assumptions is subjective and complex, and therefore, a change in the assumptions utilized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impact the calculation of the fair value of our market-based share awards and the associated compensation expense. Refer to Note 11—</w:t>
      </w:r>
      <w:r>
        <w:rPr>
          <w:rFonts w:ascii="Times New Roman" w:hAnsi="Times New Roman"/>
          <w:i/>
          <w:color w:val="000000"/>
          <w:sz w:val="20"/>
        </w:rPr>
        <w:t>Share Based Compensation</w:t>
      </w:r>
      <w:r>
        <w:rPr>
          <w:rFonts w:ascii="Times New Roman" w:hAnsi="Times New Roman"/>
          <w:color w:val="000000"/>
          <w:sz w:val="20"/>
        </w:rPr>
        <w:t xml:space="preserve"> in the notes to our consolidated financial statements for further information regarding our share-based compensation awards.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discussion of the recent accounting pronouncements relevant to our business operations, refer to the information provided under Note 1 to the audited Consolidated Financial Statements included elsewhere in this document.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Related-Party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discussion of the related-party transactions, refer to the information provided under Note 9 to the audited Consolidated Financial Statements included elsewhere in this document.</w:t>
      </w:r>
    </w:p>
    <w:p>
      <w:pPr>
        <w:pStyle w:val="TextBody"/>
        <w:bidi w:val="0"/>
        <w:spacing w:before="120" w:after="283"/>
        <w:jc w:val="left"/>
        <w:rPr>
          <w:rFonts w:ascii="Times New Roman" w:hAnsi="Times New Roman"/>
          <w:sz w:val="20"/>
        </w:rPr>
      </w:pPr>
      <w:bookmarkStart w:id="12" w:name="item_7a_quantitative_and_qualitative"/>
      <w:bookmarkEnd w:id="12"/>
      <w:r>
        <w:rPr>
          <w:rFonts w:ascii="Times New Roman" w:hAnsi="Times New Roman"/>
          <w:b/>
          <w:color w:val="000000"/>
          <w:sz w:val="20"/>
        </w:rPr>
        <w:t xml:space="preserve">Item 7A. </w:t>
      </w:r>
      <w:r>
        <w:rPr>
          <w:rFonts w:ascii="Times New Roman" w:hAnsi="Times New Roman"/>
          <w:b/>
          <w:color w:val="000000"/>
          <w:sz w:val="20"/>
          <w:u w:val="single"/>
        </w:rPr>
        <w:t>Quantitative and Qualitative Disclosures About Market Risk</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primary market risk to which we are exposed is interest rate risk. On January 24, 2025, NCM LLC entered into the 2025 Credit Facility. The maximum capacity that NCM LLC has access to under the 2025 Credit Facility is $45.0 million. The interest rate under the 2025 Credit Facility is a floating rate equal to term SOFR (subject to a floor of zero) plus an applicable margin of 2.00%, which is subject to increase by an additional 2.00% upon the occurrence of an event of default. As of January 1, 2026, the Company has an outstanding balance of $12.0 million on the 2025 Credit Facility. If the Company had drawn down on the maximum capacity of the 2025 Credit Facility of $45.0 million, a 100-basis point fluctuation in market interest rates would have the effect of increasing or decreasing our cash interest expense by approximately $0.5 million for an annual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3" w:name="index_to_financial_statements"/>
      <w:bookmarkEnd w:id="13"/>
      <w:r>
        <w:rPr>
          <w:rFonts w:ascii="Times New Roman" w:hAnsi="Times New Roman"/>
          <w:b/>
          <w:color w:val="000000"/>
          <w:sz w:val="20"/>
        </w:rPr>
        <w:t xml:space="preserve">Item 8. </w:t>
      </w:r>
      <w:r>
        <w:rPr>
          <w:rFonts w:ascii="Times New Roman" w:hAnsi="Times New Roman"/>
          <w:b/>
          <w:color w:val="000000"/>
          <w:sz w:val="20"/>
          <w:u w:val="single"/>
        </w:rPr>
        <w:t>Financial State</w:t>
      </w:r>
      <w:bookmarkStart w:id="14" w:name="item_8_financialstatementsandsupplementa"/>
      <w:bookmarkEnd w:id="14"/>
      <w:r>
        <w:rPr>
          <w:rFonts w:ascii="Times New Roman" w:hAnsi="Times New Roman"/>
          <w:b/>
          <w:color w:val="000000"/>
          <w:sz w:val="20"/>
          <w:u w:val="single"/>
        </w:rPr>
        <w:t>ments and Supplementary Data</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INDEX TO FINANCIAL STATEMENTS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34"/>
        <w:gridCol w:w="571"/>
      </w:tblGrid>
      <w:tr>
        <w:trPr/>
        <w:tc>
          <w:tcPr>
            <w:tcW w:w="963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6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National CineMedia, Inc. and Subsidiaries</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gt_report_of_independent_public">
              <w:r>
                <w:rPr>
                  <w:rStyle w:val="InternetLink"/>
                  <w:rFonts w:ascii="Times New Roman" w:hAnsi="Times New Roman"/>
                  <w:color w:val="0000FF"/>
                  <w:sz w:val="20"/>
                  <w:u w:val="single"/>
                </w:rPr>
                <w:t>Report of Grant Thornton LLP, Independent Registered Public Accounting Firm (PCAOB ID: 248)</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report_of_independent_registered_public">
              <w:r>
                <w:rPr>
                  <w:rStyle w:val="InternetLink"/>
                  <w:rFonts w:ascii="Times New Roman" w:hAnsi="Times New Roman"/>
                  <w:color w:val="0000FF"/>
                  <w:sz w:val="20"/>
                  <w:u w:val="single"/>
                </w:rPr>
                <w:t>Report of Deloitte &amp; Touche LLP, Independent Registered Public Accounting Firm (PCAOB ID: 34)</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January 1, 2026 and December 26, 2024</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Consolidated Statements of Operations for the years ended January 1, 2026, December 26, 2024 and December 28, 2023</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equity_defici">
              <w:r>
                <w:rPr>
                  <w:rStyle w:val="InternetLink"/>
                  <w:rFonts w:ascii="Times New Roman" w:hAnsi="Times New Roman"/>
                  <w:color w:val="0000FF"/>
                  <w:sz w:val="20"/>
                  <w:u w:val="single"/>
                </w:rPr>
                <w:t>Consolidated Statements of Equity/(Deficit) for the years ended January 1, 2026, December 26, 2024 and December 28, 2023</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Consolidated Statements of Cash Flows for the years ended January 1, 2026, December 26, 2024 and December 28, 2023</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hyperlink w:anchor="notes">
              <w:r>
                <w:rPr>
                  <w:rStyle w:val="InternetLink"/>
                  <w:rFonts w:ascii="Times New Roman" w:hAnsi="Times New Roman"/>
                  <w:color w:val="0000FF"/>
                  <w:sz w:val="20"/>
                  <w:u w:val="single"/>
                </w:rPr>
                <w:t>Notes to Consolidated Financial Statements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5" w:name="gt_report_of_independent_public"/>
      <w:bookmarkEnd w:id="15"/>
      <w:r>
        <w:rPr>
          <w:rFonts w:ascii="Times New Roman" w:hAnsi="Times New Roman"/>
          <w:b/>
          <w:color w:val="000000"/>
          <w:sz w:val="20"/>
        </w:rPr>
        <w:t>REPORT OF INDEPENDENT REGISTERED PUBLIC ACCOUNTING FIRM</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Board of Directors and Stockholders National CineMedia, Inc.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Opinion on the financial statements</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have audited the accompanying consolidated balance sheets of National CineMedia, Inc. (a Delaware corporation) and subsidiaries (the “Company”) as of January 1, 2026 and December 26, 2024, the related consolidated statements of operations, equity/(deficit), and cash flows for each of the two years ended January 1, 2026 and December 26, 2024, and the related notes (collectively referred to as the “consolidated financial statements”). In our opinion, the consolidated financial statements present fairly, in all material respects, the financial position of the Company as of January 1, 2026 and December 26, 2024, and the results of its operations and its cash flows for each of the two years ended January 1, 2026 and December 26, 2024, in conformity with accounting principles generally accepted in the United States of America. </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We also have audited, in accordance with the standards of the Public Company Accounting Oversight Board (United States) (“PCAOB”), the Company’s internal control over financial reporting as of January 1, 2026, based on criteria established in the 2013 </w:t>
      </w:r>
      <w:r>
        <w:rPr>
          <w:rFonts w:ascii="Times New Roman" w:hAnsi="Times New Roman"/>
          <w:i/>
          <w:color w:val="000000"/>
          <w:sz w:val="20"/>
        </w:rPr>
        <w:t>Internal Control—Integrated Framework</w:t>
      </w:r>
      <w:r>
        <w:rPr>
          <w:rFonts w:ascii="Times New Roman" w:hAnsi="Times New Roman"/>
          <w:color w:val="000000"/>
          <w:sz w:val="20"/>
        </w:rPr>
        <w:t xml:space="preserve"> issued by the Committee of Sponsoring Organizations of the Treadway Commission (“COSO”), and our report dated February 26, 2026 expressed an unqualified opinion.</w:t>
      </w:r>
    </w:p>
    <w:p>
      <w:pPr>
        <w:pStyle w:val="TextBody"/>
        <w:bidi w:val="0"/>
        <w:jc w:val="left"/>
        <w:rPr>
          <w:rFonts w:ascii="Times New Roman" w:hAnsi="Times New Roman"/>
          <w:sz w:val="20"/>
        </w:rPr>
      </w:pPr>
      <w:r>
        <w:rPr>
          <w:rFonts w:ascii="Times New Roman" w:hAnsi="Times New Roman"/>
          <w:b/>
          <w:color w:val="000000"/>
          <w:sz w:val="20"/>
        </w:rPr>
        <w:t>Basis for opinion</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critical audit matters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 </w:t>
      </w:r>
    </w:p>
    <w:p>
      <w:pPr>
        <w:pStyle w:val="TextBody"/>
        <w:bidi w:val="0"/>
        <w:jc w:val="left"/>
        <w:rPr>
          <w:rFonts w:ascii="Times New Roman" w:hAnsi="Times New Roman"/>
          <w:sz w:val="20"/>
        </w:rPr>
      </w:pPr>
      <w:r>
        <w:rPr>
          <w:rFonts w:ascii="Times New Roman" w:hAnsi="Times New Roman"/>
          <w:i/>
          <w:color w:val="000000"/>
          <w:sz w:val="20"/>
        </w:rPr>
        <w:t>Income Taxes – Tax Receivable Agreement</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As described further in Notes 1, 7 and 9 to the consolidated financial statements, the Company and the ESA Parties entered into the Tax Receivable Agreement (“TRA”) at the time of the Company’s initial public offering (“IPO”). Under the terms of this agreement, the Company will make cash payments to the ESA Parties in amounts equal to 90% of the Company’s actual tax benefit realized from the tax amortization of the intangible assets associated with the ESA agreements. For purposes of the TRA, cash savings in income tax will be computed by comparing the Company’s actual income and franchise tax liability to the amount of such taxes that the Company would have been required to pay had there been no increase in the Company’s proportionate share of tax basis in National CineMedia, LLC’s (“NCM LLC”) tangible and intangible assets. The TRA applies to the Company’s taxable years up to and including the 30th anniversary of the IPO.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requirements of the TRA, as amended, are highly technical and complex and involve management’s judgment, including judgments to determine hypothetical tax outcomes exclusive of the IPO date transaction and agreements and requires the Company to estimate amounts payable based on new information or conditions under the TRA. In addition to the termination of AMC's rights under the TRA, changes in the Company’s forecasted tax rate and in the Company’s period of forecasting book income utilized for measuring the future amounts probable to be paid under the TRA led to a re-measurement of the payable, resulting in a decrease during the fiscal year of $30.2 million. At January 1, 2026, the Company’s payable under the TRA was $33.8 million; of which $2.9 million is presented as a component of current liabilities and $30.9 million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presented as a component of non-current liabilities. We identified the estimation of the payable under the TRA as a critical audit matter.</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principal considerations for our determination that the computation of the payable under the TRA represents a critical audit matter is complexity of the calculations and the significant inputs and assumptions required by management when estimating the forecasted book income of the Company. Evaluating the reasonableness of these inputs and assumptions requires significant auditor judgment. The amount of the payable under the TRA, as well as the timing of such payments, is dependent upon a number of complex items including the amount and timing of taxable income the Company generates in future periods until the payable under the TRA is settled.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audit procedures related to the estimation of the payable under the TRA included the following, among others: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 We obtained and evaluated support for the methodology used to calculate the payable under the TRA and compared the assumptions used in management’s analysis to other audit testing performed, including the consideration of the facts and circumstances determined to be the basis for the use of three years of projections.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(ii) We performed sensitivity analyses over certain assumptions in the forecasted book income utilized in the TRA calculation model.</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(iii) We evaluated the reasonableness of significant assumptions used to develop the forecasted book income projections, including testing the underlying source of information and the mathematical accuracy of the calculations, used within management’s liquidity model to estimate book income, which included assumptions such as revenue growth rates and operating expenses, and comparing them to historical amounts, industry and economic trends, and by tracing them to underlying source information.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(iv) We evaluated management’s computation of adjustments to the year-end balance of the payable under the TRA amount by analyzing the model used to compute the liability for technical and mathematical accuracy and identified, tested, and substantiated the key inputs and assumptions used by management within the model including: exchange activity in the period, ownership percentages, state tax rates and apportionment, projections of income, and reversal patterns of existing book and tax differences.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 GRANT THORNTON LLP</w:t>
      </w:r>
    </w:p>
    <w:p>
      <w:pPr>
        <w:pStyle w:val="TextBody"/>
        <w:bidi w:val="0"/>
        <w:spacing w:before="0" w:after="284"/>
        <w:jc w:val="left"/>
        <w:rPr>
          <w:rFonts w:ascii="Times New Roman" w:hAnsi="Times New Roman"/>
          <w:color w:val="000000"/>
          <w:sz w:val="20"/>
        </w:rPr>
      </w:pPr>
      <w:r>
        <w:rPr>
          <w:rFonts w:ascii="Times New Roman" w:hAnsi="Times New Roman"/>
          <w:color w:val="000000"/>
          <w:sz w:val="20"/>
        </w:rPr>
        <w:t>We have served as the Company’s auditor since 2024.</w:t>
      </w:r>
    </w:p>
    <w:p>
      <w:pPr>
        <w:pStyle w:val="TextBody"/>
        <w:bidi w:val="0"/>
        <w:jc w:val="left"/>
        <w:rPr>
          <w:rFonts w:ascii="Times New Roman" w:hAnsi="Times New Roman"/>
          <w:color w:val="000000"/>
          <w:sz w:val="20"/>
        </w:rPr>
      </w:pPr>
      <w:r>
        <w:rPr>
          <w:rFonts w:ascii="Times New Roman" w:hAnsi="Times New Roman"/>
          <w:color w:val="000000"/>
          <w:sz w:val="20"/>
        </w:rPr>
        <w:t>Denver, Colorado</w:t>
      </w:r>
    </w:p>
    <w:p>
      <w:pPr>
        <w:pStyle w:val="TextBody"/>
        <w:bidi w:val="0"/>
        <w:jc w:val="left"/>
        <w:rPr>
          <w:rFonts w:ascii="Times New Roman" w:hAnsi="Times New Roman"/>
          <w:color w:val="000000"/>
          <w:sz w:val="20"/>
        </w:rPr>
      </w:pPr>
      <w:r>
        <w:rPr>
          <w:rFonts w:ascii="Times New Roman" w:hAnsi="Times New Roman"/>
          <w:color w:val="000000"/>
          <w:sz w:val="20"/>
        </w:rPr>
        <w:t>February 26,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6" w:name="report_of_independent_registered_public"/>
      <w:bookmarkEnd w:id="16"/>
      <w:r>
        <w:rPr>
          <w:rFonts w:ascii="Times New Roman" w:hAnsi="Times New Roman"/>
          <w:b/>
          <w:color w:val="000000"/>
          <w:sz w:val="20"/>
        </w:rPr>
        <w:t>REPORT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stockholders and the Board of Directors of National CineMedia, Inc.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audited the accompanying consolidated statements of operations, equity/(deficit), and cash flows, for the period ended December 28, 2023, and the related notes (collectively referred to as the "financial statements") of National CineMedia, Inc. and subsidiaries (the "Company"). In our opinion, the financial statements present fairly, in all material respects, the results of its operations and its cash flows for the period ended December 28, 2023, in conformity with accounting principles generally accepted in the United States of America.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Denver, Colorado </w:t>
      </w:r>
    </w:p>
    <w:p>
      <w:pPr>
        <w:pStyle w:val="TextBody"/>
        <w:bidi w:val="0"/>
        <w:spacing w:before="60" w:after="283"/>
        <w:jc w:val="left"/>
        <w:rPr>
          <w:rFonts w:ascii="Times New Roman" w:hAnsi="Times New Roman"/>
          <w:sz w:val="20"/>
        </w:rPr>
      </w:pPr>
      <w:r>
        <w:rPr>
          <w:rFonts w:ascii="Times New Roman" w:hAnsi="Times New Roman"/>
          <w:color w:val="000000"/>
          <w:sz w:val="20"/>
        </w:rPr>
        <w:t xml:space="preserve">March 18, 2024 (March 6, 2025, as to the effects of the adoption of ASU 2023-07, </w:t>
      </w:r>
      <w:r>
        <w:rPr>
          <w:rFonts w:ascii="Times New Roman" w:hAnsi="Times New Roman"/>
          <w:i/>
          <w:color w:val="000000"/>
          <w:sz w:val="20"/>
        </w:rPr>
        <w:t>Improvements to Reportable Segment Disclosures</w:t>
      </w:r>
      <w:r>
        <w:rPr>
          <w:rFonts w:ascii="Times New Roman" w:hAnsi="Times New Roman"/>
          <w:color w:val="000000"/>
          <w:sz w:val="20"/>
        </w:rPr>
        <w:t xml:space="preserve">, described in Note 1 within the captions labeled Segment Reporting and Capital Expenditures) </w:t>
      </w:r>
    </w:p>
    <w:p>
      <w:pPr>
        <w:pStyle w:val="TextBody"/>
        <w:bidi w:val="0"/>
        <w:spacing w:before="60" w:after="283"/>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We began serving as the Company's auditor in 2006. In 2024 we became the predecessor auditor.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bookmarkStart w:id="17" w:name="consolidated_balance_sheets"/>
      <w:bookmarkEnd w:id="17"/>
      <w:r>
        <w:rPr>
          <w:rFonts w:ascii="Times New Roman" w:hAnsi="Times New Roman"/>
          <w:b/>
          <w:color w:val="000000"/>
          <w:sz w:val="20"/>
        </w:rPr>
        <w:t>CONSOLIDATED BALANCE SHEETS</w:t>
      </w:r>
    </w:p>
    <w:p>
      <w:pPr>
        <w:pStyle w:val="TextBody"/>
        <w:bidi w:val="0"/>
        <w:jc w:val="center"/>
        <w:rPr>
          <w:rFonts w:ascii="Times New Roman" w:hAnsi="Times New Roman"/>
          <w:sz w:val="20"/>
        </w:rPr>
      </w:pPr>
      <w:r>
        <w:rPr>
          <w:rFonts w:ascii="Times New Roman" w:hAnsi="Times New Roman"/>
          <w:b/>
          <w:color w:val="000000"/>
          <w:sz w:val="18"/>
        </w:rPr>
        <w:t xml:space="preserve">(In millions, except </w:t>
      </w:r>
      <w:r>
        <w:rPr>
          <w:rFonts w:ascii="Times New Roman" w:hAnsi="Times New Roman"/>
          <w:b/>
          <w:color w:val="000000"/>
          <w:sz w:val="20"/>
        </w:rPr>
        <w:t xml:space="preserve">share </w:t>
      </w:r>
      <w:r>
        <w:rPr>
          <w:rFonts w:ascii="Times New Roman" w:hAnsi="Times New Roman"/>
          <w:b/>
          <w:color w:val="000000"/>
          <w:sz w:val="18"/>
        </w:rPr>
        <w:t>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80"/>
        <w:gridCol w:w="146"/>
        <w:gridCol w:w="339"/>
        <w:gridCol w:w="918"/>
        <w:gridCol w:w="146"/>
        <w:gridCol w:w="146"/>
        <w:gridCol w:w="386"/>
        <w:gridCol w:w="1051"/>
        <w:gridCol w:w="593"/>
      </w:tblGrid>
      <w:tr>
        <w:trPr/>
        <w:tc>
          <w:tcPr>
            <w:tcW w:w="6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26, 2024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Receivables, net of allowance of $1.1 and $1.2,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due from ESA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 of accum. depreciation of $8.4 and $4.8,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 of accum. amortization of $86.1 and $52.8,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issuance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568.6</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due to ESA Parties,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Payable under the TRA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payroll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Payable under the TRA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NCM, Inc.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$0.01 par value; 10,000,000 shares authorized, 50 issued</w:t>
              <w:br/>
              <w:t>   and outstanding,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$0.01 par value; 260,000,000 shares authorized, 93,353,604</w:t>
              <w:br/>
              <w:t>   and 95,755,491 issued and outstanding,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 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NCM, Inc.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568.6</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Refer to accompanying notes to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bookmarkStart w:id="18" w:name="consolidated_statements_of_operations"/>
      <w:bookmarkEnd w:id="18"/>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46"/>
        <w:gridCol w:w="146"/>
        <w:gridCol w:w="217"/>
        <w:gridCol w:w="1073"/>
        <w:gridCol w:w="166"/>
        <w:gridCol w:w="146"/>
        <w:gridCol w:w="243"/>
        <w:gridCol w:w="1199"/>
        <w:gridCol w:w="166"/>
        <w:gridCol w:w="146"/>
        <w:gridCol w:w="243"/>
        <w:gridCol w:w="1199"/>
        <w:gridCol w:w="615"/>
      </w:tblGrid>
      <w:tr>
        <w:trPr/>
        <w:tc>
          <w:tcPr>
            <w:tcW w:w="4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26,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2023</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Revenue (including revenue from related parties of $0.1, $0.0 and </w:t>
              <w:br/>
              <w:t>   $14.2,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Network operating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Theater exhibition fees (including fees to related parties of </w:t>
              <w:br/>
              <w:t>   $0.0, $0.0 and $16.5,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Administrative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(Gain) loss on re-measurement of the payable under the tax </w:t>
              <w:br/>
              <w:t>   receivable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deconsolidation of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(557.7</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re-measurement of investment in NCM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reconsolidation of NCM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non-operating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696.7</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696.7</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NCM,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705.2</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COMPREHENSIVE (LOSS) INCOME ATTRIBUTABLE TO </w:t>
              <w:br/>
              <w:t>   NCM,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705.2</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NCM, INC.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94,182,400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95,865,998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47,882,944</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94,182,400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95,865,998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48,574,583</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Refer to accompanying notes to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bookmarkStart w:id="19" w:name="consolidated_statements_of_equity_defici"/>
      <w:bookmarkEnd w:id="19"/>
      <w:r>
        <w:rPr>
          <w:rFonts w:ascii="Times New Roman" w:hAnsi="Times New Roman"/>
          <w:b/>
          <w:color w:val="000000"/>
          <w:sz w:val="20"/>
        </w:rPr>
        <w:t>CONSOLIDATED STATEMENTS OF EQUITY/ (DEFICIT)</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94"/>
        <w:gridCol w:w="146"/>
        <w:gridCol w:w="204"/>
        <w:gridCol w:w="562"/>
        <w:gridCol w:w="151"/>
        <w:gridCol w:w="146"/>
        <w:gridCol w:w="146"/>
        <w:gridCol w:w="796"/>
        <w:gridCol w:w="151"/>
        <w:gridCol w:w="146"/>
        <w:gridCol w:w="181"/>
        <w:gridCol w:w="346"/>
        <w:gridCol w:w="151"/>
        <w:gridCol w:w="146"/>
        <w:gridCol w:w="146"/>
        <w:gridCol w:w="346"/>
        <w:gridCol w:w="146"/>
        <w:gridCol w:w="146"/>
        <w:gridCol w:w="181"/>
        <w:gridCol w:w="346"/>
        <w:gridCol w:w="146"/>
        <w:gridCol w:w="146"/>
        <w:gridCol w:w="181"/>
        <w:gridCol w:w="496"/>
        <w:gridCol w:w="151"/>
        <w:gridCol w:w="146"/>
        <w:gridCol w:w="307"/>
        <w:gridCol w:w="849"/>
        <w:gridCol w:w="151"/>
        <w:gridCol w:w="146"/>
        <w:gridCol w:w="243"/>
        <w:gridCol w:w="568"/>
        <w:gridCol w:w="198"/>
      </w:tblGrid>
      <w:tr>
        <w:trPr/>
        <w:tc>
          <w:tcPr>
            <w:tcW w:w="18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8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9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NCM, Inc.</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 in</w:t>
              <w:br/>
              <w:t>Capital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Retained</w:t>
              <w:br/>
              <w:t>Earnings</w:t>
              <w:br/>
              <w:t>(Distributions in Excess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Noncontrolling</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Consolidated</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of 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Balance—December 29,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12,840,264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Deconsolidation of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Income tax and other impacts </w:t>
              <w:br/>
              <w:t xml:space="preserve">   of NCM LLC ownership </w:t>
              <w:br/>
              <w:t>   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83,722,159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NCM LLC common </w:t>
              <w:br/>
              <w:t>   membership unit redemption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Comprehensive income, net </w:t>
              <w:br/>
              <w: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Share-based compensation </w:t>
              <w:br/>
              <w:t>   issued,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274,616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w:t>
              <w:br/>
              <w:t>   expense/capitalized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Balance—December 28,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434.5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96,837,039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NCM LLC equity issued for </w:t>
              <w:br/>
              <w:t xml:space="preserve">   purchase of an intangible </w:t>
              <w:br/>
              <w:t>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Cash redemption of NCM </w:t>
              <w:br/>
              <w:t xml:space="preserve">   LLC common membership </w:t>
              <w:br/>
              <w:t>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Purchases of NCM, Inc.'s </w:t>
              <w:br/>
              <w:t>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(2,524,991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Share-based compensation </w:t>
              <w:br/>
              <w:t>   issued,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1,443,443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w:t>
              <w:br/>
              <w:t>   expense/capitalized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Balance—December 26,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411.2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95,755,491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280.9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Purchases of NCM, Inc.'s </w:t>
              <w:br/>
              <w:t>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(4,085,441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Share-based compensation </w:t>
              <w:br/>
              <w:t>   issued,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1,683,554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w:t>
              <w:br/>
              <w:t>   expense/capitalized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Cash dividends declared $0.12</w:t>
            </w:r>
            <w:r>
              <w:rPr>
                <w:rFonts w:ascii="Times New Roman" w:hAnsi="Times New Roman"/>
                <w:color w:val="000000"/>
                <w:sz w:val="20"/>
              </w:rPr>
              <w:t> </w:t>
            </w:r>
            <w:r>
              <w:rPr>
                <w:rFonts w:ascii="Times New Roman" w:hAnsi="Times New Roman"/>
                <w:color w:val="000000"/>
                <w:sz w:val="15"/>
              </w:rPr>
              <w:t xml:space="preserve">per </w:t>
              <w:br/>
              <w:t>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375.4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93,353,604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236.4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Refer to accompanying notes to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bookmarkStart w:id="20" w:name="consolidated_statements_of_cash_flows"/>
      <w:bookmarkEnd w:id="20"/>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4466"/>
        <w:gridCol w:w="146"/>
        <w:gridCol w:w="345"/>
        <w:gridCol w:w="854"/>
        <w:gridCol w:w="166"/>
        <w:gridCol w:w="146"/>
        <w:gridCol w:w="398"/>
        <w:gridCol w:w="979"/>
        <w:gridCol w:w="166"/>
        <w:gridCol w:w="146"/>
        <w:gridCol w:w="352"/>
        <w:gridCol w:w="1026"/>
        <w:gridCol w:w="1015"/>
      </w:tblGrid>
      <w:tr>
        <w:trPr/>
        <w:tc>
          <w:tcPr>
            <w:tcW w:w="4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7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26,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2023</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Consolidated 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696.7</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 xml:space="preserve">Adjustments to reconcile consolidated net (loss) income to </w:t>
              <w:br/>
              <w:t>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46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10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Non-cash 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46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0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Non-cash (gain) loss on re-measurement of the TRA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46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Non-cash consideration received for advertising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Gain on deconsolidation of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(557.7</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446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Gain on re-measurement of NCM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10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Gain on reconsolidation of NCM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(167.8</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446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ESA Party integration and encumbered theater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to the ESA Parties under the tax receivable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received from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cash flows from operating activities,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1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46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Receivables,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w:t>
            </w:r>
          </w:p>
        </w:tc>
        <w:tc>
          <w:tcPr>
            <w:tcW w:w="10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446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Amounts due to ESA Parties,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0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446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10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446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 of strategic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 of a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contributed upon reconsolidation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cash equivalents and restricted cash reconsolidated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w:t>
            </w:r>
          </w:p>
        </w:tc>
        <w:tc>
          <w:tcPr>
            <w:tcW w:w="1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received from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cash flows from investing activities,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NCM, Inc.'s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Repayments of term loan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term loan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Removal of cash, cash equivalents and restricted cash of </w:t>
              <w:br/>
              <w:t>   unconsolidated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right"/>
              <w:rPr/>
            </w:pPr>
            <w:r>
              <w:rPr/>
              <w:t> </w:t>
            </w:r>
          </w:p>
        </w:tc>
      </w:tr>
      <w:tr>
        <w:trPr/>
        <w:tc>
          <w:tcPr>
            <w:tcW w:w="446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CHANGE IN CASH, CASH EQUIVALENTS AND </w:t>
              <w:br/>
              <w:t>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Refer to accompanying notes to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CASH FLOWS (CONTINUED)</w:t>
      </w:r>
    </w:p>
    <w:p>
      <w:pPr>
        <w:pStyle w:val="TextBody"/>
        <w:bidi w:val="0"/>
        <w:jc w:val="center"/>
        <w:rPr>
          <w:rFonts w:ascii="Times New Roman" w:hAnsi="Times New Roman"/>
          <w:b/>
          <w:color w:val="000000"/>
          <w:sz w:val="20"/>
        </w:rPr>
      </w:pPr>
      <w:r>
        <w:rPr>
          <w:rFonts w:ascii="Times New Roman" w:hAnsi="Times New Roman"/>
          <w:b/>
          <w:color w:val="000000"/>
          <w:sz w:val="20"/>
        </w:rPr>
        <w:t>(In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92"/>
        <w:gridCol w:w="146"/>
        <w:gridCol w:w="434"/>
        <w:gridCol w:w="746"/>
        <w:gridCol w:w="146"/>
        <w:gridCol w:w="146"/>
        <w:gridCol w:w="498"/>
        <w:gridCol w:w="856"/>
        <w:gridCol w:w="146"/>
        <w:gridCol w:w="146"/>
        <w:gridCol w:w="364"/>
        <w:gridCol w:w="991"/>
        <w:gridCol w:w="394"/>
      </w:tblGrid>
      <w:tr>
        <w:trPr/>
        <w:tc>
          <w:tcPr>
            <w:tcW w:w="51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5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26,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non-cash financing and investing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an intangible asset with NCM LLC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shares upon the reconsolidation of NCM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of NCM LLC net assets reconsolidated, net of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433.8</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subsidiary equity with NCM, Inc.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 of use assets obtained in exchange for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method investment obtained in exchange for advertising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in dividend equivalent accrual not requiring cash in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payments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Refer to accompanying notes to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left"/>
        <w:rPr>
          <w:rFonts w:ascii="Times New Roman" w:hAnsi="Times New Roman"/>
          <w:b/>
          <w:color w:val="000000"/>
          <w:sz w:val="20"/>
        </w:rPr>
      </w:pPr>
      <w:r>
        <w:rPr>
          <w:rFonts w:ascii="Times New Roman" w:hAnsi="Times New Roman"/>
          <w:b/>
          <w:color w:val="000000"/>
          <w:sz w:val="20"/>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color w:val="000000"/>
          <w:sz w:val="20"/>
        </w:rPr>
      </w:pPr>
      <w:r>
        <w:rPr>
          <w:rFonts w:ascii="Times New Roman" w:hAnsi="Times New Roman"/>
          <w:b/>
          <w:color w:val="000000"/>
          <w:sz w:val="20"/>
        </w:rPr>
        <w:t>BASIS OF PRESENTATION AND SUMMARY OF SIGNIFICANT ACCOUNTING POLICIES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NCM, Inc. was incorporated in Delaware as a holding company formed with the purpose of becoming a member and sole manager of NCM LLC, a limited liability company primarily owned by NCM, Inc. The terms “NCM”, “the Company” or “we” shall, unless the context otherwise requires, be deemed to include the consolidated entity. NCM, Inc. has no business operations or material assets other than its cash and cash equivalents and ownership interest of 100.0% of the common membership units in NCM LLC as of January 1, 2026.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operates the largest cinema advertising network reaching movie audiences in the U.S., allowing NCM LLC to sell advertising under long-term ESAs with the ESA Parties and certain third-party network affiliates, under long-term network affiliate agreements. As of January 1, 2026, the weighted average remaining term of the ESAs is approximately 15.6 years. The network affiliate agreements expire at various dates between March 31, 2026 and July 13, 2033, with our largest affiliate agreement expiring on July 13, 2033. The weighted average remaining term of the ESAs and the network affiliate agreements together is 11.8 years as of January 1, 2026. In November of 2025, NCM extended its reach by acquiring Spotlight and the Spotlight Cinema Network, a U.S. cinema advertising company dedicated to serving art house, luxury and dine-in exhibitors. Spotlight and the Spotlight Cinema Network presents the </w:t>
      </w:r>
      <w:r>
        <w:rPr>
          <w:rFonts w:ascii="Times New Roman" w:hAnsi="Times New Roman"/>
          <w:i/>
          <w:color w:val="000000"/>
          <w:sz w:val="20"/>
        </w:rPr>
        <w:t>CineLife</w:t>
      </w:r>
      <w:r>
        <w:rPr>
          <w:rFonts w:ascii="Times New Roman" w:hAnsi="Times New Roman"/>
          <w:color w:val="000000"/>
          <w:sz w:val="20"/>
        </w:rPr>
        <w:t>® Show exclusively in 108 leading national and regional theater circuits consisting of more than 1,200 screens in over 200 theaters.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the Common Unit Adjustment Agreement, Cinemark has the right to potentially receive additional common membership units in NCM LLC in the future. Following the effectiveness of the AMC Termination Agreement, AMC will no longer receive NCM LLC membership units as part of the Common Unit Adjustment Agreement. As of January 1, 2026, AMC and Cinemark have no ownership interest in NCM LLC. AMC and Cinemark and their affiliates are referred to in this document as “ESA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NCM, Inc.’s primary source of cash flow from operations is distributions from NCM LLC pursuant to the NCM LLC Operating Agreement. NCM, Inc. also receives management fees pursuant to a management services agreement with NCM LLC in exchange for providing specified management services to NCM LLC.</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prepared its Consolidated Financial Statements and related notes of NCM, Inc. in accordance with accounting principles generally accepted in the United States of America (“GAAP”) and the rules and regulations of the Securities and Exchange Commission (“SEC”).</w:t>
      </w:r>
    </w:p>
    <w:p>
      <w:pPr>
        <w:pStyle w:val="TextBody"/>
        <w:bidi w:val="0"/>
        <w:spacing w:before="120" w:after="283"/>
        <w:jc w:val="left"/>
        <w:rPr>
          <w:rFonts w:ascii="Times New Roman" w:hAnsi="Times New Roman"/>
          <w:sz w:val="20"/>
        </w:rPr>
      </w:pPr>
      <w:r>
        <w:rPr>
          <w:rFonts w:ascii="Times New Roman" w:hAnsi="Times New Roman"/>
          <w:color w:val="000000"/>
          <w:sz w:val="20"/>
        </w:rPr>
        <w:t>In the opinion of management, all adjustments necessary to present fairly in all material respects the financial position, results of operations and cash flows for all periods presented have been made and all intercompany accounts have been eliminated in consolidation. The Company has reclassified certain historical amounts on the Consolidated Balance Sheets, Statements of Operations and Statements of Cash Flows to conform to current period presentation. In the year ended December 26, 2024, the Company reclassified certain historical expenses on the audited Consolidated Statements of Operations from ‘Advertising operating costs’ and ‘Network costs’ to ‘Network operating costs’ and certain historical expenses from ‘Advertising operating costs’ and ‘ESA theater access fees and revenue shares’ to ‘Theater exhibition fees’ to conform to current period presentation. As a result of the various related-party agreements discussed in Note 9—</w:t>
      </w:r>
      <w:r>
        <w:rPr>
          <w:rFonts w:ascii="Times New Roman" w:hAnsi="Times New Roman"/>
          <w:i/>
          <w:color w:val="000000"/>
          <w:sz w:val="20"/>
        </w:rPr>
        <w:t>Related Party Transactions</w:t>
      </w:r>
      <w:r>
        <w:rPr>
          <w:rFonts w:ascii="Times New Roman" w:hAnsi="Times New Roman"/>
          <w:color w:val="000000"/>
          <w:sz w:val="20"/>
        </w:rPr>
        <w:t>, the operating results as presented are not necessarily indicative of the results that might have occurred if all agreements were with non-related third parties.</w:t>
      </w:r>
    </w:p>
    <w:p>
      <w:pPr>
        <w:pStyle w:val="TextBody"/>
        <w:bidi w:val="0"/>
        <w:spacing w:before="120" w:after="283"/>
        <w:jc w:val="left"/>
        <w:rPr>
          <w:rFonts w:ascii="Times New Roman" w:hAnsi="Times New Roman"/>
          <w:sz w:val="20"/>
        </w:rPr>
      </w:pPr>
      <w:r>
        <w:rPr>
          <w:rFonts w:ascii="Times New Roman" w:hAnsi="Times New Roman"/>
          <w:b/>
          <w:i/>
          <w:color w:val="000000"/>
          <w:sz w:val="20"/>
        </w:rPr>
        <w:t>Estimates</w:t>
      </w:r>
      <w:r>
        <w:rPr>
          <w:rFonts w:ascii="Times New Roman" w:hAnsi="Times New Roman"/>
          <w:color w:val="000000"/>
          <w:sz w:val="20"/>
        </w:rPr>
        <w:t>—The preparation of the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income taxes, intangible assets, the valuation of NCM LLC upon deconsolidation and reconsolidation and the valuation of strategic investments upon acquisition. Actual results could differ from those estimates.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120" w:after="283"/>
        <w:jc w:val="left"/>
        <w:rPr>
          <w:rFonts w:ascii="Times New Roman" w:hAnsi="Times New Roman"/>
          <w:sz w:val="20"/>
        </w:rPr>
      </w:pPr>
      <w:r>
        <w:rPr>
          <w:rFonts w:ascii="Times New Roman" w:hAnsi="Times New Roman"/>
          <w:b/>
          <w:i/>
          <w:color w:val="000000"/>
          <w:sz w:val="20"/>
        </w:rPr>
        <w:t>Bankruptcy Filing, Deconsolidation and Reconsolidation of NCM LLC</w:t>
      </w:r>
      <w:r>
        <w:rPr>
          <w:rFonts w:ascii="Times New Roman" w:hAnsi="Times New Roman"/>
          <w:color w:val="000000"/>
          <w:sz w:val="20"/>
        </w:rPr>
        <w:t>—On April 11, 2023, NCM LLC filed a voluntary petition for reorganization with a prearranged Chapter 11 plan under Chapter 11 of Title 11 of the United States Code in the Bankruptcy Code in the Bankruptcy Court (the “Chapter 11 Case”). During the Chapter 11 Case, the Company was deemed to no longer control NCM LLC for accounting purposes and NCM LLC was deconsolidated from the Company’s financial statements prospectively as of April 11, 2023. NCM LLC does not have a readily determinable fair value. Upon the deconsolidation of NCM LLC, the original cost of the investment was valued based upon NCM, Inc.'s ownership of the secured debt of NCM LLC and the estimation of the enterprise value of NCM LLC utilizing a combination of a market approach and income approach. The market approach relied upon a comparison with guideline public companies and entails selecting relevant financial information of the subject company and capitalizing those amounts using valuation multiples that are based on empirical market observation. The income approach relied upon an analysis of NCM LLC’s projected economic earnings discounted to present value. Significant assumptions utilized within these analyses include the weighted average cost of capital and NCM LLC’s forecasted cash flows.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Upon emergence from bankruptcy, NCM, Inc., regained control and retained 100.0% ownership of NCM LLC, after taking into account elections by the holders of Secured Debt Claims to receive NCM, Inc. common stock in lieu of NCM LLC common units and was therefore reconsolidated into the Company’s financial statements prospectively as of August 7, 2023 akin to an acquisition under </w:t>
      </w:r>
      <w:r>
        <w:rPr>
          <w:rFonts w:ascii="Times New Roman" w:hAnsi="Times New Roman"/>
          <w:i/>
          <w:color w:val="000000"/>
          <w:sz w:val="20"/>
        </w:rPr>
        <w:t>ASC 805 – Business Combinations</w:t>
      </w:r>
      <w:r>
        <w:rPr>
          <w:rFonts w:ascii="Times New Roman" w:hAnsi="Times New Roman"/>
          <w:color w:val="000000"/>
          <w:sz w:val="20"/>
        </w:rPr>
        <w:t>. The acquisition method requires the Company to make significant estimates and assumptions, especially at the acquisition date as the Company allocates the estimated fair values of acquired tangible and intangible assets and the liabilities assumed. The Company also uses our best estimates to determine the useful lives of the tangible and definite-lived intangible assets, which impact the periods over which depreciation and amortization of those assets are recognized. All balances within the Company’s financial statements reflect NCM LLC activity only for the periods while consolidated, including all of the year ended January 1, 2026 and December 26, 2024 and for the year ended December 28, 2023, December 30, 2022 through April 11, 2023 and August 7, 2023 through December 28, 2023.</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120" w:after="283"/>
        <w:jc w:val="left"/>
        <w:rPr>
          <w:rFonts w:ascii="Times New Roman" w:hAnsi="Times New Roman"/>
          <w:sz w:val="20"/>
        </w:rPr>
      </w:pPr>
      <w:r>
        <w:rPr>
          <w:rFonts w:ascii="Times New Roman" w:hAnsi="Times New Roman"/>
          <w:b/>
          <w:i/>
          <w:color w:val="000000"/>
          <w:sz w:val="20"/>
        </w:rPr>
        <w:t>Accounting Period</w:t>
      </w:r>
      <w:r>
        <w:rPr>
          <w:rFonts w:ascii="Times New Roman" w:hAnsi="Times New Roman"/>
          <w:color w:val="000000"/>
          <w:sz w:val="20"/>
        </w:rPr>
        <w:t>—The Company has a 52-week or 53-week fiscal year ending on the first Thursday after December 25. Fiscal year 2023 contained 52 weeks, 2024 contained 52 weeks and 2025 contained 53 weeks. Throughout this document, the fiscal years are referred to as set forth below:</w:t>
      </w:r>
    </w:p>
    <w:p>
      <w:pPr>
        <w:pStyle w:val="TextBody"/>
        <w:bidi w:val="0"/>
        <w:jc w:val="left"/>
        <w:rPr/>
      </w:pPr>
      <w:r>
        <w:rPr/>
        <w:t> </w:t>
      </w:r>
    </w:p>
    <w:tbl>
      <w:tblPr>
        <w:tblW w:w="3028" w:type="dxa"/>
        <w:jc w:val="left"/>
        <w:tblInd w:w="0" w:type="dxa"/>
        <w:tblLayout w:type="fixed"/>
        <w:tblCellMar>
          <w:top w:w="28" w:type="dxa"/>
          <w:left w:w="28" w:type="dxa"/>
          <w:bottom w:w="28" w:type="dxa"/>
          <w:right w:w="28" w:type="dxa"/>
        </w:tblCellMar>
      </w:tblPr>
      <w:tblGrid>
        <w:gridCol w:w="1696"/>
        <w:gridCol w:w="146"/>
        <w:gridCol w:w="1186"/>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Reference in</w:t>
              <w:br/>
              <w:t>this Document</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26,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28,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—The Company derives revenue principally from the sale of advertising to national, regional and local businesses in </w:t>
      </w:r>
      <w:r>
        <w:rPr>
          <w:rFonts w:ascii="Times New Roman" w:hAnsi="Times New Roman"/>
          <w:i/>
          <w:color w:val="000000"/>
          <w:sz w:val="20"/>
        </w:rPr>
        <w:t>Noovie®</w:t>
      </w:r>
      <w:r>
        <w:rPr>
          <w:rFonts w:ascii="Times New Roman" w:hAnsi="Times New Roman"/>
          <w:color w:val="000000"/>
          <w:sz w:val="20"/>
        </w:rPr>
        <w:t xml:space="preserve">, our cinema advertising and entertainment show seen on movie screens across the U.S., as well as on our LEN, a series of strategically-placed screens located in movie theater lobbies, as well as other forms of advertising, promotions and experiences in theater lobbies. In addition, the Company sells data and digital advertising, including through </w:t>
      </w:r>
      <w:r>
        <w:rPr>
          <w:rFonts w:ascii="Times New Roman" w:hAnsi="Times New Roman"/>
          <w:i/>
          <w:color w:val="000000"/>
          <w:sz w:val="20"/>
        </w:rPr>
        <w:t>NCM Boost℠</w:t>
      </w:r>
      <w:r>
        <w:rPr>
          <w:rFonts w:ascii="Times New Roman" w:hAnsi="Times New Roman"/>
          <w:color w:val="000000"/>
          <w:sz w:val="20"/>
        </w:rPr>
        <w:t xml:space="preserve">, </w:t>
      </w:r>
      <w:r>
        <w:rPr>
          <w:rFonts w:ascii="Times New Roman" w:hAnsi="Times New Roman"/>
          <w:i/>
          <w:color w:val="000000"/>
          <w:sz w:val="20"/>
        </w:rPr>
        <w:t>Boomerang℠</w:t>
      </w:r>
      <w:r>
        <w:rPr>
          <w:rFonts w:ascii="Times New Roman" w:hAnsi="Times New Roman"/>
          <w:color w:val="000000"/>
          <w:sz w:val="20"/>
        </w:rPr>
        <w:t xml:space="preserve">, </w:t>
      </w:r>
      <w:r>
        <w:rPr>
          <w:rFonts w:ascii="Times New Roman" w:hAnsi="Times New Roman"/>
          <w:i/>
          <w:color w:val="000000"/>
          <w:sz w:val="20"/>
        </w:rPr>
        <w:t>Bullseye℠</w:t>
      </w:r>
      <w:r>
        <w:rPr>
          <w:rFonts w:ascii="Times New Roman" w:hAnsi="Times New Roman"/>
          <w:color w:val="000000"/>
          <w:sz w:val="20"/>
        </w:rPr>
        <w:t xml:space="preserve"> and </w:t>
      </w:r>
      <w:r>
        <w:rPr>
          <w:rFonts w:ascii="Times New Roman" w:hAnsi="Times New Roman"/>
          <w:i/>
          <w:color w:val="000000"/>
          <w:sz w:val="20"/>
        </w:rPr>
        <w:t xml:space="preserve">Blueprint℠ </w:t>
      </w:r>
      <w:r>
        <w:rPr>
          <w:rFonts w:ascii="Times New Roman" w:hAnsi="Times New Roman"/>
          <w:color w:val="000000"/>
          <w:sz w:val="20"/>
        </w:rPr>
        <w:t>as well as advertising in a variety of complementary out of home venues. The Company also has a long-term agreement to exhibit the advertising of the ESA Parties’ beverage suppliers. The Company considers the terms of each arrangement to determine the appropriate accounting treatment as more fully discussed in Note 2—</w:t>
      </w:r>
      <w:r>
        <w:rPr>
          <w:rFonts w:ascii="Times New Roman" w:hAnsi="Times New Roman"/>
          <w:i/>
          <w:color w:val="000000"/>
          <w:sz w:val="20"/>
        </w:rPr>
        <w:t>Revenue from Contracts with Customers</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Costs</w:t>
      </w:r>
      <w:r>
        <w:rPr>
          <w:rFonts w:ascii="Times New Roman" w:hAnsi="Times New Roman"/>
          <w:color w:val="000000"/>
          <w:sz w:val="20"/>
        </w:rPr>
        <w:t>—The Company classifies its core operating expenses within the following categories on the audited Consolidated Statements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Network operating costs</w:t>
      </w:r>
      <w:r>
        <w:rPr>
          <w:rFonts w:ascii="Times New Roman" w:hAnsi="Times New Roman"/>
          <w:color w:val="000000"/>
          <w:sz w:val="20"/>
        </w:rPr>
        <w:t>—This balance relates to advertising fulfillment-related operating costs primarily consisting of personnel costs, satellite bandwidth, repairs and other costs of maintaining and operating the digital network as well as preparing advertising and other content for transmission across the digital network. To a lesser extent, this balance also includes production costs of non-digital advertising and revenue share and per patron based fees due to certain sales partners.</w:t>
      </w:r>
    </w:p>
    <w:p>
      <w:pPr>
        <w:pStyle w:val="TextBody"/>
        <w:bidi w:val="0"/>
        <w:spacing w:before="120" w:after="283"/>
        <w:jc w:val="left"/>
        <w:rPr>
          <w:rFonts w:ascii="Times New Roman" w:hAnsi="Times New Roman"/>
          <w:sz w:val="20"/>
        </w:rPr>
      </w:pPr>
      <w:r>
        <w:rPr>
          <w:rFonts w:ascii="Times New Roman" w:hAnsi="Times New Roman"/>
          <w:i/>
          <w:color w:val="000000"/>
          <w:sz w:val="20"/>
        </w:rPr>
        <w:t>Theater exhibition fees</w:t>
      </w:r>
      <w:r>
        <w:rPr>
          <w:rFonts w:ascii="Times New Roman" w:hAnsi="Times New Roman"/>
          <w:color w:val="000000"/>
          <w:sz w:val="20"/>
        </w:rPr>
        <w:t>—This balance relates to fees the Company pays its ESA Parties and network affiliates in return for the rights to advertise in their theaters. These fees vary by exhibitor, but may be comprised of a revenue share or the combination of a payment per theater attendee, a payment for post-showtime advertising, a payment per digital screen or digital cinema projector equipped in the theaters, all of which may escalate over time, and a revenue share for the Platinum Spot or other premium advertising spots, when sold.</w:t>
      </w:r>
    </w:p>
    <w:p>
      <w:pPr>
        <w:pStyle w:val="TextBody"/>
        <w:bidi w:val="0"/>
        <w:spacing w:before="120" w:after="283"/>
        <w:jc w:val="left"/>
        <w:rPr>
          <w:rFonts w:ascii="Times New Roman" w:hAnsi="Times New Roman"/>
          <w:sz w:val="20"/>
        </w:rPr>
      </w:pPr>
      <w:r>
        <w:rPr>
          <w:rFonts w:ascii="Times New Roman" w:hAnsi="Times New Roman"/>
          <w:i/>
          <w:color w:val="000000"/>
          <w:sz w:val="20"/>
        </w:rPr>
        <w:t>Selling and marketing costs</w:t>
      </w:r>
      <w:r>
        <w:rPr>
          <w:rFonts w:ascii="Times New Roman" w:hAnsi="Times New Roman"/>
          <w:color w:val="000000"/>
          <w:sz w:val="20"/>
        </w:rPr>
        <w:t xml:space="preserve">—This balance consists primarily of sales personnel costs including sales commissions and selling related expenses such as travel, barter and bad debt expense; marketing expenses including research subscriptions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and studies and production costs for internal segments shown within The </w:t>
      </w:r>
      <w:r>
        <w:rPr>
          <w:rFonts w:ascii="Times New Roman" w:hAnsi="Times New Roman"/>
          <w:i/>
          <w:color w:val="000000"/>
          <w:sz w:val="20"/>
        </w:rPr>
        <w:t xml:space="preserve">Noovie® </w:t>
      </w:r>
      <w:r>
        <w:rPr>
          <w:rFonts w:ascii="Times New Roman" w:hAnsi="Times New Roman"/>
          <w:color w:val="000000"/>
          <w:sz w:val="20"/>
        </w:rPr>
        <w:t xml:space="preserve">Show; lease expense for the Company’s sales offices and costs associated with digital inventory, including revenue shares paid to DOOH and other partners. </w:t>
      </w:r>
    </w:p>
    <w:p>
      <w:pPr>
        <w:pStyle w:val="TextBody"/>
        <w:bidi w:val="0"/>
        <w:spacing w:before="120" w:after="283"/>
        <w:jc w:val="left"/>
        <w:rPr>
          <w:rFonts w:ascii="Times New Roman" w:hAnsi="Times New Roman"/>
          <w:sz w:val="20"/>
        </w:rPr>
      </w:pPr>
      <w:r>
        <w:rPr>
          <w:rFonts w:ascii="Times New Roman" w:hAnsi="Times New Roman"/>
          <w:i/>
          <w:color w:val="000000"/>
          <w:sz w:val="20"/>
        </w:rPr>
        <w:t>Administrative and other costs</w:t>
      </w:r>
      <w:r>
        <w:rPr>
          <w:rFonts w:ascii="Times New Roman" w:hAnsi="Times New Roman"/>
          <w:color w:val="000000"/>
          <w:sz w:val="20"/>
        </w:rPr>
        <w:t xml:space="preserve">—This balance consists of personnel costs for the Company’s executives as well as administrative functions including legal, information technology and accounting, lease expense for the Company’s headquarters, legal and professional fees, cloud computing costs for the Company’s cinema advertising management system and repairs and maintenance costs. </w:t>
      </w:r>
    </w:p>
    <w:p>
      <w:pPr>
        <w:pStyle w:val="TextBody"/>
        <w:bidi w:val="0"/>
        <w:spacing w:before="120" w:after="283"/>
        <w:jc w:val="left"/>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—All highly liquid debt instruments and investments purchased with an original maturity of three months or less are classified as cash equivalents and are considered available-for-sale securities. The Company held cash balances in a bank in excess of the federally insured limits or in the form of a money market demand account with a major financial institution as of January 1, 2026 and December 26, 2024. The Company has elected the fair value option for valuing its cash equivalents. The cash equivalents are valued at fair value at each balance sheet date and the change in value from the prior period is recognized within “Other non-operating income, net” on the audited Consolidated Statements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Restricted Cash</w:t>
      </w:r>
      <w:r>
        <w:rPr>
          <w:rFonts w:ascii="Times New Roman" w:hAnsi="Times New Roman"/>
          <w:color w:val="000000"/>
          <w:sz w:val="20"/>
        </w:rPr>
        <w:t>—The Company’s restricted cash balance was $3.0 million and $3.0 million for the years ended January 1, 2026 and December 26, 2024, respectively. The balance is related to unsettled, agreed upon payments to NCM LLC’s unsecured creditors within the escrow accounts and included within “Accounts payable” on the audited Consolidated Balance Sheets.</w:t>
      </w:r>
    </w:p>
    <w:p>
      <w:pPr>
        <w:pStyle w:val="TextBody"/>
        <w:bidi w:val="0"/>
        <w:spacing w:before="120" w:after="283"/>
        <w:jc w:val="left"/>
        <w:rPr>
          <w:rFonts w:ascii="Times New Roman" w:hAnsi="Times New Roman"/>
          <w:sz w:val="20"/>
        </w:rPr>
      </w:pPr>
      <w:r>
        <w:rPr>
          <w:rFonts w:ascii="Times New Roman" w:hAnsi="Times New Roman"/>
          <w:b/>
          <w:i/>
          <w:color w:val="000000"/>
          <w:sz w:val="20"/>
        </w:rPr>
        <w:t>Marketable Securities</w:t>
      </w:r>
      <w:r>
        <w:rPr>
          <w:rFonts w:ascii="Times New Roman" w:hAnsi="Times New Roman"/>
          <w:color w:val="000000"/>
          <w:sz w:val="20"/>
        </w:rPr>
        <w:t>—The Company’s marketable securities are classified as available-for-sale and are reported at fair value. The fair value of substantially all securities is determined by quoted market information and pricing models using inputs based upon market information, including contractual terms, market prices and yield curves. The estimated fair value of securities for which there are no quoted market prices is based on similar types of securities that are traded in the market. The change in value from the prior period is recognized within “Other non-operating income, net” on the audited Consolidated Statements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Concentration of Credit Risk and Significant Customers</w:t>
      </w:r>
      <w:r>
        <w:rPr>
          <w:rFonts w:ascii="Times New Roman" w:hAnsi="Times New Roman"/>
          <w:color w:val="000000"/>
          <w:sz w:val="20"/>
        </w:rPr>
        <w:t>—The risk of credit loss related to the Company's trade receivables and unbilled receivables balances is accounted for through the allowance for credit losses, a contra asset account which reduces the net receivables balance. The allowance for credit losses balance is determined by pooling the Company's receivables with similar risk characteristics, specifically by type of customer (national or local/ regional) and then age of receivable and applying historical write-off percentages to these pools in order to determine the amount of expected credit losses as of the balance sheet date. National receivables are with large advertising agencies with strong reputations in the advertising industry and clients with stable financial positions and good credit ratings, represent larger receivables balances per customer and have significantly lower historical and expected credit loss patterns. Local and regional receivables are with smaller companies sometimes with less credit history and represent smaller receivable balances per customer and higher historical and expected credit loss patterns. The Company has smaller contracts with many local clients that are not individually significant. The Company also considers current economic conditions and trends to determine whether adjustments to historical loss rates are necessary. The Company also reserves for specific receivable balances that it expects to write off based on known concerns regarding the financial health of the customer. Receivables are written off when management determines amounts are uncollectib</w:t>
      </w:r>
      <w:r>
        <w:rPr>
          <w:rFonts w:ascii="Times New Roman" w:hAnsi="Times New Roman"/>
          <w:color w:val="404040"/>
          <w:sz w:val="20"/>
        </w:rPr>
        <w:t xml:space="preserve">le. </w:t>
      </w:r>
      <w:r>
        <w:rPr>
          <w:rFonts w:ascii="Times New Roman" w:hAnsi="Times New Roman"/>
          <w:color w:val="000000"/>
          <w:sz w:val="20"/>
        </w:rPr>
        <w:t>The Company did not have any agencies through which it sourced advertising revenue that accounted for 10% or more of the Company’s gross outstanding receivable balance as of January 1, 2026. The Company had one agency through which it sourced advertising revenue that accounted for 14.7% of the Company’s gross outstanding receivable balance as of December 26, 2024. During the year ended December 26, 2024, the Company did not have a customer that accounted for 10% or more of the Company's revenue. During the years ended January 1, 2026 and December 28, 2023, the Company had one customer that accounted for 11.0% and 11.2% of the Company's revenue,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Receivables consisted of the following (in millions):</w:t>
      </w:r>
    </w:p>
    <w:p>
      <w:pPr>
        <w:pStyle w:val="TextBody"/>
        <w:bidi w:val="0"/>
        <w:jc w:val="left"/>
        <w:rPr/>
      </w:pPr>
      <w:r>
        <w:rPr/>
        <w:t> </w:t>
      </w:r>
    </w:p>
    <w:tbl>
      <w:tblPr>
        <w:tblW w:w="6435" w:type="dxa"/>
        <w:jc w:val="left"/>
        <w:tblInd w:w="0" w:type="dxa"/>
        <w:tblLayout w:type="fixed"/>
        <w:tblCellMar>
          <w:top w:w="28" w:type="dxa"/>
          <w:left w:w="28" w:type="dxa"/>
          <w:bottom w:w="28" w:type="dxa"/>
          <w:right w:w="28" w:type="dxa"/>
        </w:tblCellMar>
      </w:tblPr>
      <w:tblGrid>
        <w:gridCol w:w="2761"/>
        <w:gridCol w:w="146"/>
        <w:gridCol w:w="405"/>
        <w:gridCol w:w="900"/>
        <w:gridCol w:w="166"/>
        <w:gridCol w:w="146"/>
        <w:gridCol w:w="467"/>
        <w:gridCol w:w="1033"/>
        <w:gridCol w:w="41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26,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Property and Equipment</w:t>
      </w:r>
      <w:r>
        <w:rPr>
          <w:rFonts w:ascii="Times New Roman" w:hAnsi="Times New Roman"/>
          <w:color w:val="000000"/>
          <w:sz w:val="20"/>
        </w:rPr>
        <w:t xml:space="preserve">—Property and equipment is stated at cost, net of accumulated depreciation or amortization. Generally, the equipment associated with the digital network of the ESA Party theaters is owned by the ESA Parties, while the equipment associated with network affiliate theaters is owned by the Company. Major renewals and improvements are capitalized, while replacements, maintenance and repairs that do not improve or extend the lives of the respective assets are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left"/>
        <w:rPr>
          <w:rFonts w:ascii="Times New Roman" w:hAnsi="Times New Roman"/>
          <w:color w:val="000000"/>
          <w:sz w:val="20"/>
        </w:rPr>
      </w:pPr>
      <w:r>
        <w:rPr>
          <w:rFonts w:ascii="Times New Roman" w:hAnsi="Times New Roman"/>
          <w:color w:val="000000"/>
          <w:sz w:val="20"/>
        </w:rPr>
        <w:t>expensed as incurred. The Company records depreciation using the straight-line method over the following estimated useful lives:</w:t>
      </w:r>
    </w:p>
    <w:p>
      <w:pPr>
        <w:pStyle w:val="TextBody"/>
        <w:bidi w:val="0"/>
        <w:jc w:val="left"/>
        <w:rPr/>
      </w:pPr>
      <w:r>
        <w:rPr/>
        <w:t> </w:t>
      </w:r>
    </w:p>
    <w:tbl>
      <w:tblPr>
        <w:tblW w:w="5462" w:type="dxa"/>
        <w:jc w:val="left"/>
        <w:tblInd w:w="0" w:type="dxa"/>
        <w:tblLayout w:type="fixed"/>
        <w:tblCellMar>
          <w:top w:w="28" w:type="dxa"/>
          <w:left w:w="28" w:type="dxa"/>
          <w:bottom w:w="28" w:type="dxa"/>
          <w:right w:w="28" w:type="dxa"/>
        </w:tblCellMar>
      </w:tblPr>
      <w:tblGrid>
        <w:gridCol w:w="2776"/>
        <w:gridCol w:w="2686"/>
      </w:tblGrid>
      <w:tr>
        <w:trPr/>
        <w:tc>
          <w:tcPr>
            <w:tcW w:w="2776"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26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3-10 years</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hardware and software</w:t>
            </w:r>
          </w:p>
        </w:tc>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2-10 years</w:t>
            </w:r>
          </w:p>
        </w:tc>
      </w:tr>
      <w:tr>
        <w:trPr/>
        <w:tc>
          <w:tcPr>
            <w:tcW w:w="27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26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Lesser of lease term or asset life</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Software and website development costs developed or obtained for internal use are accounted for in accordance with ASC 350—</w:t>
      </w:r>
      <w:r>
        <w:rPr>
          <w:rFonts w:ascii="Times New Roman" w:hAnsi="Times New Roman"/>
          <w:i/>
          <w:color w:val="000000"/>
          <w:sz w:val="20"/>
        </w:rPr>
        <w:t>Internal Use Software</w:t>
      </w:r>
      <w:r>
        <w:rPr>
          <w:rFonts w:ascii="Times New Roman" w:hAnsi="Times New Roman"/>
          <w:color w:val="000000"/>
          <w:sz w:val="20"/>
        </w:rPr>
        <w:t xml:space="preserve"> and ASC 350– </w:t>
      </w:r>
      <w:r>
        <w:rPr>
          <w:rFonts w:ascii="Times New Roman" w:hAnsi="Times New Roman"/>
          <w:i/>
          <w:color w:val="000000"/>
          <w:sz w:val="20"/>
        </w:rPr>
        <w:t>Website Development Costs</w:t>
      </w:r>
      <w:r>
        <w:rPr>
          <w:rFonts w:ascii="Times New Roman" w:hAnsi="Times New Roman"/>
          <w:color w:val="000000"/>
          <w:sz w:val="20"/>
        </w:rPr>
        <w:t>. The subtopics require the capitalization of certain costs incurred in developing or obtaining software for internal use. Software costs related primarily to the Company’s cinema advertising management system, digital products, digital network distribution system (DCS), enterprise resource planning system and website development costs, which are included in equipment, and are depreciated over three to ten years. As of January 1, 2026 and December 26, 2024, the Company had a net book value of $8.9 million</w:t>
      </w:r>
      <w:r>
        <w:rPr>
          <w:rFonts w:ascii="Times New Roman" w:hAnsi="Times New Roman"/>
          <w:color w:val="FF0000"/>
          <w:sz w:val="20"/>
        </w:rPr>
        <w:t xml:space="preserve"> </w:t>
      </w:r>
      <w:r>
        <w:rPr>
          <w:rFonts w:ascii="Times New Roman" w:hAnsi="Times New Roman"/>
          <w:color w:val="000000"/>
          <w:sz w:val="20"/>
        </w:rPr>
        <w:t xml:space="preserve">and $9.1 million, respectively, of capitalized software and website development costs. Depreciation expense related to software and website development was approximately $2.3 million, $2.4 million and $1.8 million for the years ended January 1, 2026, December 26, 2024 and December 28, 2023, respectively. The subtopics also require the capitalization of certain implementation costs related to qualifying Cloud Computing Arrangements (“CCAs”) upon adoption of ASU 2018-15— </w:t>
      </w:r>
      <w:r>
        <w:rPr>
          <w:rFonts w:ascii="Times New Roman" w:hAnsi="Times New Roman"/>
          <w:i/>
          <w:color w:val="000000"/>
          <w:sz w:val="20"/>
        </w:rPr>
        <w:t xml:space="preserve">Intangibles - Goodwill and Other - Customer’s Accounting for Implementation Costs Incurred in a Cloud Computing Arrangement That Is a Service Contract </w:t>
      </w:r>
      <w:r>
        <w:rPr>
          <w:rFonts w:ascii="Times New Roman" w:hAnsi="Times New Roman"/>
          <w:color w:val="000000"/>
          <w:sz w:val="20"/>
        </w:rPr>
        <w:t>as of September 28, 2018. As of January 1, 2026 and December 26, 2024, the Company had a net book value of $4.3 million</w:t>
      </w:r>
      <w:r>
        <w:rPr>
          <w:rFonts w:ascii="Times New Roman" w:hAnsi="Times New Roman"/>
          <w:color w:val="FF0000"/>
          <w:sz w:val="20"/>
        </w:rPr>
        <w:t xml:space="preserve"> </w:t>
      </w:r>
      <w:r>
        <w:rPr>
          <w:rFonts w:ascii="Times New Roman" w:hAnsi="Times New Roman"/>
          <w:color w:val="000000"/>
          <w:sz w:val="20"/>
        </w:rPr>
        <w:t>and $4.3 million of capitalized implementation costs for CCAs, respectively, recorded within “Other assets” in the Consolidated Balance Sheets. These costs primarily relate to the Company's hosted cinema advertising management system which was implemented in January 2021. Depreciation expense related to capitalized implementation costs for CCAs was approximately $0.7 million, $0.6 million and $0.5 million for the years ended January 1, 2026, December 26, 2024 and December 28, 2023, respectively.</w:t>
      </w:r>
      <w:r>
        <w:rPr>
          <w:rFonts w:ascii="Times New Roman" w:hAnsi="Times New Roman"/>
          <w:color w:val="EE2724"/>
          <w:sz w:val="20"/>
        </w:rPr>
        <w:t xml:space="preserve"> </w:t>
      </w:r>
      <w:r>
        <w:rPr>
          <w:rFonts w:ascii="Times New Roman" w:hAnsi="Times New Roman"/>
          <w:color w:val="000000"/>
          <w:sz w:val="20"/>
        </w:rPr>
        <w:t>These costs are amortized to “Administrative and other costs” within the audited Consolidated Statements of Operations over the life of the hosting arrangement beginning at implementation. For the years ended January 1, 2026, December 26, 2024 and December 28, 2023, the Company recorded $3.1 million, $3.3 million and</w:t>
      </w:r>
      <w:r>
        <w:rPr>
          <w:rFonts w:ascii="Times New Roman" w:hAnsi="Times New Roman"/>
          <w:color w:val="EE2724"/>
          <w:sz w:val="20"/>
        </w:rPr>
        <w:t xml:space="preserve"> </w:t>
      </w:r>
      <w:r>
        <w:rPr>
          <w:rFonts w:ascii="Times New Roman" w:hAnsi="Times New Roman"/>
          <w:color w:val="000000"/>
          <w:sz w:val="20"/>
        </w:rPr>
        <w:t>$3.0 million in research and development expense, respectively.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assesses impairment of property and equipment pursuant with ASC 360 – </w:t>
      </w:r>
      <w:r>
        <w:rPr>
          <w:rFonts w:ascii="Times New Roman" w:hAnsi="Times New Roman"/>
          <w:i/>
          <w:color w:val="000000"/>
          <w:sz w:val="20"/>
        </w:rPr>
        <w:t>Property, Plant and Equipment.</w:t>
      </w:r>
      <w:r>
        <w:rPr>
          <w:rFonts w:ascii="Times New Roman" w:hAnsi="Times New Roman"/>
          <w:color w:val="000000"/>
          <w:sz w:val="20"/>
        </w:rPr>
        <w:t xml:space="preserve"> This includes determining if certain triggering events have occurred that could affect the value of an asset. The Company did not record any losses related to property and equipment during the years ended January 1, 2026, December 26, 2024 and December 28, 2023, respectively.</w:t>
      </w:r>
    </w:p>
    <w:p>
      <w:pPr>
        <w:pStyle w:val="TextBody"/>
        <w:bidi w:val="0"/>
        <w:spacing w:before="120" w:after="283"/>
        <w:jc w:val="left"/>
        <w:rPr>
          <w:rFonts w:ascii="Times New Roman" w:hAnsi="Times New Roman"/>
          <w:sz w:val="20"/>
        </w:rPr>
      </w:pPr>
      <w:r>
        <w:rPr>
          <w:rFonts w:ascii="Times New Roman" w:hAnsi="Times New Roman"/>
          <w:b/>
          <w:i/>
          <w:color w:val="000000"/>
          <w:sz w:val="20"/>
        </w:rPr>
        <w:t>Investments</w:t>
      </w:r>
      <w:r>
        <w:rPr>
          <w:rFonts w:ascii="Times New Roman" w:hAnsi="Times New Roman"/>
          <w:color w:val="000000"/>
          <w:sz w:val="20"/>
        </w:rPr>
        <w:t>—The Company's equity investments with readily determinable fair values are measured at fair value. Equity investments without readily determinable fair values are measured at cost with adjustments for observable changes in price or impairments in accordance with the measurement alternative. The Company performs a qualitative assessment on a periodic basis and recognizes an impairment if there are sufficient indicators that the fair value of the investment is less than carrying value. Changes in value are recorded in 'Other non-operating income, net' within the audited Consolidated Statements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Intangible Assets</w:t>
      </w:r>
      <w:r>
        <w:rPr>
          <w:rFonts w:ascii="Times New Roman" w:hAnsi="Times New Roman"/>
          <w:color w:val="000000"/>
          <w:sz w:val="20"/>
        </w:rPr>
        <w:t>—The Company’s intangible assets consist of contractual rights to provide its services within the theaters under the ESAs and the network affiliate agreements, customer relationships developed and maintained by the Company’s sales force, trademarks held and used by the Company and datasets obtained. The intangible assets are stated at their estimated fair values upon the reconsolidation of NCM LLC on August 7, 2023 as further described within Note 5—</w:t>
      </w:r>
      <w:r>
        <w:rPr>
          <w:rFonts w:ascii="Times New Roman" w:hAnsi="Times New Roman"/>
          <w:i/>
          <w:color w:val="000000"/>
          <w:sz w:val="20"/>
        </w:rPr>
        <w:t>Business Combinations,</w:t>
      </w:r>
      <w:r>
        <w:rPr>
          <w:rFonts w:ascii="Times New Roman" w:hAnsi="Times New Roman"/>
          <w:color w:val="000000"/>
          <w:sz w:val="20"/>
        </w:rPr>
        <w:t xml:space="preserve"> net of accumulated amortization. Subsequently acquired intangible assets are recorded at cost or their estimated fair values. The Company records amortization using the straight-line method over the estimated useful life of the intangibles, corresponding to the expected term of the ESAs, the average renewable term of the contracts with the network affiliates and affiliates within the Spotlight Cinema Network, industry standard lives for customer relationships and trademarks, contractual life for noncompete assets and for the datasets, to the shorter of the use rights outlined in the contract under which they were acquired and the estimated rate of obsolescence of the datasets' usefulness. Intangible assets are tested for impairment whenever events or changes in circumstances indicate the carrying value may not be fully recoverable. In its impairment testing, the Company estimates the fair value of the intangible asset by determining the estimated future cash flows associated with the ESAs, network affiliate agreements, trademarks and noncompete agreements or the estimated replacement cost of the customer relationships and datasets. If after determining that gross cash flows are insufficient to recover the asset, the estimated fair value is less than the carrying value, the Company determines the fair value of the intangible asset and an impairment is recorded to write down the asset to its estimated fair value. Significant judgment is involved in estimating long-term cash flow forecasts and replacement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elected to capitalize extension costs on its intangible assets and thus capitalized the legal and professional costs incurred in conjunction with the 2025 AMC Agreement.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120" w:after="283"/>
        <w:jc w:val="left"/>
        <w:rPr>
          <w:rFonts w:ascii="Times New Roman" w:hAnsi="Times New Roman"/>
          <w:sz w:val="20"/>
        </w:rPr>
      </w:pPr>
      <w:r>
        <w:rPr>
          <w:rFonts w:ascii="Times New Roman" w:hAnsi="Times New Roman"/>
          <w:b/>
          <w:i/>
          <w:color w:val="000000"/>
          <w:sz w:val="20"/>
        </w:rPr>
        <w:t>Amounts Due to/from ESA Parties</w:t>
      </w:r>
      <w:r>
        <w:rPr>
          <w:rFonts w:ascii="Times New Roman" w:hAnsi="Times New Roman"/>
          <w:color w:val="000000"/>
          <w:sz w:val="20"/>
        </w:rPr>
        <w:t>—Amounts due to/from ESA Parties include amounts due for the theater access fees and revenue share, offset by a receivable for advertising time purchased by the ESA Parties on behalf of their beverage concessionaire, plus any amounts outstanding under other contractually obligated payments. Payments to or received from the ESA Parties against outstanding balances are made monthly. Available cash distributions are made quarterly contingent upon the Cinemark's ownership of NCM LLC membership units, the Company's compliance with the covenants outlined within the Revolving Credit Facility 2025 and in accordance with the NCM LLC Operating Agreement.</w:t>
      </w:r>
    </w:p>
    <w:p>
      <w:pPr>
        <w:pStyle w:val="TextBody"/>
        <w:bidi w:val="0"/>
        <w:spacing w:before="12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—Income taxes are accounted for under the asset and liability method, which requires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differences are expected to be recovered or settled pursuant to the provisions of ASC 740 – </w:t>
      </w:r>
      <w:r>
        <w:rPr>
          <w:rFonts w:ascii="Times New Roman" w:hAnsi="Times New Roman"/>
          <w:i/>
          <w:color w:val="000000"/>
          <w:sz w:val="20"/>
        </w:rPr>
        <w:t>Income Taxes</w:t>
      </w:r>
      <w:r>
        <w:rPr>
          <w:rFonts w:ascii="Times New Roman" w:hAnsi="Times New Roman"/>
          <w:color w:val="000000"/>
          <w:sz w:val="20"/>
        </w:rPr>
        <w:t>. The effect of a change in tax rates on deferred tax assets and liabilities is recognized in income in the period that includes the enactment date.</w:t>
      </w:r>
    </w:p>
    <w:p>
      <w:pPr>
        <w:pStyle w:val="TextBody"/>
        <w:bidi w:val="0"/>
        <w:spacing w:before="120" w:after="283"/>
        <w:jc w:val="left"/>
        <w:rPr>
          <w:rFonts w:ascii="Times New Roman" w:hAnsi="Times New Roman"/>
          <w:sz w:val="20"/>
        </w:rPr>
      </w:pPr>
      <w:r>
        <w:rPr>
          <w:rFonts w:ascii="Times New Roman" w:hAnsi="Times New Roman"/>
          <w:color w:val="000000"/>
          <w:sz w:val="20"/>
        </w:rPr>
        <w:t>The Company records a valuation allowance if it is deemed more likely than not that all or a portion of its deferred income tax assets will not be realized, which will be assessed on an on-going basis. Only the portion of deferred income tax assets deemed more likely than not to be realized and three years of financial projections are considered within the calculation of the payable to the ESA Parties under the TRA which is equal to 90% of the Company’s actual tax benefit realized from the tax amortization of the basis difference for qualifying deferred income tax assets. The Company determined that a three year forecast period is appropriate as it represents the period for which the Company can reasonably estimate future taxable income. The estimated payable is sensitive to both changes in the period that can be reasonably forecasted as well as estimates of future taxable income. The payable may fluctuate within one year of the financial statement date to revisions in these assumptions. Refer to Note 7—</w:t>
      </w:r>
      <w:r>
        <w:rPr>
          <w:rFonts w:ascii="Times New Roman" w:hAnsi="Times New Roman"/>
          <w:i/>
          <w:color w:val="000000"/>
          <w:sz w:val="20"/>
        </w:rPr>
        <w:t>Income Taxes</w:t>
      </w:r>
      <w:r>
        <w:rPr>
          <w:rFonts w:ascii="Times New Roman" w:hAnsi="Times New Roman"/>
          <w:color w:val="000000"/>
          <w:sz w:val="20"/>
        </w:rPr>
        <w:t xml:space="preserve"> to the audited Consolidated Financial Statements for discussion of changes within the Company's valuation allowance on its deferred tax assets and the payable to the ESA Parties under the TRA during the years ended January 1, 2026 and December 26,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income tax rules and regulations are subject to interpretation and the application of those rules and regulations require judgment by the Company and may be challenged by the taxation authorities. The Company follows ASC 740-10-25, which requires the use of a two-step approach for recognizing and measuring tax benefits taken or expected to be taken in a tax return and disclosures regarding uncertainties in income tax positions. Only tax positions that meet the more likely than not recognition threshold are recognized.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the tax benefits from uncertain tax positions only when it is more likely than not, based on the technical merits of the position, the tax position will be sustained upon examination, including the resolution of any related appeals or litigation. The tax benefits recognized in the Consolidated Financial Statements from such a position are measured as the largest benefit that has a greater than fifty percent likelihood of being realized upon ultimate resolution. The Company recognizes interest and penalties related to uncertain tax positions in income tax expense. </w:t>
      </w:r>
    </w:p>
    <w:p>
      <w:pPr>
        <w:pStyle w:val="TextBody"/>
        <w:bidi w:val="0"/>
        <w:spacing w:before="120" w:after="283"/>
        <w:jc w:val="left"/>
        <w:rPr>
          <w:rFonts w:ascii="Times New Roman" w:hAnsi="Times New Roman"/>
          <w:sz w:val="20"/>
        </w:rPr>
      </w:pPr>
      <w:r>
        <w:rPr>
          <w:rFonts w:ascii="Times New Roman" w:hAnsi="Times New Roman"/>
          <w:b/>
          <w:i/>
          <w:color w:val="000000"/>
          <w:sz w:val="20"/>
        </w:rPr>
        <w:t>Debt Issuance Costs</w:t>
      </w:r>
      <w:r>
        <w:rPr>
          <w:rFonts w:ascii="Times New Roman" w:hAnsi="Times New Roman"/>
          <w:color w:val="000000"/>
          <w:sz w:val="20"/>
        </w:rPr>
        <w:t>—In relation to the issuance of outstanding debt discussed in Note 10—</w:t>
      </w:r>
      <w:r>
        <w:rPr>
          <w:rFonts w:ascii="Times New Roman" w:hAnsi="Times New Roman"/>
          <w:i/>
          <w:color w:val="000000"/>
          <w:sz w:val="20"/>
        </w:rPr>
        <w:t>Borrowings</w:t>
      </w:r>
      <w:r>
        <w:rPr>
          <w:rFonts w:ascii="Times New Roman" w:hAnsi="Times New Roman"/>
          <w:color w:val="000000"/>
          <w:sz w:val="20"/>
        </w:rPr>
        <w:t>, there is a balance of $0.7 million and</w:t>
      </w:r>
      <w:r>
        <w:rPr>
          <w:rFonts w:ascii="Times New Roman" w:hAnsi="Times New Roman"/>
          <w:color w:val="EE2724"/>
          <w:sz w:val="20"/>
        </w:rPr>
        <w:t xml:space="preserve"> </w:t>
      </w:r>
      <w:r>
        <w:rPr>
          <w:rFonts w:ascii="Times New Roman" w:hAnsi="Times New Roman"/>
          <w:color w:val="000000"/>
          <w:sz w:val="20"/>
        </w:rPr>
        <w:t xml:space="preserve">$1.6 million in deferred financing costs as of January 1, 2026 and December 26, 2024, respectively. The debt issuance costs are being amortized on a straight-line basis over the terms of the underlying obligations and are included in interest on borrowings, which approximates the effective interest method. Debt issuance costs are written-off in the event that the underlying debt is extinguished through partial or full repayment of the obligation.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changes in debt issuance costs are as follows (in millions):</w:t>
      </w:r>
    </w:p>
    <w:p>
      <w:pPr>
        <w:pStyle w:val="TextBody"/>
        <w:bidi w:val="0"/>
        <w:jc w:val="left"/>
        <w:rPr/>
      </w:pPr>
      <w:r>
        <w:rPr/>
        <w:t> </w:t>
      </w:r>
    </w:p>
    <w:tbl>
      <w:tblPr>
        <w:tblW w:w="7605" w:type="dxa"/>
        <w:jc w:val="left"/>
        <w:tblInd w:w="0" w:type="dxa"/>
        <w:tblLayout w:type="fixed"/>
        <w:tblCellMar>
          <w:top w:w="28" w:type="dxa"/>
          <w:left w:w="28" w:type="dxa"/>
          <w:bottom w:w="28" w:type="dxa"/>
          <w:right w:w="28" w:type="dxa"/>
        </w:tblCellMar>
      </w:tblPr>
      <w:tblGrid>
        <w:gridCol w:w="3951"/>
        <w:gridCol w:w="146"/>
        <w:gridCol w:w="434"/>
        <w:gridCol w:w="871"/>
        <w:gridCol w:w="166"/>
        <w:gridCol w:w="146"/>
        <w:gridCol w:w="499"/>
        <w:gridCol w:w="1001"/>
        <w:gridCol w:w="391"/>
      </w:tblGrid>
      <w:tr>
        <w:trPr/>
        <w:tc>
          <w:tcPr>
            <w:tcW w:w="3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26,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Write off of extinguished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Share-Based Compensation</w:t>
      </w:r>
      <w:r>
        <w:rPr>
          <w:rFonts w:ascii="Times New Roman" w:hAnsi="Times New Roman"/>
          <w:color w:val="000000"/>
          <w:sz w:val="20"/>
        </w:rPr>
        <w:t xml:space="preserve">—During 2025, the Company issued stock options and restricted stock units to certain employees and its independent directors. These restricted stock unit grants for Company management vest upon the achievement of Company three-year cumulative performance measures and/or service conditions, while non-management grants vest only upon the achievement of service conditions. During 2024, the Company issued restricted stock units to certain employees and its independent directors. These restricted stock unit grants for Company management vest upon the achievement of Company performance measures, market conditions and/or service conditions, while non-management grants vest only upon the achievement of service conditions. During 2023, the Company issued stock options and restricted stock units which vest upon the achievement of Company three-year cumulative performance measures and service conditions or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left"/>
        <w:rPr>
          <w:rFonts w:ascii="Times New Roman" w:hAnsi="Times New Roman"/>
          <w:sz w:val="20"/>
        </w:rPr>
      </w:pPr>
      <w:r>
        <w:rPr>
          <w:rFonts w:ascii="Times New Roman" w:hAnsi="Times New Roman"/>
          <w:color w:val="000000"/>
          <w:sz w:val="20"/>
        </w:rPr>
        <w:t xml:space="preserve">only service conditions. The Company recognizes share-based compensation net of an estimated forfeiture rate. Compensation expense of restricted stock units that vest upon the achievement of Company performance measures is based on management’s financial projections and the probability of achieving the projections, which requires considerable judgment. A cumulative adjustment is recorded to share-based compensation expense in periods that management changes its estimate of the number of shares expected to vest. Ultimately, the Company adjusts the expense recognized to reflect the actual vested shares following the resolution of the performance conditions. Compensation expense of restricted stock units that vest upon achievement of certain market conditions is based on an estimate of the fair value of the granted restricted stock units on the grant date utilizing the Monte Carlo model, which requires considerable judgment. The fair value of the granted restricted stock units is expensed over an estimated derived service period, which also requires considerable judgment. In accordance with </w:t>
      </w:r>
      <w:r>
        <w:rPr>
          <w:rFonts w:ascii="Times New Roman" w:hAnsi="Times New Roman"/>
          <w:i/>
          <w:color w:val="000000"/>
          <w:sz w:val="20"/>
        </w:rPr>
        <w:t>ASC 718—Stock Compensation</w:t>
      </w:r>
      <w:r>
        <w:rPr>
          <w:rFonts w:ascii="Times New Roman" w:hAnsi="Times New Roman"/>
          <w:color w:val="000000"/>
          <w:sz w:val="20"/>
        </w:rPr>
        <w:t>, the Company does not adjust the expense recognized to reflect the actual vested shares following the resolution of the market condition. Dividends are accrued when declared on unvested restricted stock units that are expected to vest and are only paid with respect to shares that actually vest.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Compensation cost of stock options is based on the estimated grant date fair value using the Black-Scholes option pricing model, which requires that the Company make estimates of various factors. Under the fair value recognition provisions of ASC 718, </w:t>
      </w:r>
      <w:r>
        <w:rPr>
          <w:rFonts w:ascii="Times New Roman" w:hAnsi="Times New Roman"/>
          <w:i/>
          <w:color w:val="000000"/>
          <w:sz w:val="20"/>
        </w:rPr>
        <w:t>Compensation—Stock Compensation</w:t>
      </w:r>
      <w:r>
        <w:rPr>
          <w:rFonts w:ascii="Times New Roman" w:hAnsi="Times New Roman"/>
          <w:color w:val="000000"/>
          <w:sz w:val="20"/>
        </w:rPr>
        <w:t>, the Company recognizes share-based compensation net of an estimated forfeiture rate, and therefore only recognizes compensation cost for those shares expected to vest over the requisite service period of the award. Refer to Note 11—</w:t>
      </w:r>
      <w:r>
        <w:rPr>
          <w:rFonts w:ascii="Times New Roman" w:hAnsi="Times New Roman"/>
          <w:i/>
          <w:color w:val="000000"/>
          <w:sz w:val="20"/>
        </w:rPr>
        <w:t>Share-Based Compensation</w:t>
      </w:r>
      <w:r>
        <w:rPr>
          <w:rFonts w:ascii="Times New Roman" w:hAnsi="Times New Roman"/>
          <w:color w:val="000000"/>
          <w:sz w:val="20"/>
        </w:rPr>
        <w:t xml:space="preserve"> for more information.</w:t>
      </w:r>
    </w:p>
    <w:p>
      <w:pPr>
        <w:pStyle w:val="TextBody"/>
        <w:bidi w:val="0"/>
        <w:spacing w:before="120" w:after="283"/>
        <w:jc w:val="left"/>
        <w:rPr>
          <w:rFonts w:ascii="Times New Roman" w:hAnsi="Times New Roman"/>
          <w:sz w:val="20"/>
        </w:rPr>
      </w:pPr>
      <w:r>
        <w:rPr>
          <w:rFonts w:ascii="Times New Roman" w:hAnsi="Times New Roman"/>
          <w:b/>
          <w:i/>
          <w:color w:val="000000"/>
          <w:sz w:val="20"/>
        </w:rPr>
        <w:t>Share Repurchase Program</w:t>
      </w:r>
      <w:r>
        <w:rPr>
          <w:rFonts w:ascii="Times New Roman" w:hAnsi="Times New Roman"/>
          <w:color w:val="000000"/>
          <w:sz w:val="20"/>
        </w:rPr>
        <w:t>—On March 18, 2024, the Board of Directors of the Company approved a stock repurchase program under which the Company is authorized to use assets of the Company to repurchase up to $100.0 million of shares of the Company’s Common Stock, exclusive of any fees, commissions or other expenses related to such repurchases, from time to time over a period of three years. Shares may be repurchased under the program through open market purchases, block trades, or accelerated or other structured share repurchase programs. During the year ended January 1, 2026 and December 26, 2024, 4.1 million</w:t>
      </w:r>
      <w:r>
        <w:rPr>
          <w:rFonts w:ascii="Times New Roman" w:hAnsi="Times New Roman"/>
          <w:color w:val="FF0000"/>
          <w:sz w:val="20"/>
        </w:rPr>
        <w:t xml:space="preserve"> </w:t>
      </w:r>
      <w:r>
        <w:rPr>
          <w:rFonts w:ascii="Times New Roman" w:hAnsi="Times New Roman"/>
          <w:color w:val="000000"/>
          <w:sz w:val="20"/>
        </w:rPr>
        <w:t xml:space="preserve">and 2.5 million shares were repurchased on the open market, respectively. In accordance with </w:t>
      </w:r>
      <w:r>
        <w:rPr>
          <w:rFonts w:ascii="Times New Roman" w:hAnsi="Times New Roman"/>
          <w:i/>
          <w:color w:val="000000"/>
          <w:sz w:val="20"/>
        </w:rPr>
        <w:t>ASC 505 —Equity</w:t>
      </w:r>
      <w:r>
        <w:rPr>
          <w:rFonts w:ascii="Times New Roman" w:hAnsi="Times New Roman"/>
          <w:color w:val="000000"/>
          <w:sz w:val="20"/>
        </w:rPr>
        <w:t>, the Company elected to retire the shares. Upon the retirement of these shares, the excess over par value paid, inclusive of direct costs, of</w:t>
      </w:r>
      <w:r>
        <w:rPr>
          <w:rFonts w:ascii="Times New Roman" w:hAnsi="Times New Roman"/>
          <w:color w:val="FF0000"/>
          <w:sz w:val="20"/>
        </w:rPr>
        <w:t xml:space="preserve"> </w:t>
      </w:r>
      <w:r>
        <w:rPr>
          <w:rFonts w:ascii="Times New Roman" w:hAnsi="Times New Roman"/>
          <w:color w:val="000000"/>
          <w:sz w:val="20"/>
        </w:rPr>
        <w:t>$22.3 million and $13.4 million was recorded as a reduction to retained earnings for the year ended January 1, 2026 and December 26, 2024, respectively.</w:t>
      </w:r>
    </w:p>
    <w:p>
      <w:pPr>
        <w:pStyle w:val="TextBody"/>
        <w:bidi w:val="0"/>
        <w:spacing w:before="120" w:after="283"/>
        <w:jc w:val="left"/>
        <w:rPr>
          <w:rFonts w:ascii="Times New Roman" w:hAnsi="Times New Roman"/>
          <w:sz w:val="20"/>
        </w:rPr>
      </w:pPr>
      <w:r>
        <w:rPr>
          <w:rFonts w:ascii="Times New Roman" w:hAnsi="Times New Roman"/>
          <w:b/>
          <w:i/>
          <w:color w:val="000000"/>
          <w:sz w:val="20"/>
        </w:rPr>
        <w:t>Fair Value Measurements</w:t>
      </w:r>
      <w:r>
        <w:rPr>
          <w:rFonts w:ascii="Times New Roman" w:hAnsi="Times New Roman"/>
          <w:color w:val="000000"/>
          <w:sz w:val="20"/>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Level 1 </w:t>
      </w:r>
      <w:r>
        <w:rPr>
          <w:rFonts w:ascii="Times New Roman" w:hAnsi="Times New Roman"/>
          <w:color w:val="000000"/>
          <w:sz w:val="20"/>
        </w:rPr>
        <w:t>– Quoted prices in active markets for identical assets or liabilities.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Level 2 </w:t>
      </w:r>
      <w:r>
        <w:rPr>
          <w:rFonts w:ascii="Times New Roman" w:hAnsi="Times New Roman"/>
          <w:color w:val="000000"/>
          <w:sz w:val="20"/>
        </w:rPr>
        <w:t>–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Level 3 </w:t>
      </w:r>
      <w:r>
        <w:rPr>
          <w:rFonts w:ascii="Times New Roman" w:hAnsi="Times New Roman"/>
          <w:color w:val="000000"/>
          <w:sz w:val="20"/>
        </w:rPr>
        <w:t>– Inputs that are generally unobservable and typically reflect management’s estimate of assumptions that market participants would use in pricing the asset or liability.</w:t>
      </w:r>
    </w:p>
    <w:p>
      <w:pPr>
        <w:pStyle w:val="TextBody"/>
        <w:bidi w:val="0"/>
        <w:spacing w:before="120" w:after="283"/>
        <w:jc w:val="left"/>
        <w:rPr>
          <w:rFonts w:ascii="Times New Roman" w:hAnsi="Times New Roman"/>
          <w:sz w:val="20"/>
        </w:rPr>
      </w:pPr>
      <w:r>
        <w:rPr>
          <w:rFonts w:ascii="Times New Roman" w:hAnsi="Times New Roman"/>
          <w:b/>
          <w:i/>
          <w:color w:val="000000"/>
          <w:sz w:val="20"/>
        </w:rPr>
        <w:t>Segment Reporting</w:t>
      </w:r>
      <w:r>
        <w:rPr>
          <w:rFonts w:ascii="Times New Roman" w:hAnsi="Times New Roman"/>
          <w:color w:val="000000"/>
          <w:sz w:val="20"/>
        </w:rPr>
        <w:t>—Advertising is the principal business activity of the Company and is the Company’s only operating and reportable segment under the requirements of ASC 280—</w:t>
      </w:r>
      <w:r>
        <w:rPr>
          <w:rFonts w:ascii="Times New Roman" w:hAnsi="Times New Roman"/>
          <w:i/>
          <w:color w:val="000000"/>
          <w:sz w:val="20"/>
        </w:rPr>
        <w:t xml:space="preserve">Segment Reporting. </w:t>
      </w:r>
      <w:r>
        <w:rPr>
          <w:rFonts w:ascii="Times New Roman" w:hAnsi="Times New Roman"/>
          <w:color w:val="000000"/>
          <w:sz w:val="20"/>
        </w:rPr>
        <w:t>The Company’s chief executive officer is the chief operating decision maker who reviews financial information on a consolidated basis for purposes of allocating resources and evaluating financial performance. The accounting policies of the one operating and reportable segment are the same as those described in the summary of significant accounting policies. All segment revenues relate to services performed within the United States. The Company’s segment assets are generated and domiciled within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chief operating decision maker assesses performance for the one operating and reportable segment and decides how to allocate resources using consolidated net (loss) income, as presented on the Consolidated Statement of Operations as ‘Consolidated net (loss) income’, among other measures. Consolidated net (loss) income is presented herein as the primary measure as it most closely aligns with US GAAP. The chief operating decision maker uses consolidated net (loss) income to decide whether to utilize profits to invest in the Company or to recommend actions to the Board of Directors such as stock repurchases or future dividends. Consolidated net (loss) income is also utilized to monitor actual results as compared to budgeted expectations to assess the performance of the one operating and reportable segment and in establishing management’s compensation. The Company’s significant segment expenses are consistent with the operating expense financial statement line items as presented within the Consolidated Statement of Operations. The Company’s other segment items are consistent with the non-operating income and expense financial statement line items as presented within the Consolidated Statement of Operations.</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measure of segment assets used to allocate resources is total assets as reported on the Consolidated Balance Sheets, inclusive of cash and cash equivalents as well as accounts receivable as reported on the Consolidated Balance Sheets as ‘Cash and cash equivalents’ and ‘Receivables, net of allowance’, respectively.</w:t>
      </w:r>
    </w:p>
    <w:p>
      <w:pPr>
        <w:pStyle w:val="TextBody"/>
        <w:bidi w:val="0"/>
        <w:spacing w:before="120" w:after="283"/>
        <w:jc w:val="left"/>
        <w:rPr>
          <w:rFonts w:ascii="Times New Roman" w:hAnsi="Times New Roman"/>
          <w:sz w:val="20"/>
        </w:rPr>
      </w:pPr>
      <w:r>
        <w:rPr>
          <w:rFonts w:ascii="Times New Roman" w:hAnsi="Times New Roman"/>
          <w:b/>
          <w:i/>
          <w:color w:val="000000"/>
          <w:sz w:val="20"/>
        </w:rPr>
        <w:t>Capital Expenditures</w:t>
      </w:r>
      <w:r>
        <w:rPr>
          <w:rFonts w:ascii="Times New Roman" w:hAnsi="Times New Roman"/>
          <w:color w:val="000000"/>
          <w:sz w:val="20"/>
        </w:rPr>
        <w:t>—Capital expenditures include digital applications being developed primarily by the Company’s programmers and outside consultants, capitalized software development or upgrades for the Company’s Digital Content Software, audience targeting and data management systems, cinema advertising management system, equipment required for the Company’s Customer Experience Center and content production and post-production facilities, office leasehold improvements, desktop equipment for use by employees, and in certain cases, the costs necessary to install equipment at or digitize all or a portion of a network affiliate’s theaters when they are added to the Company’s network. Capital expenditures for the years ended January 1, 2026, December 26, 2024 and December 28, 2023 were $5.6 million, $5.8 million and $3.3 million, respectively.</w:t>
      </w:r>
    </w:p>
    <w:p>
      <w:pPr>
        <w:pStyle w:val="TextBody"/>
        <w:bidi w:val="0"/>
        <w:spacing w:before="120" w:after="283"/>
        <w:jc w:val="left"/>
        <w:rPr>
          <w:rFonts w:ascii="Times New Roman" w:hAnsi="Times New Roman"/>
          <w:sz w:val="20"/>
        </w:rPr>
      </w:pPr>
      <w:r>
        <w:rPr>
          <w:rFonts w:ascii="Times New Roman" w:hAnsi="Times New Roman"/>
          <w:b/>
          <w:i/>
          <w:color w:val="000000"/>
          <w:sz w:val="20"/>
        </w:rPr>
        <w:t>Consolidation</w:t>
      </w:r>
      <w:r>
        <w:rPr>
          <w:rFonts w:ascii="Times New Roman" w:hAnsi="Times New Roman"/>
          <w:color w:val="000000"/>
          <w:sz w:val="20"/>
        </w:rPr>
        <w:t>—NCM, Inc. consolidates the accounts of NCM LLC under the provisions of ASC 810—</w:t>
      </w:r>
      <w:r>
        <w:rPr>
          <w:rFonts w:ascii="Times New Roman" w:hAnsi="Times New Roman"/>
          <w:i/>
          <w:color w:val="000000"/>
          <w:sz w:val="20"/>
        </w:rPr>
        <w:t>Consolidation</w:t>
      </w:r>
      <w:r>
        <w:rPr>
          <w:rFonts w:ascii="Times New Roman" w:hAnsi="Times New Roman"/>
          <w:color w:val="000000"/>
          <w:sz w:val="20"/>
        </w:rPr>
        <w:t xml:space="preserve"> (“ASC 810”). Under Accounting Standards Update 2015-2, Consolidation (Topic 810): Amendments to the Consolidation Analysis (“ASU 2015-2”), a limited partnership is a variable interest entity unless a simple majority or lower threshold of all limited partners unrelated to the general partner have kick-out or participating rights. The non-managing members of NCM LLC do not have dissolution rights or removal rights. NCM, Inc. has evaluated the provisions of the NCM LLC membership agreement and has concluded that the various rights of the non-managing members are not substantive participating rights under ASC 810, as they do not limit NCM, Inc.’s ability to make decisions in the ordinary course of business. The Company concluded that NCM LLC is a variable interest entity and determined that NCM, Inc. should consolidate the accounts of NCM LLC pursuant to ASU 2015-2 because 1) it has the power to direct the activities of NCM LLC in its role as managing member and 2) NCM, Inc. has the obligation to absorb losses of, or the right to receive benefits from NCM LLC, that could potentially be significant provided its 100.0%</w:t>
      </w:r>
      <w:r>
        <w:rPr>
          <w:rFonts w:ascii="Times New Roman" w:hAnsi="Times New Roman"/>
          <w:color w:val="EE2724"/>
          <w:sz w:val="20"/>
        </w:rPr>
        <w:t xml:space="preserve"> </w:t>
      </w:r>
      <w:r>
        <w:rPr>
          <w:rFonts w:ascii="Times New Roman" w:hAnsi="Times New Roman"/>
          <w:color w:val="000000"/>
          <w:sz w:val="20"/>
        </w:rPr>
        <w:t>ownership in NCM LLC. Upon NCM LLC’s emergence from bankruptcy, it was determined that NCM, Inc. continues to hold the current rights that give it power to direct activities of NCM LLC that most significantly impact NCM LLC’s economic performance and that NCM, Inc. continues to have the rights to receive the significant benefits or the obligations to absorb potentially significant losses, resulting in NCM, Inc. having a controlling financial interest in NCM LLC. As a result, NCM, Inc. was deemed to be the primary beneficiary of NCM LLC and the Company has consolidated NCM LLC under the variable interest entity provisions of ASC 810—</w:t>
      </w:r>
      <w:r>
        <w:rPr>
          <w:rFonts w:ascii="Times New Roman" w:hAnsi="Times New Roman"/>
          <w:i/>
          <w:color w:val="000000"/>
          <w:sz w:val="20"/>
        </w:rPr>
        <w:t>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changes in NCM, Inc.’s equity resulting from net income attributable to NCM, Inc. and transfers to or from noncontrolling interests (in millions):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5019"/>
        <w:gridCol w:w="146"/>
        <w:gridCol w:w="364"/>
        <w:gridCol w:w="910"/>
        <w:gridCol w:w="166"/>
        <w:gridCol w:w="146"/>
        <w:gridCol w:w="417"/>
        <w:gridCol w:w="1046"/>
        <w:gridCol w:w="166"/>
        <w:gridCol w:w="146"/>
        <w:gridCol w:w="393"/>
        <w:gridCol w:w="1071"/>
        <w:gridCol w:w="215"/>
      </w:tblGrid>
      <w:tr>
        <w:trPr/>
        <w:tc>
          <w:tcPr>
            <w:tcW w:w="5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50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26,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NCM,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NCM LLC equity issued for purchase of 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and other impacts of NCM LLC ownership 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redemption of NCM LLC common membership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NCM, Inc. investment in NCM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Change from net (loss) income attributable to NCM, Inc. and </w:t>
              <w:br/>
              <w:t>    transfers from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977.5</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January 2024, the FASB issued Accounting Standards Update No. 2023-09, Income Tax Disclosures (“ASU 2023-09”), which establishes new income tax disclosure requirements in addition to modifying and eliminating certain existing requirements. Under the new guidance, entities must consistently categorize and provide greater disaggregation of information in the rate reconciliation. They must also further disaggregate income taxes paid. This guidance is effective for issuances on annual periods beginning on and after December 15, 2024. The Company adopted this standard prospectively effective December 26, 2024 and included incremental disclosures within Note 7— </w:t>
      </w:r>
      <w:r>
        <w:rPr>
          <w:rFonts w:ascii="Times New Roman" w:hAnsi="Times New Roman"/>
          <w:i/>
          <w:color w:val="000000"/>
          <w:sz w:val="20"/>
        </w:rPr>
        <w:t>Income Taxes</w:t>
      </w:r>
      <w:r>
        <w:rPr>
          <w:rFonts w:ascii="Times New Roman" w:hAnsi="Times New Roman"/>
          <w:color w:val="000000"/>
          <w:sz w:val="20"/>
        </w:rPr>
        <w:t xml:space="preserve">. These additional disclosures did not have a material impact on the Company’s Consolidated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did not adopt any other accounting pronouncements during the years ended January 1, 2026 and December 26,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2024, the Financial Accounting Standards Board (“FASB”) issued Accounting Standards Update No. 2024-03, Expense Disaggregation Disclosures (“ASU 2024-03”), which expands the disclosures about a public business entity’s expenses and addresses requests from investors for more detailed information about the types of expenses in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commonly presented expense captions. Under the new guidance, entities must disclose additional information about certain costs and expenses on an annual and interim basis to enable investors to develop more decision-useful financial analyses. This guidance is effective for issuances on and after December 15, 2026. The Company is still evaluating the expected impact this will have on the Company’s Consolidated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2025, the FASB issued Accounting Standards Update No. 2025-06, Targeted Improvements to the Accounting for Internal-Use Software (“ASU 2025-06”), which modernizes the accounting for internally developed software costs. Under the new guidance, the accounting will better align with how software is developed and eliminates the stage-based rules by establishing a principles-based framework consistent with modern software development practices. This guidance is effective for issuances on and after December 15, 2027. The Company is still evaluating the expected impact this will have on the Company’s Consolidated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considered all other recently issued accounting pronouncements and does not believe the adoption of such pronouncements will have a material impact on its Consolidated Financial Statements or notes thereto.</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REVENUE FROM CONTRACTS WITH CUSTOMERS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derives revenue principally from the sale of advertising to national, regional and local businesses in </w:t>
      </w:r>
      <w:r>
        <w:rPr>
          <w:rFonts w:ascii="Times New Roman" w:hAnsi="Times New Roman"/>
          <w:i/>
          <w:color w:val="000000"/>
          <w:sz w:val="20"/>
        </w:rPr>
        <w:t>Noovie®</w:t>
      </w:r>
      <w:r>
        <w:rPr>
          <w:rFonts w:ascii="Times New Roman" w:hAnsi="Times New Roman"/>
          <w:color w:val="000000"/>
          <w:sz w:val="20"/>
        </w:rPr>
        <w:t xml:space="preserve">, our cinema advertising and entertainment show seen on movie screens across the U.S., as well as on our LEN, a series of strategically-placed screens located in movie theater lobbies, as well as other forms of advertising, promotions and experiences in theater lobbies. In addition, the Company sells data and digital advertising, including through NCM </w:t>
      </w:r>
      <w:r>
        <w:rPr>
          <w:rFonts w:ascii="Times New Roman" w:hAnsi="Times New Roman"/>
          <w:i/>
          <w:color w:val="000000"/>
          <w:sz w:val="20"/>
        </w:rPr>
        <w:t>Boost</w:t>
      </w:r>
      <w:r>
        <w:rPr>
          <w:rFonts w:ascii="Times New Roman" w:hAnsi="Times New Roman"/>
          <w:i/>
          <w:color w:val="000000"/>
          <w:sz w:val="13"/>
        </w:rPr>
        <w:t>SM</w:t>
      </w:r>
      <w:r>
        <w:rPr>
          <w:rFonts w:ascii="Times New Roman" w:hAnsi="Times New Roman"/>
          <w:i/>
          <w:color w:val="000000"/>
          <w:sz w:val="20"/>
        </w:rPr>
        <w:t>, Boomerang</w:t>
      </w:r>
      <w:r>
        <w:rPr>
          <w:rFonts w:ascii="Times New Roman" w:hAnsi="Times New Roman"/>
          <w:i/>
          <w:color w:val="000000"/>
          <w:sz w:val="13"/>
        </w:rPr>
        <w:t>SM</w:t>
      </w:r>
      <w:r>
        <w:rPr>
          <w:rFonts w:ascii="Times New Roman" w:hAnsi="Times New Roman"/>
          <w:i/>
          <w:color w:val="000000"/>
          <w:sz w:val="20"/>
        </w:rPr>
        <w:t>, Bullseye</w:t>
      </w:r>
      <w:r>
        <w:rPr>
          <w:rFonts w:ascii="Times New Roman" w:hAnsi="Times New Roman"/>
          <w:i/>
          <w:color w:val="000000"/>
          <w:sz w:val="13"/>
        </w:rPr>
        <w:t>SM</w:t>
      </w:r>
      <w:r>
        <w:rPr>
          <w:rFonts w:ascii="Times New Roman" w:hAnsi="Times New Roman"/>
          <w:color w:val="000000"/>
          <w:sz w:val="20"/>
        </w:rPr>
        <w:t xml:space="preserve"> and </w:t>
      </w:r>
      <w:r>
        <w:rPr>
          <w:rFonts w:ascii="Times New Roman" w:hAnsi="Times New Roman"/>
          <w:i/>
          <w:color w:val="000000"/>
          <w:sz w:val="20"/>
        </w:rPr>
        <w:t>Blueprint</w:t>
      </w:r>
      <w:r>
        <w:rPr>
          <w:rFonts w:ascii="Times New Roman" w:hAnsi="Times New Roman"/>
          <w:i/>
          <w:color w:val="000000"/>
          <w:sz w:val="13"/>
        </w:rPr>
        <w:t>SM</w:t>
      </w:r>
      <w:r>
        <w:rPr>
          <w:rFonts w:ascii="Times New Roman" w:hAnsi="Times New Roman"/>
          <w:color w:val="000000"/>
          <w:sz w:val="20"/>
        </w:rPr>
        <w:t>. Further the Company sells advertising in a variety of complementary out of home venues. The Company also has a long-term agreement to exhibit the advertising of the ESA Parties’ beverage suppliers.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National and regional advertising, including advertising under the beverage concessionaire and courtesy PSA agreements, are sold on a CPM basis. The Company predominantly recognizes national and regional advertising over time as impressions (or theater attendees) are delivered. National advertising is also sold to content partners. The content partners provide the Company with original entertainment content segments, typically 90 seconds in length, that are entertaining, informative or educational in nature in The </w:t>
      </w:r>
      <w:r>
        <w:rPr>
          <w:rFonts w:ascii="Times New Roman" w:hAnsi="Times New Roman"/>
          <w:i/>
          <w:color w:val="000000"/>
          <w:sz w:val="20"/>
        </w:rPr>
        <w:t xml:space="preserve">Noovie® </w:t>
      </w:r>
      <w:r>
        <w:rPr>
          <w:rFonts w:ascii="Times New Roman" w:hAnsi="Times New Roman"/>
          <w:color w:val="000000"/>
          <w:sz w:val="20"/>
        </w:rPr>
        <w:t>Show and they make commitments to buy a portion of the Company’s advertising inventory at a specified CPM. The Company recognizes revenue for the content segments over time as the content segments air. Local advertising and advertising on the Spotlight Cinema Network is sold on a per-screen, per-week basis and to a lesser extent on a CPM basis. The Company recognizes local on-screen advertising revenue over the period in which the advertising airs as dictated by the underlying sales contracts. When sold separately, LEN advertising and lobby promotions are sold based on length and breadth of the promotion. The Company recognizes revenue derived from the lobby network and promotions over time when the advertising is displayed in theater lobbies. The Company sells data and digital advertising on a CPM basis as well. The Company recognizes revenue from branded entertainment websites and mobile applications over time as the data or digital impressions are served. This revenue for these products is presented within National and Local and regional advertising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contracts may also include multiple advertising services to reach the moviegoer at multiple points during a theater experience. The Company considers each of these advertising services to represent distinct performance obligations of the contract and allocates a portion of the transaction price to each service based upon the standalone selling price of the service. When standalone selling prices are not readily observable, the Company allocates the transaction price based upon all information that is reasonably available and maximizes the use of observable inputs. Methods utilized include the adjusted market and expected cost-plus margin approaches.</w:t>
      </w:r>
    </w:p>
    <w:p>
      <w:pPr>
        <w:pStyle w:val="TextBody"/>
        <w:bidi w:val="0"/>
        <w:spacing w:before="120" w:after="283"/>
        <w:jc w:val="left"/>
        <w:rPr>
          <w:rFonts w:ascii="Times New Roman" w:hAnsi="Times New Roman"/>
          <w:sz w:val="20"/>
        </w:rPr>
      </w:pPr>
      <w:r>
        <w:rPr>
          <w:rFonts w:ascii="Times New Roman" w:hAnsi="Times New Roman"/>
          <w:color w:val="000000"/>
          <w:sz w:val="20"/>
        </w:rPr>
        <w:t>The Company enters into barter transactions that exchange advertising program time for products and services used principally for selling and marketing activities, as well as for equity interests. The Company records barter transactions at the estimated fair value of the products, services and equity interests received if that can be reasonably estimated. If the fair value of the products and services received cannot be reasonably estimated, the Company utilizes the stand-alone selling price of the advertising services in the underlying contract. Revenue for advertising barter transactions is recognized when advertising is provided, and products and services received are charged to expense when used or recognized as investments as received, as applicable. Revenue from barter transactions for the years ended January 1, 2026, December 26, 2024 and December 28, 2023 was $3.4 million, $0.5 million and $0.1 million, respectively. Expense recorded from barter transactions for the years ended January 1, 2026, December 26, 2024 and December 28, 2023 was $0.5 million, $0.3 million and</w:t>
      </w:r>
      <w:r>
        <w:rPr>
          <w:rFonts w:ascii="Times New Roman" w:hAnsi="Times New Roman"/>
          <w:color w:val="EE2724"/>
          <w:sz w:val="20"/>
        </w:rPr>
        <w:t xml:space="preserve"> </w:t>
      </w:r>
      <w:r>
        <w:rPr>
          <w:rFonts w:ascii="Times New Roman" w:hAnsi="Times New Roman"/>
          <w:color w:val="000000"/>
          <w:sz w:val="20"/>
        </w:rPr>
        <w:t>$0.1 million, respectively. This expense is included within “Selling and marketing costs” on the audited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revenue as the performance obligation for the advertising services is satisfied. Invoices are generated following the processing of each revenue contract and payment is due from the customer within 30 days of the invoice date. Customers select to pay the invoice in full at the start of a contract or through mutually agreed upon installments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 the course of the contract. The Company records deferred revenue when cash payments are received, or invoices are issued, in advance of revenue being earned. Deferred revenue is classified as a current liability as it is expected to be earned within the next twelve months.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disaggregates revenue into the categories of national; local and regional; beverage concessionaire and management fee reimbursement based upon a combination of multiple factors including the type of customer, the products included within a contract and the geographic scope and management fee reimbursement revenue related to NCM LLC. This method of disaggregation is in alignment with how revenue is reviewed by management and discussed with and historically disclosed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revenue from contracts with customers for the years ended January 1, 2026, December 26, 2024 and December 28, 2023 (in millions):</w:t>
      </w:r>
    </w:p>
    <w:p>
      <w:pPr>
        <w:pStyle w:val="TextBody"/>
        <w:bidi w:val="0"/>
        <w:jc w:val="left"/>
        <w:rPr/>
      </w:pPr>
      <w:r>
        <w:rPr/>
        <w:t> </w:t>
      </w:r>
    </w:p>
    <w:tbl>
      <w:tblPr>
        <w:tblW w:w="9847" w:type="dxa"/>
        <w:jc w:val="left"/>
        <w:tblInd w:w="0" w:type="dxa"/>
        <w:tblLayout w:type="fixed"/>
        <w:tblCellMar>
          <w:top w:w="28" w:type="dxa"/>
          <w:left w:w="28" w:type="dxa"/>
          <w:bottom w:w="28" w:type="dxa"/>
          <w:right w:w="28" w:type="dxa"/>
        </w:tblCellMar>
      </w:tblPr>
      <w:tblGrid>
        <w:gridCol w:w="4621"/>
        <w:gridCol w:w="146"/>
        <w:gridCol w:w="352"/>
        <w:gridCol w:w="953"/>
        <w:gridCol w:w="146"/>
        <w:gridCol w:w="146"/>
        <w:gridCol w:w="403"/>
        <w:gridCol w:w="1097"/>
        <w:gridCol w:w="146"/>
        <w:gridCol w:w="146"/>
        <w:gridCol w:w="403"/>
        <w:gridCol w:w="1097"/>
        <w:gridCol w:w="19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26,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National advertising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Local and regional advertising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ESA advertising revenue from beverage concessionaire </w:t>
              <w:br/>
              <w:t>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 reimbursement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Deferred Revenue and Unbilled 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Deferred Revenue balance increases upon issuance of invoices to customers and decreases upon delivery of services and the resulting recognition of revenue. Revenue recognized in the year ended January 1, 2026 that was included within the Deferred Revenue balance as of December 26, 2024 was $22.7 million. Revenue recognized in the year ended December 26, 2024 that was included within the Deferred Revenue balance as of December 28, 2023 was $9.8 million. Revenue recognized in the year ended December 28, 2023 that was included within the Deferred Revenue balance as of December 29, 2022 was $8.6 million. Unbilled accounts receivable is classified as a current asset as it is expected to be billed within the next twelve months. As of January 1, 2026 and December 26, 2024, the Company had $4.2 million and $2.5 million, respectively, in unbilled accounts receivable, included within the accounts receivable balance.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Practical Expedients and Exemptions</w:t>
      </w:r>
    </w:p>
    <w:p>
      <w:pPr>
        <w:pStyle w:val="TextBody"/>
        <w:bidi w:val="0"/>
        <w:spacing w:before="120" w:after="283"/>
        <w:jc w:val="left"/>
        <w:rPr>
          <w:rFonts w:ascii="Times New Roman" w:hAnsi="Times New Roman"/>
          <w:sz w:val="20"/>
        </w:rPr>
      </w:pPr>
      <w:r>
        <w:rPr>
          <w:rFonts w:ascii="Times New Roman" w:hAnsi="Times New Roman"/>
          <w:color w:val="000000"/>
          <w:sz w:val="20"/>
        </w:rPr>
        <w:t>The Company has two significant customer contracts with a term in excess of one year that are noncancellable as of January 1, 2026. The remaining performance obligation under these contracts is $3.9 million</w:t>
      </w:r>
      <w:r>
        <w:rPr>
          <w:rFonts w:ascii="Times New Roman" w:hAnsi="Times New Roman"/>
          <w:color w:val="FF0000"/>
          <w:sz w:val="20"/>
        </w:rPr>
        <w:t xml:space="preserve"> </w:t>
      </w:r>
      <w:r>
        <w:rPr>
          <w:rFonts w:ascii="Times New Roman" w:hAnsi="Times New Roman"/>
          <w:color w:val="000000"/>
          <w:sz w:val="20"/>
        </w:rPr>
        <w:t>as of January 1, 2026 and represents commitments for future advertising services for which work has not been performed and revenues are to be recorded in future periods. The Company expects to recognize all of its remaining performance obligation under this contract within the next two years. Agreements with a duration less than one year are not disclosed as the Company elected to use the practical expedient in ASC 606-10-50-14 for those contracts. In addition, the Company’s contracts longer than one year that are cancellable are not included within this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expenses sales commissions when incurred as the amortization period would have been one year or less. These costs are recorded within “Selling and marketing costs” in the audited Consolidated Statements of Operations. In addition, the Company does not disclose the value of unsatisfied performance obligations for contracts with an original expected length of one year or less. The Company also does not adjust the transaction price for the effects of a significant financing component, as the Company expects, at contract inception, that the period between when the Company performs services and when the customer pays for the Company's service will be one year or less.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Allowance for Credit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allowance for credit losses balance is determined separately for each pool of the Company's receivables with similar risk characteristics. The Company has determined that two pools, national customers and local/regional customers, is appropriate. The changes within the allowance for credit losses balances for the years ended January 1, 2026 and December 26, 2024 were as follows (in millions):</w:t>
      </w:r>
    </w:p>
    <w:p>
      <w:pPr>
        <w:pStyle w:val="TextBody"/>
        <w:bidi w:val="0"/>
        <w:jc w:val="left"/>
        <w:rPr/>
      </w:pPr>
      <w:r>
        <w:rPr/>
        <w:t> </w:t>
      </w:r>
    </w:p>
    <w:tbl>
      <w:tblPr>
        <w:tblW w:w="8654" w:type="dxa"/>
        <w:jc w:val="left"/>
        <w:tblInd w:w="0" w:type="dxa"/>
        <w:tblLayout w:type="fixed"/>
        <w:tblCellMar>
          <w:top w:w="28" w:type="dxa"/>
          <w:left w:w="28" w:type="dxa"/>
          <w:bottom w:w="28" w:type="dxa"/>
          <w:right w:w="28" w:type="dxa"/>
        </w:tblCellMar>
      </w:tblPr>
      <w:tblGrid>
        <w:gridCol w:w="2641"/>
        <w:gridCol w:w="146"/>
        <w:gridCol w:w="414"/>
        <w:gridCol w:w="711"/>
        <w:gridCol w:w="146"/>
        <w:gridCol w:w="146"/>
        <w:gridCol w:w="414"/>
        <w:gridCol w:w="831"/>
        <w:gridCol w:w="166"/>
        <w:gridCol w:w="146"/>
        <w:gridCol w:w="374"/>
        <w:gridCol w:w="751"/>
        <w:gridCol w:w="166"/>
        <w:gridCol w:w="146"/>
        <w:gridCol w:w="414"/>
        <w:gridCol w:w="831"/>
        <w:gridCol w:w="21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5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26,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 for</w:t>
              <w:br/>
              <w:t>National</w:t>
              <w:br/>
              <w:t>Customer</w:t>
              <w:br/>
              <w:t>Receivables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 for</w:t>
              <w:br/>
              <w:t>Local/ Regional</w:t>
              <w:br/>
              <w:t>Customer</w:t>
              <w:br/>
              <w:t>Receivables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 for</w:t>
              <w:br/>
              <w:t>National</w:t>
              <w:br/>
              <w:t>Customer</w:t>
              <w:br/>
              <w:t>Receivables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 for</w:t>
              <w:br/>
              <w:t>Local/ Regional</w:t>
              <w:br/>
              <w:t>Customer</w:t>
              <w:br/>
              <w:t>Receivables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Write-offs, net of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3.</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(LOSS) INCOME PER SHARE</w:t>
      </w:r>
    </w:p>
    <w:p>
      <w:pPr>
        <w:pStyle w:val="TextBody"/>
        <w:bidi w:val="0"/>
        <w:jc w:val="left"/>
        <w:rPr>
          <w:rFonts w:ascii="Times New Roman" w:hAnsi="Times New Roman"/>
          <w:color w:val="000000"/>
          <w:sz w:val="20"/>
        </w:rPr>
      </w:pPr>
      <w:r>
        <w:rPr>
          <w:rFonts w:ascii="Times New Roman" w:hAnsi="Times New Roman"/>
          <w:color w:val="000000"/>
          <w:sz w:val="20"/>
        </w:rPr>
        <w:t>Basic (loss) income per share is computed on the basis of the weighted average number of common shares outstanding. Diluted (loss) income per share is computed on the basis of the weighted average number of common shares outstanding plus the effect of potentially dilutive common stock options, restricted stock and exchangeable NCM LLC common units using the treasury stock method. The components of basic and diluted (loss) income per NCM, Inc. share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81"/>
        <w:gridCol w:w="146"/>
        <w:gridCol w:w="219"/>
        <w:gridCol w:w="1081"/>
        <w:gridCol w:w="166"/>
        <w:gridCol w:w="146"/>
        <w:gridCol w:w="249"/>
        <w:gridCol w:w="1230"/>
        <w:gridCol w:w="166"/>
        <w:gridCol w:w="146"/>
        <w:gridCol w:w="249"/>
        <w:gridCol w:w="1230"/>
        <w:gridCol w:w="396"/>
      </w:tblGrid>
      <w:tr>
        <w:trPr/>
        <w:tc>
          <w:tcPr>
            <w:tcW w:w="4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8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26,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NCM, Inc. (in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705.2</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94,182,400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95,865,998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47,882,944</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Add: Dilutive effect of stock options, restricted stock, and </w:t>
              <w:br/>
              <w:t>   exchangeable NCM LLC common membership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691,639</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94,182,400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95,865,998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48,574,583</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per NCM, Inc.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effect of the 853 and 5,715 weighted average exchangeable NCM LLC common membership units held by the ESA Parties for the years ended January 1, 2026 and December 26, 2024, respectively, were excluded from the calculation of diluted weighted average shares and earnings per NCM, Inc. share as they were antidilutive. The weighted average exchangeable NCM LLC common membership units held by the ESA Parties for the year ended December 28, 2023 was 685,404 and are included in diluted weighted average shares. In addition, there were 5,440,529, 5,671,341 and 979,176, stock options and non-vested (restricted) shares for the years ended January 1, 2026, December 26, 2024 and December 28, 2023, respectively, excluded from the calculation as they were antidilutive. The Company’s non-vested (restricted) shares do not meet the definition of a participating security as the dividends will not be paid if the shares do not vest.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3, 2023, the Company effected a one-for-ten (1:10) reverse stock split of its common stock, par value $0.01 per share. The reverse stock split, which was authorized by its Board of Directors, was approved by the Company’s stockholders on August 2, 2023. The reverse stock split reduced the number of outstanding shares of the Company’s common stock from 174,112,385 shares as of August 3, 2023, to 17,411,323 shares outstanding post-split.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property and equipment, at cost less accumulated depreciation (in millions):</w:t>
      </w:r>
    </w:p>
    <w:p>
      <w:pPr>
        <w:pStyle w:val="TextBody"/>
        <w:bidi w:val="0"/>
        <w:jc w:val="left"/>
        <w:rPr/>
      </w:pPr>
      <w:r>
        <w:rPr/>
        <w:t> </w:t>
      </w:r>
    </w:p>
    <w:tbl>
      <w:tblPr>
        <w:tblW w:w="7395" w:type="dxa"/>
        <w:jc w:val="left"/>
        <w:tblInd w:w="0" w:type="dxa"/>
        <w:tblLayout w:type="fixed"/>
        <w:tblCellMar>
          <w:top w:w="28" w:type="dxa"/>
          <w:left w:w="28" w:type="dxa"/>
          <w:bottom w:w="28" w:type="dxa"/>
          <w:right w:w="28" w:type="dxa"/>
        </w:tblCellMar>
      </w:tblPr>
      <w:tblGrid>
        <w:gridCol w:w="3721"/>
        <w:gridCol w:w="146"/>
        <w:gridCol w:w="405"/>
        <w:gridCol w:w="900"/>
        <w:gridCol w:w="166"/>
        <w:gridCol w:w="146"/>
        <w:gridCol w:w="467"/>
        <w:gridCol w:w="1033"/>
        <w:gridCol w:w="41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26,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computer hardware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w:t>
      </w:r>
    </w:p>
    <w:p>
      <w:pPr>
        <w:pStyle w:val="TextBody"/>
        <w:bidi w:val="0"/>
        <w:jc w:val="left"/>
        <w:rPr>
          <w:rFonts w:ascii="Times New Roman" w:hAnsi="Times New Roman"/>
          <w:b/>
          <w:color w:val="000000"/>
          <w:sz w:val="20"/>
        </w:rPr>
      </w:pPr>
      <w:r>
        <w:rPr>
          <w:rFonts w:ascii="Times New Roman" w:hAnsi="Times New Roman"/>
          <w:b/>
          <w:color w:val="000000"/>
          <w:sz w:val="20"/>
        </w:rPr>
        <w:t>BUSINESS COMBINATIONS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Acquisition of Spotlight Cinema Networks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On November 14, 2025, NCM LLC entered into the Membership Interest Purchase Agreement (“MIPA”) with Spotlight Cinema Networks (“Spotlight”), a niche cinema advertising company, whereby the Company acquired 100.0% of Spotlight in exchange for cash consideration as outlined below. The acquisition of Spotlight adds high-scale luxury screens and exhibitors that offer unique and engaging customer experiences to the Company’s platform, unlocking new advertising and preshow entertainment inventory. </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The following table summarizes the consideration transferred to acquire Spotlight </w:t>
      </w:r>
      <w:r>
        <w:rPr>
          <w:rFonts w:ascii="Times New Roman" w:hAnsi="Times New Roman"/>
          <w:i/>
          <w:color w:val="000000"/>
          <w:sz w:val="20"/>
        </w:rPr>
        <w:t>(in millions)</w:t>
      </w:r>
      <w:r>
        <w:rPr>
          <w:rFonts w:ascii="Times New Roman" w:hAnsi="Times New Roman"/>
          <w:color w:val="000000"/>
          <w:sz w:val="20"/>
        </w:rPr>
        <w:t>:</w:t>
      </w:r>
    </w:p>
    <w:tbl>
      <w:tblPr>
        <w:tblW w:w="4880" w:type="dxa"/>
        <w:jc w:val="left"/>
        <w:tblInd w:w="0" w:type="dxa"/>
        <w:tblLayout w:type="fixed"/>
        <w:tblCellMar>
          <w:top w:w="28" w:type="dxa"/>
          <w:left w:w="28" w:type="dxa"/>
          <w:bottom w:w="28" w:type="dxa"/>
          <w:right w:w="28" w:type="dxa"/>
        </w:tblCellMar>
      </w:tblPr>
      <w:tblGrid>
        <w:gridCol w:w="3691"/>
        <w:gridCol w:w="146"/>
        <w:gridCol w:w="211"/>
        <w:gridCol w:w="421"/>
        <w:gridCol w:w="41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Fair Value of consideration transferred: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Expected working capital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contingent consideration was placed within an escrow account as of the acquisition date and will be released over the next three years as the required contract renewals are obtained for the specified exhibitor agreements with upcoming expiration dates or as the exhibitors remain on the Spotlight Cinema Network for specified time periods. The fair value of the consideration and contingently returnable consideration are calculated utilizing the present value of payments by exhibitor probability weighted based on the respective estimated likelihood of renewal. The undiscounted maximum amount of contingent consideration is $1.6 million. Each period, the Company will revalue the contingently returnable consideration to its fair value and record the related changes in the Consolidated Statement of Income. Changes in the contingently returnable consideration result from changes in assumptions regarding probabilities of successful achievement of exhibitor renewals, the estimated timing in which renewals are achieved and the discount rate used to estimate the fair value of the asset.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connection with the acquisition of Spotlight Cinema Networks, the Company entered into transition agreements with various employees, transitional independent contractor agreements, and a transition services agreement with one of the sellers. The expense related to these agreements is recognized as the underlying services are performed. For the year ended January 1, 2026, $0.2 million was included within ‘Network operating costs’ and $0.1 million was included within ‘Selling and marketing costs’ as presented on the audited Consolidated Statement of Operations based upon the nature of the work being performed.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following table summarizes the fair value of Spotlight and provisional fair values of the assets acquired and liabilities assumed as of the acquisition date (in millions). The provisional allocation of the purchase price was based upon a preliminary valuation, and the Company's estimates and assumptions are subject to change as valuations are finalized within the measurement period, which cannot extend beyond one year from the acquisition date. </w:t>
      </w:r>
    </w:p>
    <w:tbl>
      <w:tblPr>
        <w:tblW w:w="5125" w:type="dxa"/>
        <w:jc w:val="left"/>
        <w:tblInd w:w="0" w:type="dxa"/>
        <w:tblLayout w:type="fixed"/>
        <w:tblCellMar>
          <w:top w:w="28" w:type="dxa"/>
          <w:left w:w="28" w:type="dxa"/>
          <w:bottom w:w="28" w:type="dxa"/>
          <w:right w:w="28" w:type="dxa"/>
        </w:tblCellMar>
      </w:tblPr>
      <w:tblGrid>
        <w:gridCol w:w="3711"/>
        <w:gridCol w:w="146"/>
        <w:gridCol w:w="211"/>
        <w:gridCol w:w="466"/>
        <w:gridCol w:w="591"/>
      </w:tblGrid>
      <w:tr>
        <w:trPr/>
        <w:tc>
          <w:tcPr>
            <w:tcW w:w="3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Receivables, net </w:t>
            </w: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Goodwill </w:t>
            </w:r>
            <w:r>
              <w:rPr>
                <w:rFonts w:ascii="Times New Roman" w:hAnsi="Times New Roman"/>
                <w:i/>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0" w:after="160"/>
        <w:jc w:val="both"/>
        <w:rPr>
          <w:rFonts w:ascii="Times New Roman" w:hAnsi="Times New Roman"/>
          <w:i/>
          <w:color w:val="000000"/>
          <w:sz w:val="20"/>
        </w:rPr>
      </w:pPr>
      <w:r>
        <w:rPr>
          <w:rFonts w:ascii="Times New Roman" w:hAnsi="Times New Roman"/>
          <w:i/>
          <w:color w:val="000000"/>
          <w:sz w:val="20"/>
        </w:rPr>
        <w:t>(1)</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tbl>
      <w:tblPr>
        <w:tblW w:w="10205" w:type="dxa"/>
        <w:jc w:val="left"/>
        <w:tblInd w:w="0" w:type="dxa"/>
        <w:tblLayout w:type="fixed"/>
        <w:tblCellMar>
          <w:top w:w="28" w:type="dxa"/>
          <w:left w:w="28" w:type="dxa"/>
          <w:bottom w:w="28" w:type="dxa"/>
          <w:right w:w="28" w:type="dxa"/>
        </w:tblCellMar>
      </w:tblPr>
      <w:tblGrid>
        <w:gridCol w:w="1513"/>
        <w:gridCol w:w="879"/>
        <w:gridCol w:w="1507"/>
        <w:gridCol w:w="146"/>
        <w:gridCol w:w="856"/>
        <w:gridCol w:w="1468"/>
        <w:gridCol w:w="146"/>
        <w:gridCol w:w="1285"/>
        <w:gridCol w:w="2210"/>
        <w:gridCol w:w="195"/>
      </w:tblGrid>
      <w:tr>
        <w:trPr/>
        <w:tc>
          <w:tcPr>
            <w:tcW w:w="151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Receivables acquired:</w:t>
            </w:r>
          </w:p>
        </w:tc>
        <w:tc>
          <w:tcPr>
            <w:tcW w:w="23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of trade receivables acquired: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 value of receivables acquired: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of contractual cash flows not expected to be collected:</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Times New Roman" w:hAnsi="Times New Roman"/>
          <w:i/>
          <w:color w:val="000000"/>
          <w:sz w:val="20"/>
        </w:rPr>
        <w:t>(2)</w:t>
      </w:r>
      <w:r>
        <w:rPr>
          <w:rFonts w:ascii="Times New Roman" w:hAnsi="Times New Roman"/>
          <w:color w:val="000000"/>
          <w:sz w:val="20"/>
        </w:rPr>
        <w:t xml:space="preserve"> The Goodwill balance recognized of $0.5 million is primarily related to the value of the assembled workforce which does not qualify for separate recognition as an intangible asset.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acquired business contributed revenues of $2.2 million and earnings of $0.5 million to the Company for the period subject to consolidation (November 15, 2025 to January 1, 2026). </w:t>
      </w:r>
    </w:p>
    <w:p>
      <w:pPr>
        <w:pStyle w:val="TextBody"/>
        <w:bidi w:val="0"/>
        <w:spacing w:before="0" w:after="160"/>
        <w:jc w:val="left"/>
        <w:rPr/>
      </w:pPr>
      <w:r>
        <w:rPr/>
        <w:t>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Pro Forma Financial Information (Unaudited) - Spotlight Cinema Network</w:t>
      </w:r>
    </w:p>
    <w:p>
      <w:pPr>
        <w:pStyle w:val="TextBody"/>
        <w:bidi w:val="0"/>
        <w:jc w:val="left"/>
        <w:rPr>
          <w:rFonts w:ascii="Times New Roman" w:hAnsi="Times New Roman"/>
          <w:color w:val="000000"/>
          <w:sz w:val="20"/>
        </w:rPr>
      </w:pPr>
      <w:r>
        <w:rPr>
          <w:rFonts w:ascii="Times New Roman" w:hAnsi="Times New Roman"/>
          <w:color w:val="000000"/>
          <w:sz w:val="20"/>
        </w:rPr>
        <w:t>The following represents the pro forma Consolidated Statement of Operations as if the Spotlight acquisition had been included in the consolidated results of the Company for the entire period for the years ended January 1, 2026, December 26, 2024 and December 28, 2023.</w:t>
      </w:r>
    </w:p>
    <w:tbl>
      <w:tblPr>
        <w:tblW w:w="5777" w:type="dxa"/>
        <w:jc w:val="left"/>
        <w:tblInd w:w="0" w:type="dxa"/>
        <w:tblLayout w:type="fixed"/>
        <w:tblCellMar>
          <w:top w:w="28" w:type="dxa"/>
          <w:left w:w="28" w:type="dxa"/>
          <w:bottom w:w="28" w:type="dxa"/>
          <w:right w:w="28" w:type="dxa"/>
        </w:tblCellMar>
      </w:tblPr>
      <w:tblGrid>
        <w:gridCol w:w="1591"/>
        <w:gridCol w:w="146"/>
        <w:gridCol w:w="255"/>
        <w:gridCol w:w="690"/>
        <w:gridCol w:w="166"/>
        <w:gridCol w:w="146"/>
        <w:gridCol w:w="306"/>
        <w:gridCol w:w="834"/>
        <w:gridCol w:w="166"/>
        <w:gridCol w:w="146"/>
        <w:gridCol w:w="306"/>
        <w:gridCol w:w="834"/>
        <w:gridCol w:w="191"/>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January 1, </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26, </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28, </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Reconsolidation of NCM LLC</w:t>
      </w:r>
    </w:p>
    <w:p>
      <w:pPr>
        <w:pStyle w:val="TextBody"/>
        <w:bidi w:val="0"/>
        <w:spacing w:before="120" w:after="283"/>
        <w:jc w:val="left"/>
        <w:rPr>
          <w:rFonts w:ascii="Times New Roman" w:hAnsi="Times New Roman"/>
          <w:sz w:val="20"/>
        </w:rPr>
      </w:pPr>
      <w:r>
        <w:rPr>
          <w:rFonts w:ascii="Times New Roman" w:hAnsi="Times New Roman"/>
          <w:color w:val="000000"/>
          <w:sz w:val="20"/>
        </w:rPr>
        <w:t>Upon filing the Chapter 11 Case and in accordance with applicable GAAP, the Company concluded that NCM, Inc. no longer controlled NCM LLC for accounting purposes as of April 11, 2023 (the “Petition Date”), the date on which NCM LLC filed its Chapter 11 petition, as NCM LLC was under the control of the Bankruptcy Court, and therefore, NCM LLC was deconsolidated from the Company’s consolidated financial statements prospectively, resulting in a $557.7 million gain recorded in “Gain on deconsolidation of affiliate” in the Consolidated Statement of Operations. The recorded gain was measured as the excess of the estimated fair value of the investment in NCM LLC retained over the Net Liabilities of NCM LLC as of April 11, 2023. The investment of NCM LLC was measured at cost minus any impairment in accordance with the measurement alternative outlined in ASC 321—</w:t>
      </w:r>
      <w:r>
        <w:rPr>
          <w:rFonts w:ascii="Times New Roman" w:hAnsi="Times New Roman"/>
          <w:i/>
          <w:color w:val="000000"/>
          <w:sz w:val="20"/>
        </w:rPr>
        <w:t>Investments—Equity Securities</w:t>
      </w:r>
      <w:r>
        <w:rPr>
          <w:rFonts w:ascii="Times New Roman" w:hAnsi="Times New Roman"/>
          <w:color w:val="000000"/>
          <w:sz w:val="20"/>
        </w:rPr>
        <w:t>. While NCM LLC remained in bankruptcy, NCM, Inc. accounted for the retained equity interest in NCM LLC at cost less impairment, if any, plus or minus changes resulting from observable price changes in orderly market transactions. Upon the deconsolidation of NCM LLC, the original cost of the investment was valued based upon NCM, Inc.'s ownership of the secured debt of NCM LLC and an estimation of the enterprise value of NCM LLC developed utilizing discounted cash flows and comparable company analysis as of the Petition Date. Significant assumptions utilized within these analyses included the weighted average cost of capital and NCM LLC’s forecasted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7, 2023, NCM LLC emerged from bankruptcy and NCM, Inc. contributed $15.0 million in cash to NCM LLC in exchange for 2.8% of additional ownership of NCM LLC in accordance with the NCMI Capital Contribution and $0.5 million to assist with payments to unsecured creditors in accordance with the settlement with the unsecured creditors. NCM, Inc. also issued 83,421,135 shares to the secured creditors in accordance with the NCMI 9019 Settlement and terms of the Plan with a fair value of $245.3 million based on the closing stock price of $2.94. Upon NCM LLC’s emergence from bankruptcy, NCM, Inc. retained 100.0% of NCM LLC, regained control of and reconsolidated NCM LLC.</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accounted for the NCM LLC reconsolidation as a business combination under </w:t>
      </w:r>
      <w:r>
        <w:rPr>
          <w:rFonts w:ascii="Times New Roman" w:hAnsi="Times New Roman"/>
          <w:i/>
          <w:color w:val="000000"/>
          <w:sz w:val="20"/>
        </w:rPr>
        <w:t>ASC 805</w:t>
      </w:r>
      <w:r>
        <w:rPr>
          <w:rFonts w:ascii="Times New Roman" w:hAnsi="Times New Roman"/>
          <w:color w:val="000000"/>
          <w:sz w:val="20"/>
        </w:rPr>
        <w:t>—</w:t>
      </w:r>
      <w:r>
        <w:rPr>
          <w:rFonts w:ascii="Times New Roman" w:hAnsi="Times New Roman"/>
          <w:i/>
          <w:color w:val="000000"/>
          <w:sz w:val="20"/>
        </w:rPr>
        <w:t>Business Combinations</w:t>
      </w:r>
      <w:r>
        <w:rPr>
          <w:rFonts w:ascii="Times New Roman" w:hAnsi="Times New Roman"/>
          <w:color w:val="000000"/>
          <w:sz w:val="20"/>
        </w:rPr>
        <w:t xml:space="preserve"> and accordingly, the purchase price was allocated to the assets acquired and liabilities assumed based on their estimated fair values as of the date of reconsolidation, the Effective Date. The determination of fair values required management to make significant estimates and assumptions.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fair value of NCM LLC and fair values of the assets acquired and liabilities assumed as of the reconsolidation date (in millions):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tbl>
      <w:tblPr>
        <w:tblW w:w="5250" w:type="dxa"/>
        <w:jc w:val="left"/>
        <w:tblInd w:w="0" w:type="dxa"/>
        <w:tblLayout w:type="fixed"/>
        <w:tblCellMar>
          <w:top w:w="28" w:type="dxa"/>
          <w:left w:w="28" w:type="dxa"/>
          <w:bottom w:w="28" w:type="dxa"/>
          <w:right w:w="28" w:type="dxa"/>
        </w:tblCellMar>
      </w:tblPr>
      <w:tblGrid>
        <w:gridCol w:w="3711"/>
        <w:gridCol w:w="146"/>
        <w:gridCol w:w="211"/>
        <w:gridCol w:w="571"/>
        <w:gridCol w:w="611"/>
      </w:tblGrid>
      <w:tr>
        <w:trPr/>
        <w:tc>
          <w:tcPr>
            <w:tcW w:w="3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Receivables, net </w:t>
            </w: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issuance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due to members,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payroll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NCM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a valuation adjustment recorded during the three months ended December 28, 2023 that decreased accounts receivable, net by $0.2 million. There have been no adjustments to the purchase price and fair value estimates presented in the years ended January 1, 2026 and December 26, 2024, and these amounts are final.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identifiable intangible assets of $415.0 million are subject to amortization. The following table summarizes the major classes of intangible assets acquired and their respective weighted-average estimated useful lives (in millions).</w:t>
      </w:r>
    </w:p>
    <w:p>
      <w:pPr>
        <w:pStyle w:val="TextBody"/>
        <w:bidi w:val="0"/>
        <w:jc w:val="left"/>
        <w:rPr/>
      </w:pPr>
      <w:r>
        <w:rPr/>
        <w:t> </w:t>
      </w:r>
    </w:p>
    <w:tbl>
      <w:tblPr>
        <w:tblW w:w="6110" w:type="dxa"/>
        <w:jc w:val="left"/>
        <w:tblInd w:w="0" w:type="dxa"/>
        <w:tblLayout w:type="fixed"/>
        <w:tblCellMar>
          <w:top w:w="28" w:type="dxa"/>
          <w:left w:w="28" w:type="dxa"/>
          <w:bottom w:w="28" w:type="dxa"/>
          <w:right w:w="28" w:type="dxa"/>
        </w:tblCellMar>
      </w:tblPr>
      <w:tblGrid>
        <w:gridCol w:w="2521"/>
        <w:gridCol w:w="146"/>
        <w:gridCol w:w="400"/>
        <w:gridCol w:w="1085"/>
        <w:gridCol w:w="146"/>
        <w:gridCol w:w="146"/>
        <w:gridCol w:w="304"/>
        <w:gridCol w:w="971"/>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Estimated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Useful Life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Exhibitor service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Network affiliates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estimated fair values of the ESAs, network affiliate agreements and trademarks were estimated using the income approach. The multi-period excess earnings method starts with a forecast of all of the expected future net cash flows associated with the asset. The forecasts are then adjusted to present value by applying an appropriate discount rate that reflects the risks associated with the company specific cash flow streams. Significant assumptions utilized within the income approach include the weighted average cost of capital and forecasted cash flows. The estimated fair values of the customer relationships were estimated using the cost approach. The cost approach included estimating the investment required to replace the contracts with customers, with significant assumptions including the replacement cost. The Company elected the practical expedients allowed in ASC 805-20-30-29a in estimating the fair value of the contract liabilities assumed.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NCM LLC’s emergence from the Chapter 11 Case, NCM, Inc. remeasured the value of the investment in NCM LLC to the estimated fair value calculated as NCM, Inc.’s percentage ownership of NCM LLC, due to NCM, Inc.’s ownership of the secured debt of NCM LLC and the NCMI Capital Contribution, multiplied by the fair value of NCM LLC as of the Effective Date of $483.4 million. The value of the cost investment of NCM LLC immediately prior to the Effective Date was $11.9 million based upon NCM, Inc.’s ownership of the secured debt of NCM LLC and an estimation of the enterprise value of NCM LLC developed utilizing discounted cash flows and comparable company analysis as of the Petition Date. The increase in the fair value resulted in a gain on remeasurement of the investment in NCM LLC of $35.5 million during the year ended December 28,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reconsolidation, NCM, Inc. recorded the fair values of the assets acquired and liabilities assumed as of the reconsolidation date and the investment in NCM LLC was further adjusted to the full purchase price value of $483.4 million. The difference between the purchase price of NCM LLC and the fair value of NCM, Inc.’s investment in NCM LLC as calculated above, the $15.5 million of cash contributed by NCM, Inc. (consisting of $0.5 million related to the General Unsecured Claim Pool and $15.0 million under the NCMI Capital Contribution) and the shares issued to NCM LLC’s secured lenders of $245.3 million resulted in a gain of $167.8 million upon the reconsolidation of NCM LLC during the year ended December 28, 2023. The Company recognized a gain due to the variance between the fair value of NCM LLC’s assets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liabilities and NCM, Inc.’s depressed stock price on the Effective Date and the NCM, Inc. shares retained by the existing shareholders as part of the NCMI 9019 Settlement. Prior to the Effective Date, NCM, Inc.’s stock price was negatively impacted beginning with the COVID-19 pandemic followed by Cineworld’s bankruptcy proceeding and NCM LLC’s Chapter 11 Case, as well as by other socioeconomic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Consolidated Statements of Operations include total net revenues and net loss attributable to NCM LLC of $155.1 million and $42.0 million, respectively, for the total of the consolidated periods of December 30, 2022 through April 11, 2023 and August 7, 2023 through December 28, 2023.</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Pro Forma Financial Information (Unaudited) - NCM LLC Reconsolidation</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unaudited pro forma financial information as if the NCM LLC reconsolidation had occurred on December 31, 2021. The unaudited pro forma results reflect adjustments for depreciation of acquired property and equipment, amortization of acquired intangible assets and amortization of acquired debt issuance costs. The unaudited pro forma financial information is presented for informational purposes only and is not necessarily indicative of future operations or results had the NCM LLC reconsolidation been completed as of December 31, 2021 (in millions).</w:t>
      </w:r>
    </w:p>
    <w:p>
      <w:pPr>
        <w:pStyle w:val="TextBody"/>
        <w:bidi w:val="0"/>
        <w:jc w:val="left"/>
        <w:rPr/>
      </w:pPr>
      <w:r>
        <w:rPr/>
        <w:t> </w:t>
      </w:r>
    </w:p>
    <w:tbl>
      <w:tblPr>
        <w:tblW w:w="5240" w:type="dxa"/>
        <w:jc w:val="left"/>
        <w:tblInd w:w="0" w:type="dxa"/>
        <w:tblLayout w:type="fixed"/>
        <w:tblCellMar>
          <w:top w:w="28" w:type="dxa"/>
          <w:left w:w="28" w:type="dxa"/>
          <w:bottom w:w="28" w:type="dxa"/>
          <w:right w:w="28" w:type="dxa"/>
        </w:tblCellMar>
      </w:tblPr>
      <w:tblGrid>
        <w:gridCol w:w="1591"/>
        <w:gridCol w:w="146"/>
        <w:gridCol w:w="376"/>
        <w:gridCol w:w="1124"/>
        <w:gridCol w:w="166"/>
        <w:gridCol w:w="146"/>
        <w:gridCol w:w="403"/>
        <w:gridCol w:w="1097"/>
        <w:gridCol w:w="191"/>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29,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6.</w:t>
      </w:r>
    </w:p>
    <w:p>
      <w:pPr>
        <w:pStyle w:val="TextBody"/>
        <w:bidi w:val="0"/>
        <w:jc w:val="left"/>
        <w:rPr>
          <w:rFonts w:ascii="Times New Roman" w:hAnsi="Times New Roman"/>
          <w:b/>
          <w:color w:val="000000"/>
          <w:sz w:val="20"/>
        </w:rPr>
      </w:pPr>
      <w:r>
        <w:rPr>
          <w:rFonts w:ascii="Times New Roman" w:hAnsi="Times New Roman"/>
          <w:b/>
          <w:color w:val="000000"/>
          <w:sz w:val="20"/>
        </w:rPr>
        <w:t>INTANGIBLE ASSETS</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intangible assets consist of contractual rights to provide its services within the theaters under the ESAs and network affiliates agreements, customer relationships developed and maintained by the Company’s sales force, trademarks held and used by the Company, noncompete agreements acquired and datasets acquired and used by the Company. The intangible assets are stated at their estimated fair values upon the reconsolidation of NCM LLC on August 7, 2023 as further described within Note 5—</w:t>
      </w:r>
      <w:r>
        <w:rPr>
          <w:rFonts w:ascii="Times New Roman" w:hAnsi="Times New Roman"/>
          <w:i/>
          <w:color w:val="000000"/>
          <w:sz w:val="20"/>
        </w:rPr>
        <w:t>Business Combinations,</w:t>
      </w:r>
      <w:r>
        <w:rPr>
          <w:rFonts w:ascii="Times New Roman" w:hAnsi="Times New Roman"/>
          <w:color w:val="000000"/>
          <w:sz w:val="20"/>
        </w:rPr>
        <w:t xml:space="preserve"> net of accumulated amortization. Subsequently acquired intangible assets are recorded at cost, or in the cash of acquisitions, their estimated fair value. The Company records amortization using the straight-line method over the contractual life of the intangibles, corresponding to the term of the ESAs, the average renewable term of the contract with the network affiliates, industry standard lives for customer relationships and trademarks, the contract length for noncompete agreements and for the datasets, to the shorter of the use rights outlined in the contract under which they were acquired and the estimated rate of obsolescence of the datasets' usefulness. In accordance with </w:t>
      </w:r>
      <w:r>
        <w:rPr>
          <w:rFonts w:ascii="Times New Roman" w:hAnsi="Times New Roman"/>
          <w:i/>
          <w:color w:val="000000"/>
          <w:sz w:val="20"/>
        </w:rPr>
        <w:t>ASC 360</w:t>
      </w:r>
      <w:r>
        <w:rPr>
          <w:rFonts w:ascii="Times New Roman" w:hAnsi="Times New Roman"/>
          <w:color w:val="000000"/>
          <w:sz w:val="20"/>
        </w:rPr>
        <w:t>—</w:t>
      </w:r>
      <w:r>
        <w:rPr>
          <w:rFonts w:ascii="Times New Roman" w:hAnsi="Times New Roman"/>
          <w:i/>
          <w:color w:val="000000"/>
          <w:sz w:val="20"/>
        </w:rPr>
        <w:t>Property, Plant and Equipment,</w:t>
      </w:r>
      <w:r>
        <w:rPr>
          <w:rFonts w:ascii="Times New Roman" w:hAnsi="Times New Roman"/>
          <w:color w:val="000000"/>
          <w:sz w:val="20"/>
        </w:rPr>
        <w:t xml:space="preserve"> the Company continuously monitors the performance of the underlying assets for potential triggering events suggesting an impairment review should be performed.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entering into the 2025 AMC Agreement, the Company determined that there was a triggering event for the Company’s intangible asset group, including the amount related to AMC, under ASC 360—Impairment and Disposal of Long-Lived Assets during the quarter ended June 26, 2025. Management estimated future undiscounted cash flows, including the impacts of the new fee structure under the 2025 AMC Agreement, which has been adjusted to be based on the attendance, the operating screens and the revenue generated by the Company through the advertising displayed in AMC's theaters beginning on July 1, 2025, and the increase in the useful life due to the five year extension. The estimated future cash flows calculated within the analysis were well in excess of the net book value of the Company’s intangible assets and no impairment was recorded in the quarter ended June 26, 2025. Such analysis required management to make estimates and assumptions based on historical data and consideration of future market conditions. Actual results may differ from the estimates and assumptions used, or conditions may change, which could result in impairment charges in the future.</w:t>
      </w:r>
    </w:p>
    <w:p>
      <w:pPr>
        <w:pStyle w:val="TextBody"/>
        <w:bidi w:val="0"/>
        <w:spacing w:before="120" w:after="283"/>
        <w:jc w:val="left"/>
        <w:rPr>
          <w:rFonts w:ascii="Times New Roman" w:hAnsi="Times New Roman"/>
          <w:sz w:val="20"/>
        </w:rPr>
      </w:pPr>
      <w:r>
        <w:rPr>
          <w:rFonts w:ascii="Times New Roman" w:hAnsi="Times New Roman"/>
          <w:b/>
          <w:i/>
          <w:color w:val="000000"/>
          <w:sz w:val="20"/>
        </w:rPr>
        <w:t>Common Unit Adjustments—</w:t>
      </w:r>
      <w:r>
        <w:rPr>
          <w:rFonts w:ascii="Times New Roman" w:hAnsi="Times New Roman"/>
          <w:color w:val="000000"/>
          <w:sz w:val="20"/>
        </w:rPr>
        <w:t xml:space="preserve">In accordance with NCM LLC’s Common Unit Adjustment Agreement, on an annual basis NCM LLC determines the amount of common membership units to be issued to or returned by AMC (through April 17, 2025) and Cinemark based on theater additions, new builds or dispositions during the previous year. In addition, NCM LLC’s Common Unit Adjustment Agreement required that a Common Unit Adjustment occur for either AMC or Cinemark if its acquisition or disposition of theaters, in a single transaction or cumulatively since the most recent Common Unit Adjustment, results in an attendance increase or decrease in excess of two percent of the annual total attendance at the prior adjustment date. In the event that the adjustment was negative and either AMC or Cinemark did not have sufficient common membership units to return, the adjustment was satisfied in cash in an amount calculated pursuant to NCM LLC’s Common Unit Adjustment Agreement. Upon the issuance of common membership units, the Company recorded an addition to the intangible asset related to AMC and Cinemark’s respective ESAs equal to the fair market value of NCM, Inc.’s publicly traded stock as of the date on which the common membership units were issued. NCM LLC common membership units are fully convertible into NCM, Inc.’s common stock. Subsequent to April 17, 2025 and in accordance with the AMC Termination Agreement, AMC is no longer a party to the Common Unit Adjustment Agreement and will no longer receive NCM LLC Common Units.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first quarter of 2025, in accordance with the Common Unit Adjustment Agreement, NCM LLC calculated a reduction of common membership units for AMC and Cinemark to be settled on April 2, 2025. Cinemark, who held no membership units, remitted cash to settle the negative common membership unit adjustment. In connection with the Common Unit Adjustment Agreement and the AMC Termination Agreement, AMC returned all of its units and was forgiven any remaining negative common unit adjustment. These transactions resulted in a reduction of the intangible asset of $0.1 million during the year ended January 1, 2026. As of January 1, 2026, AMC and Cinemark held no ownership interest in NCM LLC.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second quarter of 2024, in accordance with the Common Unit Adjustment Agreement, NCM LLC issued 135,473 common membership units to AMC and Cinemark, with a net impact of $0.7 million to the intangible asset. On April 16, 2024, the Company elected to satisfy a redemption request from Cinemark for all of their outstanding common membership units through a cash settlement as provided in NCM LLC’s Operating Agreement. This redemption reduced Cinemark’s ownership interest in NCM LLC to 0.0% as of April 16, 2024 while AMC’s ownership interest was de minimis.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and in connection with the Chapter 11 Case during the year ended December 28, 2023, NCM LLC did not issue common membership units to Cinemark for the rights to exclusive access to the theater screens and attendees added, net of dispositions, to NCM LLC’s network for the 2022 fiscal year and the 16,581,829 units issued to AMC were issued and cancelled on the Effective Date.</w:t>
      </w:r>
    </w:p>
    <w:p>
      <w:pPr>
        <w:pStyle w:val="TextBody"/>
        <w:bidi w:val="0"/>
        <w:spacing w:before="120" w:after="283"/>
        <w:jc w:val="left"/>
        <w:rPr>
          <w:rFonts w:ascii="Times New Roman" w:hAnsi="Times New Roman"/>
          <w:sz w:val="20"/>
        </w:rPr>
      </w:pPr>
      <w:r>
        <w:rPr>
          <w:rFonts w:ascii="Times New Roman" w:hAnsi="Times New Roman"/>
          <w:b/>
          <w:i/>
          <w:color w:val="000000"/>
          <w:sz w:val="20"/>
        </w:rPr>
        <w:t>Integration Payments and Other Encumbered Theater Payments—</w:t>
      </w:r>
      <w:r>
        <w:rPr>
          <w:rFonts w:ascii="Times New Roman" w:hAnsi="Times New Roman"/>
          <w:color w:val="000000"/>
          <w:sz w:val="20"/>
        </w:rPr>
        <w:t>If an existing on-screen advertising agreement with an alternative provider is in place with respect to any Encumbered Theaters, the applicable ESA party, AMC (through April 17, 2025) or Cinemark, may elect to receive common membership units related to those Encumbered Theaters in connection with the Common Unit Adjustment. If the ESA party makes this election, then they are required to make payments on a quarterly basis in arrears in accordance with certain run-out provisions pursuant to the ESAs (“integration payments”). Integration payments were calculated based upon the advertising cash flow that the Company would have generated if it had exclusive access to sell advertising in the theaters with pre-existing advertising agreements. The ESAs with AMC and Cinemark additionally entitle NCM LLC to payments related to their on-screen advertising commitments under their beverage concessionaire agreements for Encumbered Theaters. The encumbered beverage payments are also accounted for as a reduction to the intangible asset related to the ESAs. Given that the Carmike Cinemas, Inc. (“Carmike”) theaters acquired by AMC are subject to an existing on-screen advertising agreement with an alternative provider, AMC made integration payments and encumbered beverage payments to NCM LLC prior to the 2025 AMC Agreement. Upon the effectiveness of the 2025 AMC Agreement, and assuming the opt out provision is not exercised, AMC is no longer required to make integration payments. In addition, the $10.6 million in accrued integration payments owed by AMC was forgiven in conjunction with the negotiations. The Company recorded the forgiveness of the receivable as an increase to the ESA Party intangible asset, during the quarter ended June 26, 2025, in accordance with the lease modification guidance outlined in ASC 842—</w:t>
      </w:r>
      <w:r>
        <w:rPr>
          <w:rFonts w:ascii="Times New Roman" w:hAnsi="Times New Roman"/>
          <w:i/>
          <w:color w:val="000000"/>
          <w:sz w:val="20"/>
        </w:rPr>
        <w:t>Leases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the Company’s intangible asset’s activity (in millions) during January 1, 2026 and December 26,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28"/>
        <w:gridCol w:w="146"/>
        <w:gridCol w:w="268"/>
        <w:gridCol w:w="729"/>
        <w:gridCol w:w="166"/>
        <w:gridCol w:w="146"/>
        <w:gridCol w:w="379"/>
        <w:gridCol w:w="649"/>
        <w:gridCol w:w="146"/>
        <w:gridCol w:w="146"/>
        <w:gridCol w:w="311"/>
        <w:gridCol w:w="779"/>
        <w:gridCol w:w="166"/>
        <w:gridCol w:w="146"/>
        <w:gridCol w:w="309"/>
        <w:gridCol w:w="772"/>
        <w:gridCol w:w="166"/>
        <w:gridCol w:w="146"/>
        <w:gridCol w:w="340"/>
        <w:gridCol w:w="682"/>
        <w:gridCol w:w="166"/>
        <w:gridCol w:w="146"/>
        <w:gridCol w:w="231"/>
        <w:gridCol w:w="625"/>
        <w:gridCol w:w="417"/>
      </w:tblGrid>
      <w:tr>
        <w:trPr/>
        <w:tc>
          <w:tcPr>
            <w:tcW w:w="2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20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December 26,</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Additions</w:t>
            </w:r>
            <w:r>
              <w:rPr>
                <w:rFonts w:ascii="Times New Roman" w:hAnsi="Times New Roman"/>
                <w:color w:val="000000"/>
                <w:sz w:val="16"/>
              </w:rPr>
              <w:t> </w:t>
            </w:r>
            <w:r>
              <w:rPr>
                <w:rFonts w:ascii="Times New Roman" w:hAnsi="Times New Roman"/>
                <w:b/>
                <w:i/>
                <w:color w:val="000000"/>
                <w:sz w:val="16"/>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Disposals </w:t>
            </w:r>
            <w:r>
              <w:rPr>
                <w:rFonts w:ascii="Times New Roman" w:hAnsi="Times New Roman"/>
                <w:b/>
                <w:i/>
                <w:color w:val="000000"/>
                <w:sz w:val="16"/>
              </w:rPr>
              <w:t>(2)</w:t>
            </w:r>
            <w:r>
              <w:rPr>
                <w:rFonts w:ascii="Times New Roman" w:hAnsi="Times New Roman"/>
                <w:b/>
                <w:color w:val="000000"/>
                <w:sz w:val="16"/>
              </w:rPr>
              <w:t>,</w:t>
            </w:r>
            <w:r>
              <w:rPr>
                <w:rFonts w:ascii="Times New Roman" w:hAnsi="Times New Roman"/>
                <w:b/>
                <w:i/>
                <w:color w:val="000000"/>
                <w:sz w:val="16"/>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Integration</w:t>
              <w:br/>
              <w:t>and other</w:t>
              <w:br/>
              <w:t>encumbered</w:t>
              <w:br/>
              <w:t>theater</w:t>
              <w:br/>
              <w:t xml:space="preserve">payments </w:t>
            </w:r>
            <w:r>
              <w:rPr>
                <w:rFonts w:ascii="Times New Roman" w:hAnsi="Times New Roman"/>
                <w:b/>
                <w:i/>
                <w:color w:val="000000"/>
                <w:sz w:val="16"/>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January 1,</w:t>
              <w:br/>
              <w:t>2026</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carrying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93"/>
        <w:gridCol w:w="146"/>
        <w:gridCol w:w="277"/>
        <w:gridCol w:w="754"/>
        <w:gridCol w:w="166"/>
        <w:gridCol w:w="146"/>
        <w:gridCol w:w="364"/>
        <w:gridCol w:w="626"/>
        <w:gridCol w:w="146"/>
        <w:gridCol w:w="146"/>
        <w:gridCol w:w="290"/>
        <w:gridCol w:w="476"/>
        <w:gridCol w:w="146"/>
        <w:gridCol w:w="146"/>
        <w:gridCol w:w="309"/>
        <w:gridCol w:w="772"/>
        <w:gridCol w:w="166"/>
        <w:gridCol w:w="146"/>
        <w:gridCol w:w="343"/>
        <w:gridCol w:w="689"/>
        <w:gridCol w:w="166"/>
        <w:gridCol w:w="146"/>
        <w:gridCol w:w="277"/>
        <w:gridCol w:w="754"/>
        <w:gridCol w:w="415"/>
      </w:tblGrid>
      <w:tr>
        <w:trPr/>
        <w:tc>
          <w:tcPr>
            <w:tcW w:w="21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December 28,</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Additions </w:t>
            </w:r>
            <w:r>
              <w:rPr>
                <w:rFonts w:ascii="Times New Roman" w:hAnsi="Times New Roman"/>
                <w:b/>
                <w:i/>
                <w:color w:val="000000"/>
                <w:sz w:val="16"/>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Disposals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Integration</w:t>
              <w:br/>
              <w:t>and other</w:t>
              <w:br/>
              <w:t>encumbered</w:t>
              <w:br/>
              <w:t>theater</w:t>
              <w:br/>
              <w:t xml:space="preserve">payments </w:t>
            </w:r>
            <w:r>
              <w:rPr>
                <w:rFonts w:ascii="Times New Roman" w:hAnsi="Times New Roman"/>
                <w:b/>
                <w:i/>
                <w:color w:val="000000"/>
                <w:sz w:val="16"/>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December 26,</w:t>
              <w:br/>
              <w:t>2024</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carrying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403.6</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left"/>
        <w:rPr/>
      </w:pPr>
      <w:r>
        <w:rPr>
          <w:rFonts w:ascii="Times New Roman" w:hAnsi="Times New Roman"/>
          <w:color w:val="000000"/>
          <w:sz w:val="20"/>
        </w:rPr>
        <w:t>The additions to the Company's intangible assets during 2025 are due to (1) $5.4</w:t>
      </w:r>
      <w:r>
        <w:rPr>
          <w:color w:val="000000"/>
        </w:rPr>
        <w:t xml:space="preserve"> </w:t>
      </w:r>
      <w:r>
        <w:rPr>
          <w:rFonts w:ascii="Times New Roman" w:hAnsi="Times New Roman"/>
          <w:color w:val="000000"/>
          <w:sz w:val="20"/>
        </w:rPr>
        <w:t>million in intangible assets recognized in conjunction with the purchase of Spotlight in the fourth quarter of 2025 as discussed further within Note 5—Business Combinations, (2) $0.4</w:t>
      </w:r>
      <w:r>
        <w:rPr>
          <w:color w:val="000000"/>
        </w:rPr>
        <w:t xml:space="preserve"> </w:t>
      </w:r>
      <w:r>
        <w:rPr>
          <w:rFonts w:ascii="Times New Roman" w:hAnsi="Times New Roman"/>
          <w:color w:val="000000"/>
          <w:sz w:val="20"/>
        </w:rPr>
        <w:t>million related to the acquisition of datasets and (3) $0.4</w:t>
      </w:r>
      <w:r>
        <w:rPr>
          <w:color w:val="000000"/>
        </w:rPr>
        <w:t xml:space="preserve"> </w:t>
      </w:r>
      <w:r>
        <w:rPr>
          <w:rFonts w:ascii="Times New Roman" w:hAnsi="Times New Roman"/>
          <w:color w:val="000000"/>
          <w:sz w:val="20"/>
        </w:rPr>
        <w:t>million related to costs incurred to extend the useful life of the Company's intangible asset related to the ESA Parties by 5</w:t>
      </w:r>
      <w:r>
        <w:rPr>
          <w:color w:val="000000"/>
        </w:rPr>
        <w:t xml:space="preserve"> </w:t>
      </w:r>
      <w:r>
        <w:rPr>
          <w:rFonts w:ascii="Times New Roman" w:hAnsi="Times New Roman"/>
          <w:color w:val="000000"/>
          <w:sz w:val="20"/>
        </w:rPr>
        <w:t>years through the 2025 AMC Agreement.</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quarter of 2025, in accordance with the Common Unit Adjustment Agreement, NCM LLC calculated a reduction of common membership units for AMC and Cinemark to be settled on April 2, 2025. Cinemark, who held no membership units, remitted cash to settle the negative common membership unit adjustment. In connection with the Common Unit Adjustment Agreement and the AMC Termination Agreement, AMC returned all of its units and was forgiven any remaining negative common unit adjustment. These transactions resulted in a reduction of the intangible asset of $0.1 million during the year ended January 1, 2026. As of January 1, 2026, AMC and Cinemark held no ownership interest in NCM LLC.</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second quarter of 2025, the Company and AMC entered into the 2025 AMC Agreement and the AMC Termination Agreement. As a result of the agreements, NCM LLC released $24.8 million of the 'Payable under the TRA' and reversed the receivables from AMC totaling $10.6 million within 'Amounts due from ESA Parties' on the Company's audited Consolidated Balance Sheet. The net impact of these reversals was recorded as a $14.2 million reduction to the 'Intangible Assets, net of accumulated amortization' as AMC's forfeiture of this net payable was considered akin to a lease incentive. Refer to Note 9—Related Party Transactions for additional detail surrounding the agreements.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Carmike had pre-existing advertising agreements for some of the theaters it owned prior to their acquisitions by AMC. As a result, AMC made integration and other encumbered theater payments over the remaining term of those agreements until the AMC Termination Agreement became effective on July 1, 2025. For the year ended January 1, 2026 and December 26, 2024, NCM LLC recorded a reduction to net intangible assets of $0.6 million and $6.4 million, respectively, related to integration and other encumbered theater payments due from AMC. During the year ended January 1, 2026 and December 26, 2024, AMC and Cinemark paid a total of $0.8 million and $1.2 million, respectively, related to integration and other encumbered theater payments.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quarter ended June 27, 2024, in accordance with the Common Unit Adjustment Agreement, NCM LLC issued 135,473 common membership units to AMC and Cinemark, with a net impact of $0.7 million to the intangible asset.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January 1, 2026 and December 26, 2024, the Company’s intangible assets related to the ESA Parties, net of accumulated amortization, was $186.8 million and $212.3 million, respectively, with weighted average remaining lives of 15.1 years and 11.6 years, respectively.</w:t>
      </w:r>
    </w:p>
    <w:p>
      <w:pPr>
        <w:pStyle w:val="TextBody"/>
        <w:bidi w:val="0"/>
        <w:spacing w:before="120" w:after="283"/>
        <w:jc w:val="left"/>
        <w:rPr>
          <w:rFonts w:ascii="Times New Roman" w:hAnsi="Times New Roman"/>
          <w:sz w:val="20"/>
        </w:rPr>
      </w:pPr>
      <w:r>
        <w:rPr>
          <w:rFonts w:ascii="Times New Roman" w:hAnsi="Times New Roman"/>
          <w:color w:val="000000"/>
          <w:sz w:val="20"/>
        </w:rPr>
        <w:t>As of January 1, 2026 and December 26, 2024, the Company’s intangible assets related to the network affiliates, net of accumulated amortization, was $63.8 million and $68.5 million, respectively, with weighted average remaining lives of 13.6</w:t>
      </w:r>
      <w:r>
        <w:rPr>
          <w:rFonts w:ascii="Times New Roman" w:hAnsi="Times New Roman"/>
          <w:color w:val="FF0000"/>
          <w:sz w:val="20"/>
        </w:rPr>
        <w:t xml:space="preserve"> </w:t>
      </w:r>
      <w:r>
        <w:rPr>
          <w:rFonts w:ascii="Times New Roman" w:hAnsi="Times New Roman"/>
          <w:color w:val="000000"/>
          <w:sz w:val="20"/>
        </w:rPr>
        <w:t>years and 14.6 years,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January 1, 2026 and December 26, 2024, the Company’s intangible assets related to the customer relationships, net of accumulated amortization, was $45.1 million and $57.6 million, respectively, with weighted average remaining lives of 3.6 years and 4.6 years,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January 1, 2026 and December 26, 2024, the Company’s intangible assets related to trademark, net of accumulated amortization, was $10.5 million and $12.4 million, respectively, with weighted average remaining lives of 5.6 years and 6.6 years,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January 1, 2026, the Company’s intangible assets related to the datasets, net of accumulated amortization, was $0.3 million, respectively, with weighted average remaining lives of 1.8 years. This asset was obtained during the quarter ended June 26,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January 1, 2026, the Company’s intangible assets related to the Spotlight exhibitors, net of accumulated amortization, was $4.7 million, respectively, with weighted average remaining lives of 11.9 years. This asset was obtained during the quarter ended January 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January 1, 2026, the Company’s intangible assets related to noncompetition agreements, net of accumulated amortization, was $0.4 million, respectively, with weighted average remaining lives of 4.9 years. This asset was obtained during the quarter ended January 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January 1, 2026, the Company’s intangible assets related to the trade name - Spotlight, net of accumulated amortization, was $0.3 million, respectively, with weighted average remaining lives of 7.9 years. This asset was obtained during the quarter ended January 1, 2026.</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estimated aggregate amortization expense for each of the five succeeding years is as follows (in millions):</w:t>
      </w:r>
    </w:p>
    <w:p>
      <w:pPr>
        <w:pStyle w:val="TextBody"/>
        <w:bidi w:val="0"/>
        <w:jc w:val="left"/>
        <w:rPr/>
      </w:pPr>
      <w:r>
        <w:rPr/>
        <w:t> </w:t>
      </w:r>
    </w:p>
    <w:tbl>
      <w:tblPr>
        <w:tblW w:w="2364" w:type="dxa"/>
        <w:jc w:val="left"/>
        <w:tblInd w:w="0" w:type="dxa"/>
        <w:tblLayout w:type="fixed"/>
        <w:tblCellMar>
          <w:top w:w="28" w:type="dxa"/>
          <w:left w:w="28" w:type="dxa"/>
          <w:bottom w:w="28" w:type="dxa"/>
          <w:right w:w="28" w:type="dxa"/>
        </w:tblCellMar>
      </w:tblPr>
      <w:tblGrid>
        <w:gridCol w:w="946"/>
        <w:gridCol w:w="146"/>
        <w:gridCol w:w="291"/>
        <w:gridCol w:w="790"/>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7.</w:t>
      </w:r>
    </w:p>
    <w:p>
      <w:pPr>
        <w:pStyle w:val="TextBody"/>
        <w:bidi w:val="0"/>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taxation in the U.S. and various states. The Company’s tax returns for the calendar years 2022 through 2024 remain open to examination by the IRS in their entirety. With respect to state taxing jurisdictions, the Company’s tax returns for calendar years ended 2021 through 2024, in general are eligible for examination by various state revenue services.</w:t>
      </w:r>
    </w:p>
    <w:p>
      <w:pPr>
        <w:pStyle w:val="TextBody"/>
        <w:bidi w:val="0"/>
        <w:spacing w:before="120" w:after="283"/>
        <w:jc w:val="left"/>
        <w:rPr>
          <w:rFonts w:ascii="Times New Roman" w:hAnsi="Times New Roman"/>
          <w:sz w:val="20"/>
        </w:rPr>
      </w:pPr>
      <w:r>
        <w:rPr>
          <w:rFonts w:ascii="Times New Roman" w:hAnsi="Times New Roman"/>
          <w:b/>
          <w:i/>
          <w:color w:val="000000"/>
          <w:sz w:val="20"/>
        </w:rPr>
        <w:t>Recently enacted tax legislation</w:t>
      </w:r>
      <w:r>
        <w:rPr>
          <w:rFonts w:ascii="Times New Roman" w:hAnsi="Times New Roman"/>
          <w:color w:val="000000"/>
          <w:sz w:val="20"/>
        </w:rPr>
        <w:t>—On July 4, 2025, the U.S. enacted H.R. 1 "A bill to provide for reconciliation pursuant to Title II of H. Con. Res. 14", commonly referred to as the One Big Beautiful Bill Act (OBBBA). The Company continues to maintain a full valuation allowance on its net deferred tax assets and this new legislation did not have a material impact on the Company.</w:t>
      </w:r>
    </w:p>
    <w:p>
      <w:pPr>
        <w:pStyle w:val="TextBody"/>
        <w:bidi w:val="0"/>
        <w:spacing w:before="120" w:after="283"/>
        <w:jc w:val="left"/>
        <w:rPr>
          <w:rFonts w:ascii="Times New Roman" w:hAnsi="Times New Roman"/>
          <w:sz w:val="20"/>
        </w:rPr>
      </w:pPr>
      <w:r>
        <w:rPr>
          <w:rFonts w:ascii="Times New Roman" w:hAnsi="Times New Roman"/>
          <w:b/>
          <w:i/>
          <w:color w:val="000000"/>
          <w:sz w:val="20"/>
        </w:rPr>
        <w:t>Tax Receivable Agreement</w:t>
      </w:r>
      <w:r>
        <w:rPr>
          <w:rFonts w:ascii="Times New Roman" w:hAnsi="Times New Roman"/>
          <w:color w:val="000000"/>
          <w:sz w:val="20"/>
        </w:rPr>
        <w:t xml:space="preserve">—On the IPO date, NCM, Inc. and the ESA Parties entered into a TRA. Under the terms of this agreement, NCM, Inc. will make cash payments to the ESA Parties in amounts equal to 90% of NCM, Inc.’s actual tax benefit realized from the tax amortization of the intangible assets described below. For purposes of the TRA, cash savings in income and franchise tax will be computed by comparing NCM, Inc.’s actual income and franchise tax liability to the amount of such taxes that NCM, Inc. would have been required to pay had there been no increase in NCM, Inc.’s proportionate share of tax basis in NCM LLC’s tangible and intangible assets and had the TRA not been entered into. The TRA applies to NCM, Inc.’s taxable years up to and including the 30th anniversary date of the offering. For the 2023 tax year, the Company paid the ESA Parties $0.0 million in the year ended December 26, 2024. For the 2024 tax year, the Company paid $1.3 million in 2025 and expects to pay an additional $0.8 million in 2026 to Cinemark. For the 2025 tax year, the Company expects to pay $2.1 million in 2026 to Cinemark. </w:t>
      </w:r>
    </w:p>
    <w:p>
      <w:pPr>
        <w:pStyle w:val="TextBody"/>
        <w:bidi w:val="0"/>
        <w:spacing w:before="120" w:after="283"/>
        <w:jc w:val="left"/>
        <w:rPr>
          <w:rFonts w:ascii="Times New Roman" w:hAnsi="Times New Roman"/>
          <w:sz w:val="20"/>
        </w:rPr>
      </w:pPr>
      <w:r>
        <w:rPr>
          <w:rFonts w:ascii="Times New Roman" w:hAnsi="Times New Roman"/>
          <w:color w:val="000000"/>
          <w:sz w:val="20"/>
        </w:rPr>
        <w:t>NCM, Inc. recorded a long-term payable to the ESA Parties related to the TRA. The Company recorded a decrease of $30.2 million and an increase of $4.2 million to the “Payable to ESA Parties under the tax receivable agreement” during the years ended January 1, 2026 and December 26, 2024, respectively. The decrease in the payable under the TRA during the year ended January 1, 2026 was driven primarily by: 1) a decrease of $3.7 million due to differences between the Company's actual and projected performance and future projected performance as recorded within '(Gain) loss on re-measurement of the payable under the tax receivable agreement' on the audited Consolidated Statement of Operations and 2) in accordance with the AMC Termination Agreement, AMC waived all rights and interests as to the TRA and the Company reduced the 'Payable under the TRA' on the audited Consolidated Balance Sheets for the amounts recorded associated with AMC of $24.8 million. The cancellation of this payable was considered akin to a lease incentive related to the modification of the short-term operating lease of AMC's screens under ASC 842—</w:t>
      </w:r>
      <w:r>
        <w:rPr>
          <w:rFonts w:ascii="Times New Roman" w:hAnsi="Times New Roman"/>
          <w:i/>
          <w:color w:val="000000"/>
          <w:sz w:val="20"/>
        </w:rPr>
        <w:t>Leases</w:t>
      </w:r>
      <w:r>
        <w:rPr>
          <w:rFonts w:ascii="Times New Roman" w:hAnsi="Times New Roman"/>
          <w:color w:val="000000"/>
          <w:sz w:val="20"/>
        </w:rPr>
        <w:t xml:space="preserve"> and it was recorded against the intangible asset for the ESA Parties upon the effectiveness of the AMC Termination Agreement within the year ended January 1, 2026. The adjustment will reduce amortization expense of the intangible over the remainder of its useful life, which is considered akin to lease expense. The increase in the payable under the TRA during the year ended December 26, 2024 was driven primarily by a change in calculation methodology to also include forecasted book income for the next two years in addition to the current year, due to management’s ability to more accurately forecast following the conclusion of the COVID-19 pandemic. The increase in the year ended December 28, 2023 was primarily due to the increase in NCM, Inc.’s ownership percentage of NCM LLC. The ownership related changes to the “Payable to ESA Parties under the tax receivable agreement” were recorded within “Additional paid in capital” on the Consolidated Balance Sheet and the non-ownership related changes were recorded within “Non-operating income” within the Consolidated Statements of Operations. For the year ended December 28, 2023, following the Regal Termination Agreement whereby Regal waived all rights and interests as to the TRA, the Company reduced the “Payable under the TRA” on the Consolidated Balance Sheets for the amounts expected to be owed to Regal. This decrease was ultimately offset by the increase in the ‘Payable under the TRA’ on the Consolidated Balance Sheets due to the additional basis created upon the revaluation and reconsolidation of NCM LLC on the Effective Date.</w:t>
      </w:r>
    </w:p>
    <w:p>
      <w:pPr>
        <w:pStyle w:val="TextBody"/>
        <w:bidi w:val="0"/>
        <w:spacing w:before="120" w:after="120"/>
        <w:jc w:val="left"/>
        <w:rPr>
          <w:rFonts w:ascii="Times New Roman" w:hAnsi="Times New Roman"/>
          <w:sz w:val="20"/>
        </w:rPr>
      </w:pPr>
      <w:r>
        <w:rPr>
          <w:rFonts w:ascii="Times New Roman" w:hAnsi="Times New Roman"/>
          <w:b/>
          <w:i/>
          <w:color w:val="000000"/>
          <w:sz w:val="20"/>
        </w:rPr>
        <w:t>Provision for Income Taxes</w:t>
      </w:r>
      <w:r>
        <w:rPr>
          <w:rFonts w:ascii="Times New Roman" w:hAnsi="Times New Roman"/>
          <w:color w:val="000000"/>
          <w:sz w:val="20"/>
        </w:rPr>
        <w:t>—The Company's total income taxes are as follows (in millions).</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tbl>
      <w:tblPr>
        <w:tblW w:w="10205" w:type="dxa"/>
        <w:jc w:val="left"/>
        <w:tblInd w:w="0" w:type="dxa"/>
        <w:tblLayout w:type="fixed"/>
        <w:tblCellMar>
          <w:top w:w="28" w:type="dxa"/>
          <w:left w:w="28" w:type="dxa"/>
          <w:bottom w:w="28" w:type="dxa"/>
          <w:right w:w="28" w:type="dxa"/>
        </w:tblCellMar>
      </w:tblPr>
      <w:tblGrid>
        <w:gridCol w:w="5501"/>
        <w:gridCol w:w="146"/>
        <w:gridCol w:w="353"/>
        <w:gridCol w:w="580"/>
        <w:gridCol w:w="146"/>
        <w:gridCol w:w="146"/>
        <w:gridCol w:w="413"/>
        <w:gridCol w:w="711"/>
        <w:gridCol w:w="146"/>
        <w:gridCol w:w="146"/>
        <w:gridCol w:w="424"/>
        <w:gridCol w:w="700"/>
        <w:gridCol w:w="793"/>
      </w:tblGrid>
      <w:tr>
        <w:trPr/>
        <w:tc>
          <w:tcPr>
            <w:tcW w:w="5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5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January 1,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26, </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28, </w:t>
              <w:br/>
              <w:t>2023</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State </w:t>
            </w:r>
            <w:r>
              <w:rPr>
                <w:rFonts w:ascii="Times New Roman" w:hAnsi="Times New Roman"/>
                <w:i/>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5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5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deferred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tax provision on Consolidated Statements of Operation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majority of the current income tax expense relates to taxes in Colorado, California and New Jersey for the year ended December 26,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reconciliation of the provision for income taxes as reported and the amount computed by multiplying income before taxes, less noncontrolling interest, by the U.S. federal statutory rate of 21.0% as of January 1, 2026, December 26, 2024 and December 28, 2023 was (in millions):</w:t>
      </w:r>
    </w:p>
    <w:p>
      <w:pPr>
        <w:pStyle w:val="TextBody"/>
        <w:bidi w:val="0"/>
        <w:spacing w:before="120" w:after="283"/>
        <w:jc w:val="left"/>
        <w:rPr/>
      </w:pPr>
      <w:r>
        <w:rPr/>
        <w:t> </w:t>
      </w:r>
    </w:p>
    <w:tbl>
      <w:tblPr>
        <w:tblW w:w="7939" w:type="dxa"/>
        <w:jc w:val="left"/>
        <w:tblInd w:w="0" w:type="dxa"/>
        <w:tblLayout w:type="fixed"/>
        <w:tblCellMar>
          <w:top w:w="28" w:type="dxa"/>
          <w:left w:w="28" w:type="dxa"/>
          <w:bottom w:w="28" w:type="dxa"/>
          <w:right w:w="28" w:type="dxa"/>
        </w:tblCellMar>
      </w:tblPr>
      <w:tblGrid>
        <w:gridCol w:w="5051"/>
        <w:gridCol w:w="146"/>
        <w:gridCol w:w="211"/>
        <w:gridCol w:w="526"/>
        <w:gridCol w:w="166"/>
        <w:gridCol w:w="146"/>
        <w:gridCol w:w="146"/>
        <w:gridCol w:w="631"/>
        <w:gridCol w:w="916"/>
      </w:tblGrid>
      <w:tr>
        <w:trPr/>
        <w:tc>
          <w:tcPr>
            <w:tcW w:w="5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5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 2026</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calculated at federal statutory income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50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attributable to NCM,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 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Nontaxable and nondeductible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Executive compensation limitation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Deemed payment on write-off of affiliate assets </w:t>
            </w: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Excess tax deficiency on share-based compensation pay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Change in the valuation allowance </w:t>
            </w:r>
            <w:r>
              <w:rPr>
                <w:rFonts w:ascii="Times New Roman" w:hAnsi="Times New Roman"/>
                <w:i/>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Projected executive compensation limitations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 state and local income taxes, net of federal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0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pBdr>
          <w:bottom w:val="single" w:sz="6" w:space="1" w:color="000000"/>
        </w:pBdr>
        <w:bidi w:val="0"/>
        <w:jc w:val="left"/>
        <w:rPr/>
      </w:pPr>
      <w:r>
        <w:rPr/>
        <w:t> </w:t>
      </w:r>
    </w:p>
    <w:p>
      <w:pPr>
        <w:pStyle w:val="TextBody"/>
        <w:bidi w:val="0"/>
        <w:spacing w:before="60" w:after="120"/>
        <w:jc w:val="left"/>
        <w:rPr>
          <w:rFonts w:ascii="Times New Roman" w:hAnsi="Times New Roman"/>
          <w:i/>
          <w:color w:val="000000"/>
          <w:sz w:val="20"/>
        </w:rPr>
      </w:pPr>
      <w:r>
        <w:rPr>
          <w:rFonts w:ascii="Times New Roman" w:hAnsi="Times New Roman"/>
          <w:i/>
          <w:color w:val="000000"/>
          <w:sz w:val="20"/>
        </w:rPr>
        <w:t>(1)</w:t>
      </w:r>
    </w:p>
    <w:p>
      <w:pPr>
        <w:pStyle w:val="TextBody"/>
        <w:bidi w:val="0"/>
        <w:spacing w:before="60" w:after="120"/>
        <w:jc w:val="left"/>
        <w:rPr/>
      </w:pPr>
      <w:r>
        <w:rPr>
          <w:rFonts w:ascii="Times New Roman" w:hAnsi="Times New Roman"/>
          <w:color w:val="000000"/>
          <w:sz w:val="20"/>
        </w:rPr>
        <w:t>This relates to the change in the provision for income taxes following the 2025 AMC Agreement, driven by the treatment of the write-off of AMC related tax assets as in substance cash payments</w:t>
      </w:r>
      <w:r>
        <w:rPr>
          <w:rFonts w:ascii="Aptos;sans-serif" w:hAnsi="Aptos;sans-serif"/>
          <w:color w:val="000000"/>
          <w:sz w:val="24"/>
        </w:rPr>
        <w:t>.</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Refer to the discussion of changes to the valuation allowance during the year ended January 1, 2026 within the Deferred Tax Assets table below.</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tbl>
      <w:tblPr>
        <w:tblW w:w="7789" w:type="dxa"/>
        <w:jc w:val="left"/>
        <w:tblInd w:w="0" w:type="dxa"/>
        <w:tblLayout w:type="fixed"/>
        <w:tblCellMar>
          <w:top w:w="28" w:type="dxa"/>
          <w:left w:w="28" w:type="dxa"/>
          <w:bottom w:w="28" w:type="dxa"/>
          <w:right w:w="28" w:type="dxa"/>
        </w:tblCellMar>
      </w:tblPr>
      <w:tblGrid>
        <w:gridCol w:w="5111"/>
        <w:gridCol w:w="146"/>
        <w:gridCol w:w="211"/>
        <w:gridCol w:w="421"/>
        <w:gridCol w:w="166"/>
        <w:gridCol w:w="146"/>
        <w:gridCol w:w="146"/>
        <w:gridCol w:w="526"/>
        <w:gridCol w:w="916"/>
      </w:tblGrid>
      <w:tr>
        <w:trPr/>
        <w:tc>
          <w:tcPr>
            <w:tcW w:w="5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26, 2024</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calculated at federal statutory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attributable to NCM,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 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Nontaxable and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Executive compensation limitation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Excess tax deficiency on share-based compensation pay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Dividend equivalents paid on 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Change in the valuation allowance </w:t>
            </w: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Projected executive compensation limitations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 state and local income taxes, net of federal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1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60" w:after="120"/>
        <w:jc w:val="left"/>
        <w:rPr>
          <w:rFonts w:ascii="Times New Roman" w:hAnsi="Times New Roman"/>
          <w:i/>
          <w:color w:val="000000"/>
          <w:sz w:val="20"/>
        </w:rPr>
      </w:pPr>
      <w:r>
        <w:rPr>
          <w:rFonts w:ascii="Times New Roman" w:hAnsi="Times New Roman"/>
          <w:i/>
          <w:color w:val="000000"/>
          <w:sz w:val="20"/>
        </w:rPr>
        <w:t>(1)</w:t>
      </w:r>
    </w:p>
    <w:p>
      <w:pPr>
        <w:pStyle w:val="TextBody"/>
        <w:bidi w:val="0"/>
        <w:spacing w:before="60" w:after="120"/>
        <w:jc w:val="left"/>
        <w:rPr>
          <w:rFonts w:ascii="Times New Roman" w:hAnsi="Times New Roman"/>
          <w:color w:val="000000"/>
          <w:sz w:val="20"/>
        </w:rPr>
      </w:pPr>
      <w:r>
        <w:rPr>
          <w:rFonts w:ascii="Times New Roman" w:hAnsi="Times New Roman"/>
          <w:color w:val="000000"/>
          <w:sz w:val="20"/>
        </w:rPr>
        <w:t>Refer to the discussion of changes to the valuation allowance during the year ended December 26, 2024 within the Deferred Tax Assets table below.</w:t>
      </w:r>
    </w:p>
    <w:tbl>
      <w:tblPr>
        <w:tblW w:w="7203" w:type="dxa"/>
        <w:jc w:val="left"/>
        <w:tblInd w:w="0" w:type="dxa"/>
        <w:tblLayout w:type="fixed"/>
        <w:tblCellMar>
          <w:top w:w="28" w:type="dxa"/>
          <w:left w:w="28" w:type="dxa"/>
          <w:bottom w:w="28" w:type="dxa"/>
          <w:right w:w="28" w:type="dxa"/>
        </w:tblCellMar>
      </w:tblPr>
      <w:tblGrid>
        <w:gridCol w:w="4746"/>
        <w:gridCol w:w="146"/>
        <w:gridCol w:w="375"/>
        <w:gridCol w:w="1125"/>
        <w:gridCol w:w="811"/>
      </w:tblGrid>
      <w:tr>
        <w:trPr/>
        <w:tc>
          <w:tcPr>
            <w:tcW w:w="4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calculated at federal statutory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attributable to NCM,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year change to enacted federal and state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 and local income taxes, net of federal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Cancellation of debt income attributable to NCM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Deconsolidation effects of NCM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Effects of NCM LLC Bankruptcy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Tax attribute reduction </w:t>
            </w: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Change in valuation allowance </w:t>
            </w:r>
            <w:r>
              <w:rPr>
                <w:rFonts w:ascii="Times New Roman" w:hAnsi="Times New Roman"/>
                <w:i/>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Executive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6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Refer to the discussion of changes to the valuation allowance during the year ended December 28, 2023 within the Deferred Tax Assets table below.</w:t>
      </w:r>
    </w:p>
    <w:p>
      <w:pPr>
        <w:pStyle w:val="TextBody"/>
        <w:bidi w:val="0"/>
        <w:spacing w:before="120" w:after="283"/>
        <w:jc w:val="left"/>
        <w:rPr>
          <w:rFonts w:ascii="Times New Roman" w:hAnsi="Times New Roman"/>
          <w:sz w:val="20"/>
        </w:rPr>
      </w:pPr>
      <w:r>
        <w:rPr>
          <w:rFonts w:ascii="Times New Roman" w:hAnsi="Times New Roman"/>
          <w:b/>
          <w:i/>
          <w:color w:val="000000"/>
          <w:sz w:val="20"/>
        </w:rPr>
        <w:t>Deferred Tax Assets</w:t>
      </w:r>
      <w:r>
        <w:rPr>
          <w:rFonts w:ascii="Times New Roman" w:hAnsi="Times New Roman"/>
          <w:color w:val="000000"/>
          <w:sz w:val="20"/>
        </w:rPr>
        <w:t>—Significant components of the Company’s deferred tax assets consisted of the following (in millions):</w:t>
      </w:r>
    </w:p>
    <w:p>
      <w:pPr>
        <w:pStyle w:val="TextBody"/>
        <w:bidi w:val="0"/>
        <w:jc w:val="left"/>
        <w:rPr/>
      </w:pPr>
      <w:r>
        <w:rPr/>
        <w:t> </w:t>
      </w:r>
    </w:p>
    <w:tbl>
      <w:tblPr>
        <w:tblW w:w="8595" w:type="dxa"/>
        <w:jc w:val="left"/>
        <w:tblInd w:w="0" w:type="dxa"/>
        <w:tblLayout w:type="fixed"/>
        <w:tblCellMar>
          <w:top w:w="28" w:type="dxa"/>
          <w:left w:w="28" w:type="dxa"/>
          <w:bottom w:w="28" w:type="dxa"/>
          <w:right w:w="28" w:type="dxa"/>
        </w:tblCellMar>
      </w:tblPr>
      <w:tblGrid>
        <w:gridCol w:w="4721"/>
        <w:gridCol w:w="146"/>
        <w:gridCol w:w="327"/>
        <w:gridCol w:w="978"/>
        <w:gridCol w:w="166"/>
        <w:gridCol w:w="146"/>
        <w:gridCol w:w="376"/>
        <w:gridCol w:w="1124"/>
        <w:gridCol w:w="611"/>
      </w:tblGrid>
      <w:tr>
        <w:trPr/>
        <w:tc>
          <w:tcPr>
            <w:tcW w:w="4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26, 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Investment in consolidated subsidiary NCM LLC </w:t>
            </w:r>
            <w:r>
              <w:rPr>
                <w:rFonts w:ascii="Times New Roman" w:hAnsi="Times New Roman"/>
                <w:i/>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Net operating losses </w:t>
            </w:r>
            <w:r>
              <w:rPr>
                <w:rFonts w:ascii="Times New Roman" w:hAnsi="Times New Roman"/>
                <w:i/>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bonus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Business interest expense limitation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Capital loss carryover </w:t>
            </w: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gross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Valuation allowance </w:t>
            </w:r>
            <w:r>
              <w:rPr>
                <w:rFonts w:ascii="Times New Roman" w:hAnsi="Times New Roman"/>
                <w:i/>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deferred tax assets, net of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pBdr>
          <w:bottom w:val="single" w:sz="6" w:space="1" w:color="000000"/>
        </w:pBdr>
        <w:bidi w:val="0"/>
        <w:jc w:val="left"/>
        <w:rPr/>
      </w:pPr>
      <w:r>
        <w:rPr/>
        <w:t> </w:t>
      </w:r>
    </w:p>
    <w:p>
      <w:pPr>
        <w:pStyle w:val="TextBody"/>
        <w:bidi w:val="0"/>
        <w:spacing w:before="6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60" w:after="283"/>
        <w:jc w:val="left"/>
        <w:rPr>
          <w:rFonts w:ascii="Times New Roman" w:hAnsi="Times New Roman"/>
          <w:sz w:val="20"/>
        </w:rPr>
      </w:pPr>
      <w:r>
        <w:rPr>
          <w:rFonts w:ascii="Times New Roman" w:hAnsi="Times New Roman"/>
          <w:color w:val="000000"/>
          <w:sz w:val="20"/>
        </w:rPr>
        <w:t>The Company recognized a deferred tax asset in the amount of $51.4 million</w:t>
      </w:r>
      <w:r>
        <w:rPr>
          <w:rFonts w:ascii="Times New Roman" w:hAnsi="Times New Roman"/>
          <w:color w:val="FF0000"/>
          <w:sz w:val="20"/>
        </w:rPr>
        <w:t xml:space="preserve"> </w:t>
      </w:r>
      <w:r>
        <w:rPr>
          <w:rFonts w:ascii="Times New Roman" w:hAnsi="Times New Roman"/>
          <w:color w:val="000000"/>
          <w:sz w:val="20"/>
        </w:rPr>
        <w:t xml:space="preserve">and $136.7 million as of January 1, 2026 and December 26, 2024, respectively, associated with the basis difference in our investment in NCM LLC. The difference is driven primarily by the large ordinary and capital loss resulting from write-off of certain of NCM LLC tax assets associated with the 2025 AMC Agreement. These losses resulted in the increases within the net-operating losses deferred tax asset and the capital loss carryover deferred tax asset as a result.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evaluated its deferred tax assets as of January 1, 2026 and December 26, 2024 and considered both positive and negative evidence in determining whether it is more likely than not that all or some portion of its deferred tax assets will be realized. The Company generated a three-year cumulative pre-tax book loss during 2021 driven by the impact of the COVID-19 Pandemic on the Company’s operations in 2021 and 2020, the effect of which continued into 2022 and 2023. Given the associated weight assigned to this item as negative evidence within the Company’s analysis, the Company determined it is more-likely-than-not that the Company will not be able to realize certain of the Company’s deferred tax assets. Once the Company returns to a more normal operating level and emerges from a three-year cumulative pre-tax book loss position, part or all the valuation allowance is expected to reverse. </w:t>
      </w:r>
    </w:p>
    <w:p>
      <w:pPr>
        <w:pStyle w:val="TextBody"/>
        <w:bidi w:val="0"/>
        <w:spacing w:before="120" w:after="120"/>
        <w:jc w:val="left"/>
        <w:rPr>
          <w:rFonts w:ascii="Times New Roman" w:hAnsi="Times New Roman"/>
          <w:sz w:val="20"/>
        </w:rPr>
      </w:pPr>
      <w:r>
        <w:rPr>
          <w:rFonts w:ascii="Times New Roman" w:hAnsi="Times New Roman"/>
          <w:b/>
          <w:i/>
          <w:color w:val="000000"/>
          <w:sz w:val="20"/>
        </w:rPr>
        <w:t>Income taxes paid</w:t>
      </w:r>
      <w:r>
        <w:rPr>
          <w:rFonts w:ascii="Times New Roman" w:hAnsi="Times New Roman"/>
          <w:color w:val="000000"/>
          <w:sz w:val="20"/>
        </w:rPr>
        <w:t>—A reconciliation of the income taxes paid for the year ended January 1, 2026 and December 26, 2024 was (in dollars):</w:t>
      </w:r>
    </w:p>
    <w:tbl>
      <w:tblPr>
        <w:tblW w:w="6560" w:type="dxa"/>
        <w:jc w:val="left"/>
        <w:tblInd w:w="0" w:type="dxa"/>
        <w:tblLayout w:type="fixed"/>
        <w:tblCellMar>
          <w:top w:w="28" w:type="dxa"/>
          <w:left w:w="28" w:type="dxa"/>
          <w:bottom w:w="28" w:type="dxa"/>
          <w:right w:w="28" w:type="dxa"/>
        </w:tblCellMar>
      </w:tblPr>
      <w:tblGrid>
        <w:gridCol w:w="2506"/>
        <w:gridCol w:w="146"/>
        <w:gridCol w:w="310"/>
        <w:gridCol w:w="995"/>
        <w:gridCol w:w="166"/>
        <w:gridCol w:w="146"/>
        <w:gridCol w:w="357"/>
        <w:gridCol w:w="1143"/>
        <w:gridCol w:w="7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26, 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state and local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Ohio Municipalities </w:t>
            </w: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62,356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Tennessee </w:t>
            </w:r>
            <w:r>
              <w:rPr>
                <w:rFonts w:ascii="Times New Roman" w:hAnsi="Times New Roman"/>
                <w:i/>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New Hampshire </w:t>
            </w: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Texas </w:t>
            </w:r>
            <w:r>
              <w:rPr>
                <w:rFonts w:ascii="Times New Roman" w:hAnsi="Times New Roman"/>
                <w:i/>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Other </w:t>
            </w: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income tax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78,357</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6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These payments relate to income taxes at NCM, LLC.</w:t>
      </w:r>
    </w:p>
    <w:p>
      <w:pPr>
        <w:pStyle w:val="TextBody"/>
        <w:bidi w:val="0"/>
        <w:spacing w:before="120" w:after="283"/>
        <w:jc w:val="left"/>
        <w:rPr>
          <w:rFonts w:ascii="Times New Roman" w:hAnsi="Times New Roman"/>
          <w:sz w:val="20"/>
        </w:rPr>
      </w:pPr>
      <w:r>
        <w:rPr>
          <w:rFonts w:ascii="Times New Roman" w:hAnsi="Times New Roman"/>
          <w:b/>
          <w:i/>
          <w:color w:val="000000"/>
          <w:sz w:val="20"/>
        </w:rPr>
        <w:t>Carryforwards</w:t>
      </w:r>
      <w:r>
        <w:rPr>
          <w:rFonts w:ascii="Times New Roman" w:hAnsi="Times New Roman"/>
          <w:color w:val="000000"/>
          <w:sz w:val="20"/>
        </w:rPr>
        <w:t>—As of January 1, 2026, the Company had gross federal net operating loss carryforwards of approximately $235.2 million of which $235.0 million will be carried forward indefinitely. As of January 1, 2026, the Company had gross state net operating loss carryforwards of approximately $216.2 million, of which</w:t>
      </w:r>
      <w:r>
        <w:rPr>
          <w:rFonts w:ascii="Times New Roman" w:hAnsi="Times New Roman"/>
          <w:color w:val="FF0000"/>
          <w:sz w:val="20"/>
        </w:rPr>
        <w:t xml:space="preserve"> </w:t>
      </w:r>
      <w:r>
        <w:rPr>
          <w:rFonts w:ascii="Times New Roman" w:hAnsi="Times New Roman"/>
          <w:color w:val="000000"/>
          <w:sz w:val="20"/>
        </w:rPr>
        <w:t>$157.5 million will expire between 2025 and 2047</w:t>
      </w:r>
      <w:r>
        <w:rPr>
          <w:rFonts w:ascii="Times New Roman" w:hAnsi="Times New Roman"/>
          <w:color w:val="FF0000"/>
          <w:sz w:val="20"/>
        </w:rPr>
        <w:t xml:space="preserve"> </w:t>
      </w:r>
      <w:r>
        <w:rPr>
          <w:rFonts w:ascii="Times New Roman" w:hAnsi="Times New Roman"/>
          <w:color w:val="000000"/>
          <w:sz w:val="20"/>
        </w:rPr>
        <w:t>and $58.7 million</w:t>
      </w:r>
      <w:r>
        <w:rPr>
          <w:rFonts w:ascii="Times New Roman" w:hAnsi="Times New Roman"/>
          <w:color w:val="FF0000"/>
          <w:sz w:val="20"/>
        </w:rPr>
        <w:t xml:space="preserve"> </w:t>
      </w:r>
      <w:r>
        <w:rPr>
          <w:rFonts w:ascii="Times New Roman" w:hAnsi="Times New Roman"/>
          <w:color w:val="000000"/>
          <w:sz w:val="20"/>
        </w:rPr>
        <w:t>will be carried forward indefinitely. As of January 1, 2026 and December 26, 2024, the Company had gross federal research and experimentation tax credit carryforwards of approximately $1.5 million, which expire at various dates between 2033 and 2039.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January 1, 2026, the Company has authorized capital stock of 260,000,000 shares of common stock, par value of $0.01 per share, and 10,000,000 shares of preferred stock, par value of $0.01 per share. There were 93,353,604 shares of common stock issued and outstanding and 50 shares of preferred stock issued and outstanding as of January 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holders of NCM, Inc. common stock are entitled to one vote per share on all matters submitted for action by the NCM, Inc. stockholders. Holders of common stock are entitled to share equally, share for share, in declared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authorized but unissued shares of common stock and preferred stock are available for future issuance without stockholder approval. These additional shares may be used for a variety of corporate purposes, including share-based compensation, future public offerings to raise additional capital, corporate acquisitions and exchange on a one-for-one basis under the ESA Parties’ right to convert their NCM LLC membership units into Company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the deconsolidation of NCM LLC on April 11, 2023, in conformity with accounting guidance of the SEC concerning monetary consideration paid to promoters, such as the ESA Parties, in exchange for property conveyed by the promoters, the excess over predecessor cost was treated as a special distribution. Because the ESA Parties had no cost basis in the ESAs, nearly all payments to the ESA Parties with the proceeds of the IPO and related debt, have been accounted for as distributions. The distributions by NCM LLC to the ESA Parties made at the date of the IPO resulted in a consolidated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deficit. As a noncontrolling interest cannot be shown as an asset, the ESA Parties’ interest in NCM LLC’s members equity was included in distributions in excess of paid in capital in the Consolidated Balance Sheets.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April 11, 2023, the historical Equity balances of NCM LLC were deconsolidated from the Consolidated Financial Statements. On August 7, 2023, the Company accounted for the NCM LLC reconsolidation as a business combination under </w:t>
      </w:r>
      <w:r>
        <w:rPr>
          <w:rFonts w:ascii="Times New Roman" w:hAnsi="Times New Roman"/>
          <w:i/>
          <w:color w:val="000000"/>
          <w:sz w:val="20"/>
        </w:rPr>
        <w:t>ASC 805</w:t>
      </w:r>
      <w:r>
        <w:rPr>
          <w:rFonts w:ascii="Times New Roman" w:hAnsi="Times New Roman"/>
          <w:color w:val="000000"/>
          <w:sz w:val="20"/>
        </w:rPr>
        <w:t>—</w:t>
      </w:r>
      <w:r>
        <w:rPr>
          <w:rFonts w:ascii="Times New Roman" w:hAnsi="Times New Roman"/>
          <w:i/>
          <w:color w:val="000000"/>
          <w:sz w:val="20"/>
        </w:rPr>
        <w:t>Business Combinations</w:t>
      </w:r>
      <w:r>
        <w:rPr>
          <w:rFonts w:ascii="Times New Roman" w:hAnsi="Times New Roman"/>
          <w:color w:val="000000"/>
          <w:sz w:val="20"/>
        </w:rPr>
        <w:t xml:space="preserve"> and accordingly, the purchase price was allocated to the assets acquired and liabilities assumed based on their estimated fair values as of the date of reconsolidation, the Effective Date, with no allocation to any equity balances. The reconsolidation reduced NCM LLC’s equity balances to $0 and removed the impact of the IPO discussed above. For further information regarding the deconsolidation and reconsolidation of NCM LLC, refer to Note 5 </w:t>
      </w:r>
      <w:r>
        <w:rPr>
          <w:rFonts w:ascii="Times New Roman" w:hAnsi="Times New Roman"/>
          <w:i/>
          <w:color w:val="000000"/>
          <w:sz w:val="20"/>
        </w:rPr>
        <w:t>- Business Combinations.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RELATED PARTY TRANSACTIONS</w:t>
      </w:r>
    </w:p>
    <w:p>
      <w:pPr>
        <w:pStyle w:val="TextBody"/>
        <w:bidi w:val="0"/>
        <w:spacing w:before="120" w:after="283"/>
        <w:jc w:val="left"/>
        <w:rPr>
          <w:rFonts w:ascii="Times New Roman" w:hAnsi="Times New Roman"/>
          <w:sz w:val="20"/>
        </w:rPr>
      </w:pPr>
      <w:r>
        <w:rPr>
          <w:rFonts w:ascii="Times New Roman" w:hAnsi="Times New Roman"/>
          <w:b/>
          <w:i/>
          <w:color w:val="000000"/>
          <w:sz w:val="20"/>
        </w:rPr>
        <w:t>ESA Party and Managing Member Transactions</w:t>
      </w:r>
      <w:r>
        <w:rPr>
          <w:rFonts w:ascii="Times New Roman" w:hAnsi="Times New Roman"/>
          <w:color w:val="000000"/>
          <w:sz w:val="20"/>
        </w:rPr>
        <w:t xml:space="preserve">—In connection with NCM, Inc.’s IPO, the Company entered into several agreements to define and regulate the relationships among NCM LLC, NCM, Inc. and AMC, Cinemark and Regal which are outlined below. </w:t>
      </w:r>
    </w:p>
    <w:p>
      <w:pPr>
        <w:pStyle w:val="TextBody"/>
        <w:bidi w:val="0"/>
        <w:spacing w:before="120" w:after="283"/>
        <w:jc w:val="left"/>
        <w:rPr>
          <w:rFonts w:ascii="Times New Roman" w:hAnsi="Times New Roman"/>
          <w:sz w:val="20"/>
        </w:rPr>
      </w:pPr>
      <w:r>
        <w:rPr>
          <w:rFonts w:ascii="Times New Roman" w:hAnsi="Times New Roman"/>
          <w:color w:val="000000"/>
          <w:sz w:val="20"/>
        </w:rPr>
        <w:t>AMC has owned less than 5% of NCM LLC, on an as converted basis, since July 2018 and is no longer a related party. On April 17, 2025, the Company and AMC, entered into the Second Amended and Restated Exhibitor Services Agreement (the “2025 AMC Agreement”) and a separate termination agreement (the “AMC Termination Agreement”) by and among NCM LLC, NCM, Inc. and AMC. The 2025 AMC Agreement extended the term of the ESA by five years and more closely aligns the program distributed by NCM LLC in AMC theaters to the predominant pre-feature program show structure distributed in the rest of NCM LLC's advertising network and adjusted the consideration paid by NCM LLC. The AMC Termination Agreement waived AMC’s rights under certain agreements entered into at the time of the IPO. The agreements were accounted for in accordance with the lease modification guidance within ASC 842—</w:t>
      </w:r>
      <w:r>
        <w:rPr>
          <w:rFonts w:ascii="Times New Roman" w:hAnsi="Times New Roman"/>
          <w:i/>
          <w:color w:val="000000"/>
          <w:sz w:val="20"/>
        </w:rPr>
        <w:t>Leases</w:t>
      </w:r>
      <w:r>
        <w:rPr>
          <w:rFonts w:ascii="Times New Roman" w:hAnsi="Times New Roman"/>
          <w:color w:val="000000"/>
          <w:sz w:val="20"/>
        </w:rPr>
        <w:t>, as the amended ESA contains a short-term operating lease of AMC’s screens. The agreements were considered combined as they were entered into contemporaneously by the same parties. As a result of the agreements, in the year ended January 1, 2026, NCM LLC released $24.8 million of the 'Payable under the TRA' and reversed the receivable of $10.6 million from AMC, related to unpaid integration payments, and released the receivable under the Common Unit Adjustment Agreement within 'Amounts due from ESA Parties' on the Company's audited Consolidated Balance Sheet. NCM will no longer have an obligation to make TRA payments to AMC, provide common units as a part of the Common Unit Adjustment Agreement or distribute NCM LLC's available cash to AMC, and the Company received the benefits of the revised ESA, including enhancements related to the pre-feature show structure and NCM's exclusive right to advertise in AMC's theaters. The net impact of these reversals was recorded to the 'Intangible Assets, net of accumulated amortization' as AMC's forfeiture of this net payable was considered akin to a lease incentive. The reduction in the intangible asset for the ESAs will result in reduced amortization expense, as it is considered akin to lease expense, for the remainder of the contract term. Refer to Note 6—</w:t>
      </w:r>
      <w:r>
        <w:rPr>
          <w:rFonts w:ascii="Times New Roman" w:hAnsi="Times New Roman"/>
          <w:i/>
          <w:color w:val="000000"/>
          <w:sz w:val="20"/>
        </w:rPr>
        <w:t>Intangible Assets</w:t>
      </w:r>
      <w:r>
        <w:rPr>
          <w:rFonts w:ascii="Times New Roman" w:hAnsi="Times New Roman"/>
          <w:color w:val="000000"/>
          <w:sz w:val="20"/>
        </w:rPr>
        <w:t>, Note 7—</w:t>
      </w:r>
      <w:r>
        <w:rPr>
          <w:rFonts w:ascii="Times New Roman" w:hAnsi="Times New Roman"/>
          <w:i/>
          <w:color w:val="000000"/>
          <w:sz w:val="20"/>
        </w:rPr>
        <w:t>Income Taxes</w:t>
      </w:r>
      <w:r>
        <w:rPr>
          <w:rFonts w:ascii="Times New Roman" w:hAnsi="Times New Roman"/>
          <w:color w:val="000000"/>
          <w:sz w:val="20"/>
        </w:rPr>
        <w:t>, and Note 13—</w:t>
      </w:r>
      <w:r>
        <w:rPr>
          <w:rFonts w:ascii="Times New Roman" w:hAnsi="Times New Roman"/>
          <w:i/>
          <w:color w:val="000000"/>
          <w:sz w:val="20"/>
        </w:rPr>
        <w:t>Commitments and Contingencies</w:t>
      </w:r>
      <w:r>
        <w:rPr>
          <w:rFonts w:ascii="Times New Roman" w:hAnsi="Times New Roman"/>
          <w:color w:val="000000"/>
          <w:sz w:val="20"/>
        </w:rPr>
        <w:t xml:space="preserve"> for additional detail surrounding these agreements. When AMC remained a party to the ESA, Common Unit Adjustment Agreement and certain other original agreements and was a member under the terms of the NCM LLC Operating Agreement, subject to fulfilling the requirements of Section 3.1 of the NCM LLC Operating Agreement. AMC participated in the annual Common Unit Adjustment and received available cash distributions or allocation of earnings and losses in NCM LLC (as long as its ownership in NCM LLC was greater than zero) and theater access fees. Further, AMC will continue to pay beverage revenue, among other things, to NCM LLC. During the first quarter of 2025, in accordance with the Common Unit Adjustment Agreement, NCM LLC calculated a reduction of common membership units for AMC to be settled on April 2, 2025. In connection with the Common Unit Adjustment Agreement and the AMC Termination Agreement, AMC returned all of its units and was forgiven any remaining negative common unit adjustment. As of January 1, 2026, AMC’s ownership was</w:t>
      </w:r>
      <w:r>
        <w:rPr>
          <w:rFonts w:ascii="Times New Roman" w:hAnsi="Times New Roman"/>
          <w:color w:val="FF0000"/>
          <w:sz w:val="20"/>
        </w:rPr>
        <w:t xml:space="preserve"> </w:t>
      </w:r>
      <w:r>
        <w:rPr>
          <w:rFonts w:ascii="Times New Roman" w:hAnsi="Times New Roman"/>
          <w:color w:val="000000"/>
          <w:sz w:val="20"/>
        </w:rPr>
        <w:t xml:space="preserve">0.0% of NCM LLC and 0.0% NCM,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Cinemark has owned less than 5% of NCM LLC, on an as converted basis, since NCM LLC emerged from bankruptcy on August 7, 2023 and is no longer a related party. Cinemark remains a party to the ESA, Common Unit Adjustment Agreement and certain other original agreements and is a member under the terms of the NCM LLC Operating Agreement, subject to fulfilling the requirements of Section 3.1 of the NCM LLC Operating Agreement. Cinemark will continue to participate in the annual Common Unit Adjustment and receive available cash distributions or allocation of earnings and losses in NCM LLC (as long as its ownership in NCM LLC is greater than zero) and theater access fees. Further, Cinemark will continue to pay beverage revenue, among other things, to NCM LLC. Cinemark’s ownership percentage does not impact future integration payments and other encumbered theater payments owed to NCM LLC by Cinemark. On April 1, 2024, in accordance with the Common Unit Adjustment Agreement, NCM LLC issued 132,096 common membership units to Cinemark. On April 16, 2024, the Company elected to satisfy a redemption request from Cinemark for all of their outstanding common membership units through a cash settlement as provided in NCM LLC’s Operating Agreement. This redemption reduced Cinemark’s ownership interest in NCM LLC to 0.0% as of April 16, 2024. During the first quarter of 2025, in accordance with the Common Unit Adjustment Agreement, NCM LLC calculated a reduction of common membership units for Cinemark to be settled on April 2, 2025. Cinemark, who held no membership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units, remitted cash to settle the negative common membership unit adjustment. As of January 1, 2026, Cinemark’s ownership was 4.7%</w:t>
      </w:r>
      <w:r>
        <w:rPr>
          <w:rFonts w:ascii="Times New Roman" w:hAnsi="Times New Roman"/>
          <w:color w:val="FF0000"/>
          <w:sz w:val="20"/>
        </w:rPr>
        <w:t xml:space="preserve"> </w:t>
      </w:r>
      <w:r>
        <w:rPr>
          <w:rFonts w:ascii="Times New Roman" w:hAnsi="Times New Roman"/>
          <w:color w:val="000000"/>
          <w:sz w:val="20"/>
        </w:rPr>
        <w:t xml:space="preserve">of NCM, Inc. and 0.0% of NCM LLC.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3, 2023, NCM LLC entered into the Regal Advertising Agreement and Regal Termination Agreement which became effective on July 14, 2023. Pursuant to the Regal Termination Agreement, Regal rejected and terminated its ESA with NCM LLC. Additionally Regal and Regal’s affiliates’ waived all rights and interests as to the TRA, the Common Unit Adjustment Agreement, the Software License Agreement, the Director Designation Agreement, the Registration Rights Agreement and all the other joint venture agreements described in the NCM LLC Operating Agreement and the Company and NCM LLC, and Regal and Regal’s affiliates waived and released claims against the other party. Regal also agreed to support NCM LLC’s Plan and surrendered all 4,068,381 shares in the Company, totaling $13.0 million, upon the effective date of the Plan. In connection with the Regal Advertising Agreement, NCM LLC and Regal also agreed to dismiss with prejudice the ongoing litigation between the parties related to NCM LLC’s request to enforce certain provisions of the ESA, including the exclusivity provision. Subsequent to July 14, 2023, Regal is no longer an ESA Party or related party to NCM, Inc. or NCM LLC.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material agreements with the ESA Parties are as follows: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ESAs.</w:t>
      </w:r>
      <w:r>
        <w:rPr>
          <w:color w:val="000000"/>
        </w:rPr>
        <w:t xml:space="preserve"> </w:t>
      </w:r>
      <w:r>
        <w:rPr>
          <w:rFonts w:ascii="Times New Roman" w:hAnsi="Times New Roman"/>
          <w:color w:val="000000"/>
          <w:sz w:val="20"/>
        </w:rPr>
        <w:t xml:space="preserve">Under the ESAs, NCM LLC is the exclusive provider within the United States of advertising services in the ESA Parties’ theaters (subject to pre-existing contractual obligations and other limited exceptions for the benefit of the ESA Parties). The advertising services include the use of the DCN equipment required to deliver the on-screen advertising and other content included in The </w:t>
      </w:r>
      <w:r>
        <w:rPr>
          <w:rFonts w:ascii="Times New Roman" w:hAnsi="Times New Roman"/>
          <w:i/>
          <w:color w:val="000000"/>
          <w:sz w:val="20"/>
        </w:rPr>
        <w:t>Noovie®</w:t>
      </w:r>
      <w:r>
        <w:rPr>
          <w:color w:val="000000"/>
        </w:rPr>
        <w:t xml:space="preserve"> </w:t>
      </w:r>
      <w:r>
        <w:rPr>
          <w:rFonts w:ascii="Times New Roman" w:hAnsi="Times New Roman"/>
          <w:color w:val="000000"/>
          <w:sz w:val="20"/>
        </w:rPr>
        <w:t>Show, use of the LEN and rights to sell and display certain lobby promotions. Further, 30</w:t>
      </w:r>
      <w:r>
        <w:rPr>
          <w:color w:val="000000"/>
        </w:rPr>
        <w:t xml:space="preserve"> </w:t>
      </w:r>
      <w:r>
        <w:rPr>
          <w:rFonts w:ascii="Times New Roman" w:hAnsi="Times New Roman"/>
          <w:color w:val="000000"/>
          <w:sz w:val="20"/>
        </w:rPr>
        <w:t>to 60 seconds</w:t>
      </w:r>
      <w:r>
        <w:rPr>
          <w:color w:val="000000"/>
        </w:rPr>
        <w:t xml:space="preserve"> </w:t>
      </w:r>
      <w:r>
        <w:rPr>
          <w:rFonts w:ascii="Times New Roman" w:hAnsi="Times New Roman"/>
          <w:color w:val="000000"/>
          <w:sz w:val="20"/>
        </w:rPr>
        <w:t>of advertising included in The</w:t>
      </w:r>
      <w:r>
        <w:rPr>
          <w:color w:val="000000"/>
        </w:rPr>
        <w:t xml:space="preserve"> </w:t>
      </w:r>
      <w:r>
        <w:rPr>
          <w:rFonts w:ascii="Times New Roman" w:hAnsi="Times New Roman"/>
          <w:i/>
          <w:color w:val="000000"/>
          <w:sz w:val="20"/>
        </w:rPr>
        <w:t xml:space="preserve">Noovie </w:t>
      </w:r>
      <w:r>
        <w:rPr>
          <w:rFonts w:ascii="Times New Roman" w:hAnsi="Times New Roman"/>
          <w:color w:val="000000"/>
          <w:sz w:val="20"/>
        </w:rPr>
        <w:t>Show is sold to the ESA Parties to satisfy the ESA Parties’ on-screen advertising commitments under their beverage concessionaire agreements. In consideration for access to the ESA Parties’ theaters, theater patrons, the network equipment required to display on-screen and LEN video advertising and the use of theaters for lobby promotions, the ESA Parties receive a monthly theater access fee. In conjunction with the 2019 ESA Amendments, NCM LLC also pays Cinemark, and previously Regal, incremental monthly theater access fees and, subject to NCM LLC's use of specified inventory, a revenue share in consideration for NCM LLC's access to certain on-screen advertising inventory after the advertised showtime of a feature film beginning November 1, 2019 and the underlying term of the ESAs were extended until 2041. The ESAs and 2019 ESA Amendments are considered leases with related parties under ASC 842. As described above, the Regal ESA was rejected by Regal in connection with Regal’s Chapter 11 case and terminated by the Regal Termination Agreement.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Common Unit Adjustment Agreement.</w:t>
      </w:r>
      <w:r>
        <w:rPr>
          <w:color w:val="000000"/>
        </w:rPr>
        <w:t xml:space="preserve"> </w:t>
      </w:r>
      <w:r>
        <w:rPr>
          <w:rFonts w:ascii="Times New Roman" w:hAnsi="Times New Roman"/>
          <w:color w:val="000000"/>
          <w:sz w:val="20"/>
        </w:rPr>
        <w:t>The Common Unit Adjustment Agreement provides a mechanism for increasing or decreasing the membership units held by Cinemark based on the acquisition or construction of new theaters or sale of theaters that are operated by Cinemark and included in NCM LLC’s network.</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Common Unit Membership Redemption. </w:t>
      </w:r>
      <w:r>
        <w:rPr>
          <w:rFonts w:ascii="Times New Roman" w:hAnsi="Times New Roman"/>
          <w:color w:val="000000"/>
          <w:sz w:val="20"/>
        </w:rPr>
        <w:t>The NCM LLC Operating Agreement provides a redemption right of the Cinemark to exchange common membership units of NCM LLC for shares of the Company’s common stock on a one-for-one basis, or at the Company’s option, a cash payment based on the three-day</w:t>
      </w:r>
      <w:r>
        <w:rPr>
          <w:color w:val="000000"/>
        </w:rPr>
        <w:t xml:space="preserve"> </w:t>
      </w:r>
      <w:r>
        <w:rPr>
          <w:rFonts w:ascii="Times New Roman" w:hAnsi="Times New Roman"/>
          <w:color w:val="000000"/>
          <w:sz w:val="20"/>
        </w:rPr>
        <w:t xml:space="preserve">variable weighted average closing price of NCM, Inc.’s common stock prior to the redemption date.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Tax Receivable Agreement.</w:t>
      </w:r>
      <w:r>
        <w:rPr>
          <w:color w:val="000000"/>
        </w:rPr>
        <w:t xml:space="preserve"> </w:t>
      </w:r>
      <w:r>
        <w:rPr>
          <w:rFonts w:ascii="Times New Roman" w:hAnsi="Times New Roman"/>
          <w:color w:val="000000"/>
          <w:sz w:val="20"/>
        </w:rPr>
        <w:t>The TRA provides for the effective payment by NCM, Inc. to Cinemark of 90% of the amount of cash savings, if any, in U.S. federal, state and local income tax or franchise tax that is actually realized as a result of certain increases in NCM, Inc.’s proportionate share of tax basis in NCM LLC’s tangible and intangible assets resulting from the IPO and related transactions.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Software License Agreement.</w:t>
      </w:r>
      <w:r>
        <w:rPr>
          <w:color w:val="000000"/>
        </w:rPr>
        <w:t xml:space="preserve"> </w:t>
      </w:r>
      <w:r>
        <w:rPr>
          <w:rFonts w:ascii="Times New Roman" w:hAnsi="Times New Roman"/>
          <w:color w:val="000000"/>
          <w:sz w:val="20"/>
        </w:rPr>
        <w:t>At the date of the Company’s IPO, NCM LLC was granted a perpetual, royalty-free license from Cinemark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the Cinemark,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is a summary of the related party transactions between the Company and its related parties (in millions):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tbl>
      <w:tblPr>
        <w:tblW w:w="10205" w:type="dxa"/>
        <w:jc w:val="left"/>
        <w:tblInd w:w="0" w:type="dxa"/>
        <w:tblLayout w:type="fixed"/>
        <w:tblCellMar>
          <w:top w:w="28" w:type="dxa"/>
          <w:left w:w="28" w:type="dxa"/>
          <w:bottom w:w="28" w:type="dxa"/>
          <w:right w:w="28" w:type="dxa"/>
        </w:tblCellMar>
      </w:tblPr>
      <w:tblGrid>
        <w:gridCol w:w="5229"/>
        <w:gridCol w:w="146"/>
        <w:gridCol w:w="328"/>
        <w:gridCol w:w="566"/>
        <w:gridCol w:w="166"/>
        <w:gridCol w:w="146"/>
        <w:gridCol w:w="509"/>
        <w:gridCol w:w="840"/>
        <w:gridCol w:w="166"/>
        <w:gridCol w:w="146"/>
        <w:gridCol w:w="420"/>
        <w:gridCol w:w="929"/>
        <w:gridCol w:w="614"/>
      </w:tblGrid>
      <w:tr>
        <w:trPr/>
        <w:tc>
          <w:tcPr>
            <w:tcW w:w="52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5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Included in the Consolidated Statements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January 1, </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26,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2023</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52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u w:val="single"/>
              </w:rPr>
            </w:pPr>
            <w:r>
              <w:rPr>
                <w:rFonts w:ascii="Times New Roman" w:hAnsi="Times New Roman"/>
                <w:color w:val="000000"/>
                <w:sz w:val="20"/>
                <w:u w:val="single"/>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w:t>
            </w:r>
          </w:p>
        </w:tc>
      </w:tr>
      <w:tr>
        <w:trPr/>
        <w:tc>
          <w:tcPr>
            <w:tcW w:w="522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Beverage concessionaire revenue (included in advertising revenue) </w:t>
            </w:r>
            <w:r>
              <w:rPr>
                <w:rFonts w:ascii="Times New Roman" w:hAnsi="Times New Roman"/>
                <w:i/>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Management fee reimbursement </w:t>
            </w:r>
            <w:r>
              <w:rPr>
                <w:rFonts w:ascii="Times New Roman" w:hAnsi="Times New Roman"/>
                <w:i/>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2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Looking Glass Media revenue </w:t>
            </w:r>
            <w:r>
              <w:rPr>
                <w:rFonts w:ascii="Times New Roman" w:hAnsi="Times New Roman"/>
                <w:i/>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u w:val="single"/>
              </w:rPr>
            </w:pPr>
            <w:r>
              <w:rPr>
                <w:rFonts w:ascii="Times New Roman" w:hAnsi="Times New Roman"/>
                <w:color w:val="000000"/>
                <w:sz w:val="20"/>
                <w:u w:val="single"/>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22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Theater exhibition fees </w:t>
            </w:r>
            <w:r>
              <w:rPr>
                <w:rFonts w:ascii="Times New Roman" w:hAnsi="Times New Roman"/>
                <w:i/>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years ended January 1, 2026, December 26, 2024 and December 28, 2023, there was no related party activity subsequent to the deconsolidation of NCM LLC on April 11, 2023 for AMC, Cinemark and Regal.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28, 2023, Regal and Cinemark each purchased 60 seconds of on-screen advertising time (all ESA Parties have a right to purchase up to 90 seconds) from NCM LLC to satisfy their obligations under their beverage concessionaire agreements at a 30 second equivalent CPM rate specified by the ESA.</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Comprised of payments from NCM LLC to NCM, Inc. for managing NCM LLC during the period where NCM LLC was deconsolidated of April 11, 2023 through August 7, 2023.</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the acquisition of Spotlight, the Company acquired a 25.0% ownership of Looking Glass Media, a local sales organization specializing in cinema advertising. Looking Glass Media sells local advertising on Spotlight's behalf. This revenue represents the portion of the proceeds collected by Looking Glass Media remitted to Spotlight for delivering the respective ads on the Spotlight Cinema Network. As of January 1, 2026, NCM had an accounts receivable balance with Looking Glass Media of $0.3 million included within “Receivables, net of allowance” on the audited Consolidated Balance Sheets.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Comprised of payments per theater attendee, payments per digital screen with respect to the ESA Party theaters included in the Company’s network, payments for access to higher quality digital cinema equipment and payments to Cinemark and Regal for their portion of the Platinum Spot revenue for the utilization of the theaters post-showtime in accordance with the 2019 ESA Amendments.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of the NCM LLC Operating Agreement in place since the completion of the IPO, NCM LLC is required to make mandatory distributions on a proportionate basis to its members of available cash, as defined in the NCM LLC Operating Agreement, on a quarterly basis in arrears, contingent upon the Company's compliance with the covenants outlined within the 2025 Revolving Credit Facility. The portion of positive available cash due to ESA Parties is accrued within the “Amounts due to ESA Parties, net” on the audited Consolidated Balance Sheets. The portion of positive available cash due to NCM, Inc. is eliminated upon consolidation. As AMC, Cinemark and Regal are no longer related parties, there are no related party balances to reflect as of January 1, 2026. The available cash owed from NCM LLC as of January 1, 2026 and December 26, 2024 were as follows (in millions):</w:t>
      </w:r>
    </w:p>
    <w:p>
      <w:pPr>
        <w:pStyle w:val="TextBody"/>
        <w:bidi w:val="0"/>
        <w:jc w:val="left"/>
        <w:rPr/>
      </w:pPr>
      <w:r>
        <w:rPr/>
        <w:t> </w:t>
      </w:r>
    </w:p>
    <w:tbl>
      <w:tblPr>
        <w:tblW w:w="4595" w:type="dxa"/>
        <w:jc w:val="left"/>
        <w:tblInd w:w="0" w:type="dxa"/>
        <w:tblLayout w:type="fixed"/>
        <w:tblCellMar>
          <w:top w:w="28" w:type="dxa"/>
          <w:left w:w="28" w:type="dxa"/>
          <w:bottom w:w="28" w:type="dxa"/>
          <w:right w:w="28" w:type="dxa"/>
        </w:tblCellMar>
      </w:tblPr>
      <w:tblGrid>
        <w:gridCol w:w="961"/>
        <w:gridCol w:w="146"/>
        <w:gridCol w:w="405"/>
        <w:gridCol w:w="900"/>
        <w:gridCol w:w="146"/>
        <w:gridCol w:w="146"/>
        <w:gridCol w:w="467"/>
        <w:gridCol w:w="1033"/>
        <w:gridCol w:w="391"/>
      </w:tblGrid>
      <w:tr>
        <w:trPr/>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26,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NCM,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generated available cash by NCM LLC to NCM, Inc. for the quarter ended January 1, 2026 of $30.8 million ($30.8 million for NCM, Inc.). The Company generated negative available cash of $13.4 million and $3.7 million in the first and second quarter of 2025, respectively, and positive available cash of $7.1 million in the third quarter of 2025. The cumulative negative available cash balance as of January 1, 2026 is $238.6 million (including $182.3 million for NCM, Inc. and $56.3 million for Cinemark). In accordance with the terms of the NCM LLC Operating Agreement, these amounts can only be offset against positive available cash within the second quarter of future years. NCM, Inc. has the option to defer payment of any available cash distributions payable to NCM, Inc. at its discretion. </w:t>
      </w:r>
    </w:p>
    <w:p>
      <w:pPr>
        <w:pStyle w:val="TextBody"/>
        <w:bidi w:val="0"/>
        <w:spacing w:before="120" w:after="283"/>
        <w:jc w:val="left"/>
        <w:rPr>
          <w:rFonts w:ascii="Times New Roman" w:hAnsi="Times New Roman"/>
          <w:sz w:val="20"/>
        </w:rPr>
      </w:pPr>
      <w:r>
        <w:rPr>
          <w:rFonts w:ascii="Times New Roman" w:hAnsi="Times New Roman"/>
          <w:b/>
          <w:i/>
          <w:color w:val="000000"/>
          <w:sz w:val="20"/>
        </w:rPr>
        <w:t>AC JV, LLC Transactions</w:t>
      </w:r>
      <w:r>
        <w:rPr>
          <w:rFonts w:ascii="Times New Roman" w:hAnsi="Times New Roman"/>
          <w:color w:val="000000"/>
          <w:sz w:val="20"/>
        </w:rPr>
        <w:t xml:space="preserve">—The Company accounts for its investment in AC JV, LLC under the equity method of accounting in accordance with ASC 323-30, Investments—Equity Method and Joint Ventures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NCM LLC’s investment in AC JV,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LLC was $0.8 million and $0.8 million as of January 1, 2026 and December 26, 2024, respectively. NCM LLC received cash distributions from AC JV, LLC of $0.6 million, $1.2 million and $0.6 million, during the years ended January 1, 2026, December 26, 2024 and December 28, 2023, respectively. NCM LLC recorded equity in earnings for AC JV, LLC of $0.6 million, $1.2 million and $0.6 million during the years ended January 1, 2026, December 26, 2024 and December 28, 2023, respectively, which are included in “Other non-operating income, net” in the audited Consolidated Statements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BORROWINGS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NCM LLC’s total outstanding debt as of January 1, 2026 and December 26, 2024 and the significant terms of its borrowing arrangements:</w:t>
      </w:r>
    </w:p>
    <w:p>
      <w:pPr>
        <w:pStyle w:val="TextBody"/>
        <w:bidi w:val="0"/>
        <w:jc w:val="left"/>
        <w:rPr/>
      </w:pPr>
      <w:r>
        <w:rPr/>
        <w:t> </w:t>
      </w:r>
    </w:p>
    <w:tbl>
      <w:tblPr>
        <w:tblW w:w="10078" w:type="dxa"/>
        <w:jc w:val="left"/>
        <w:tblInd w:w="0" w:type="dxa"/>
        <w:tblLayout w:type="fixed"/>
        <w:tblCellMar>
          <w:top w:w="28" w:type="dxa"/>
          <w:left w:w="28" w:type="dxa"/>
          <w:bottom w:w="28" w:type="dxa"/>
          <w:right w:w="28" w:type="dxa"/>
        </w:tblCellMar>
      </w:tblPr>
      <w:tblGrid>
        <w:gridCol w:w="3191"/>
        <w:gridCol w:w="146"/>
        <w:gridCol w:w="406"/>
        <w:gridCol w:w="899"/>
        <w:gridCol w:w="178"/>
        <w:gridCol w:w="178"/>
        <w:gridCol w:w="467"/>
        <w:gridCol w:w="1033"/>
        <w:gridCol w:w="146"/>
        <w:gridCol w:w="146"/>
        <w:gridCol w:w="1501"/>
        <w:gridCol w:w="146"/>
        <w:gridCol w:w="367"/>
        <w:gridCol w:w="683"/>
        <w:gridCol w:w="591"/>
      </w:tblGrid>
      <w:tr>
        <w:trPr/>
        <w:tc>
          <w:tcPr>
            <w:tcW w:w="3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Balance as of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Borrowings ($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 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26,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January 24,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w:t>
            </w:r>
          </w:p>
        </w:tc>
      </w:tr>
      <w:tr>
        <w:trPr/>
        <w:tc>
          <w:tcPr>
            <w:tcW w:w="3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borrowings,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Carrying value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jc w:val="left"/>
        <w:rPr/>
      </w:pPr>
      <w:r>
        <w:rPr/>
        <w:t> </w:t>
      </w:r>
    </w:p>
    <w:p>
      <w:pPr>
        <w:pStyle w:val="TextBody"/>
        <w:bidi w:val="0"/>
        <w:spacing w:before="6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interest rates on the revolving credit facilities are described below.</w:t>
      </w:r>
    </w:p>
    <w:p>
      <w:pPr>
        <w:pStyle w:val="TextBody"/>
        <w:bidi w:val="0"/>
        <w:spacing w:before="120" w:after="283"/>
        <w:jc w:val="left"/>
        <w:rPr>
          <w:rFonts w:ascii="Times New Roman" w:hAnsi="Times New Roman"/>
          <w:sz w:val="20"/>
        </w:rPr>
      </w:pPr>
      <w:r>
        <w:rPr>
          <w:rFonts w:ascii="Times New Roman" w:hAnsi="Times New Roman"/>
          <w:b/>
          <w:i/>
          <w:color w:val="000000"/>
          <w:sz w:val="20"/>
        </w:rPr>
        <w:t>Debt Agreement—</w:t>
      </w:r>
      <w:r>
        <w:rPr>
          <w:rFonts w:ascii="Times New Roman" w:hAnsi="Times New Roman"/>
          <w:color w:val="000000"/>
          <w:sz w:val="20"/>
        </w:rPr>
        <w:t>On January 24, 2025, NCM LLC entered into a Loan and Security Agreement with U.S. Bank National Association, as lender. The agreement provides for a $45.0 million senior secured revolving credit facility that matures on January 24, 2028. During the year ended January 1, 2026 NCM LLC has drawn $22.0 million from the facility and repaid $10.0 million of the facility resulting in an outstanding balance under the 2025 Credit Facility of $12.0 million as of January 1, 2026. Upon execution of the 2025 Credit Facility, NCM LLC recorded $0.9 million of debt issuance costs. As of January 1, 2026, NCM LLC's maximum availability under the $45.0 million 2025 Credit Facility was $32.4 million, net of letters of credit of $0.6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Borrowings under the 2025 Credit Facility may be used for, among other things, working capital and other general corporate purposes of the Company and bear interest at a floating rate equal to term SOFR (subject to a floor of zero) plus an applicable margin of 2.00%, which is subject to increase by an additional 2.00% upon the occurrence of an event of default. A commitment fee of 0.25% is payable quarterly in arrears based on the average daily amount of the undrawn portion of the commitments under the 2025 Credit Facility for the preceding quarter. The 2025 Credit Facility has a $5.0 million sublimit for the issuance of letters of credit. Fees are payable on outstanding letters of credit at a per annum rate equal to 2.00%, plus certain customary fees payable in connection with the issuance, amendment, renewal and extension of letters of credit and the processing of drawings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of NCM LLC’s future subsidiaries (collectively, the “Guarantors”) are required to guarantee the repayment of NCM LLC’s obligations under the 2025 Credit Facility. The obligations of NCM LLC and any such Guarantors with respect to the 2025 Credit Facility are and will be secured by a pledge of substantially all assets of NCM LLC and each of the Guarantors, including, without limitation, accounts receivables, deposit accounts, intellectual property, investment property, inventory, equipment and equity interests in their respective subsidiaries.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2025 Credit Facility contains affirmative and negative covenants customary for financings of this type, with which NCM LLC was in compliance at January 1, 2026, including limitations on NCM LLC’s and its subsidiaries ability to incur additional debt, grant or permit additional liens, make investments and acquisitions, merge or consolidate with others, dispose of assets, pay dividends and distributions, make equity repurchases, pay subordinated indebtedness and enter into affiliate transactions. In addition, the 2025 Credit Facility contains financial covenants requiring NCM LLC to maintain a maximum leverage ratio of no greater than 2.25 to 1.00 and a minimum fixed charge coverage ratio of no less than 1.50 to 1.00, each measured on a quarterly basis. The 2025 Credit Facility also includes events of default customary for facilities of this type and upon the occurrence of such events of default, subject to customary cure rights, all outstanding loans under the 2025 Credit Facility may be accelerated and/or the Company’s commitments terminated. The 2025 Credit Facility also contains representations, warranties, and events of defaults customary for this type of facility. As of January 1, 2026, NCM LLC’s fixed charge coverage ratio was 13.5 to 1.0 (versus the required minimum ratio of 1.50 to 1.00) and NCM LLC's maximum leverage ratio was 0.4 to 1.0 (versus the required ratio of 2.25 to 1.0).</w:t>
      </w:r>
    </w:p>
    <w:p>
      <w:pPr>
        <w:pStyle w:val="TextBody"/>
        <w:bidi w:val="0"/>
        <w:spacing w:before="120" w:after="283"/>
        <w:jc w:val="left"/>
        <w:rPr>
          <w:rFonts w:ascii="Times New Roman" w:hAnsi="Times New Roman"/>
          <w:sz w:val="20"/>
        </w:rPr>
      </w:pPr>
      <w:r>
        <w:rPr>
          <w:rFonts w:ascii="Times New Roman" w:hAnsi="Times New Roman"/>
          <w:b/>
          <w:i/>
          <w:color w:val="000000"/>
          <w:sz w:val="20"/>
        </w:rPr>
        <w:t>Loan, Security and Guarantee Agreement—</w:t>
      </w:r>
      <w:r>
        <w:rPr>
          <w:rFonts w:ascii="Times New Roman" w:hAnsi="Times New Roman"/>
          <w:color w:val="000000"/>
          <w:sz w:val="20"/>
        </w:rPr>
        <w:t xml:space="preserve">On August 7, 2023, NCM LLC entered into a Loan, Security and Guarantee Agreement (the “Revolving Credit Facility 2023”) with CIT Northbridge Credit LLC as agent. The Revolving Credit Facility 2023 was an asset backed line facility where the capacity depends upon NCM LLC’s trade accounts receivable balance, as adjusted for aged balances and other considerations. The maximum availability NCM LLC had access to under the Revolving Credit Facility 2023 was $55,000,000. The proceeds of the Revolving Credit Facility 2023 could have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been used for, inter alia, working capital and capital expenditures. The Revolving Credit Facility 2023 was to mature on August 7, 2026. The interest rate under the Revolving Credit Facility 2023 was a base rate of SOFR benchmark plus (i) 3.75% if less than 50% of revolving commitments are utilized or (ii) 4.50% if 50% or more of revolving commitments are utilized (utilizing the average revolver usage for the prior calendar month as a benchmark for this determination). The Revolving Credit Facility 2023 also contained a financial maintenance covenant requiring that the fixed charge coverage ratio ending on the last day of each fiscal month is at least 1.1 to 1.0 during a “Trigger Period.” A Trigger Period began upon (i) an event of default or (ii) if availability was less than the greater of (a) $5,000,000 and (b) 10% of aggregate revolving commitments. A Trigger Period ended only if (i) no event of default existed for the preceding thirty (30) consecutive days and (ii) availability was greater than both (a) $5,000,000 and (b) 10% of aggregate revolving commitments. Upon the effectiveness of the Revolving Credit Facility 2023, NCM LLC immediately drew $10.0 million from the facility, which represented the only amount outstanding under the Revolving Credit Facility 2023 at any time. The Revolving Credit Facility 2023 also contained customary representations, warranties, covenants, events of default, terms and conditions, including limitations on liens, incurrence of debt, mergers and significant asset dispositions.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entering into the 2025 Credit Facility, NCM LLC repaid the $10.0 million balance outstanding in full and terminated all commitments under its Revolving Credit Facility 2023, and in connection with this termination, paid a prepayment fee equal to 1% of the total commitment. This resulted in a loss on debt extinguishment of $1.8 million within the year ended January 1, 2026.</w:t>
      </w:r>
    </w:p>
    <w:p>
      <w:pPr>
        <w:pStyle w:val="TextBody"/>
        <w:bidi w:val="0"/>
        <w:spacing w:before="120" w:after="283"/>
        <w:jc w:val="left"/>
        <w:rPr>
          <w:rFonts w:ascii="Times New Roman" w:hAnsi="Times New Roman"/>
          <w:sz w:val="20"/>
        </w:rPr>
      </w:pPr>
      <w:r>
        <w:rPr>
          <w:rFonts w:ascii="Times New Roman" w:hAnsi="Times New Roman"/>
          <w:b/>
          <w:i/>
          <w:color w:val="000000"/>
          <w:sz w:val="20"/>
        </w:rPr>
        <w:t>Pre-Chapter 11 Case Debt—</w:t>
      </w:r>
      <w:r>
        <w:rPr>
          <w:rFonts w:ascii="Times New Roman" w:hAnsi="Times New Roman"/>
          <w:color w:val="000000"/>
          <w:sz w:val="20"/>
        </w:rPr>
        <w:t>The commencement of the Chapter 11 Case constituted an event of default and caused the automatic and immediate acceleration of all debt outstanding under or in respect of, NCM LLC’s Credit Agreements and senior notes.</w:t>
      </w:r>
      <w:r>
        <w:rPr>
          <w:rFonts w:ascii="Times New Roman" w:hAnsi="Times New Roman"/>
          <w:color w:val="EE2724"/>
          <w:sz w:val="20"/>
        </w:rPr>
        <w:t xml:space="preserve"> </w:t>
      </w:r>
      <w:r>
        <w:rPr>
          <w:rFonts w:ascii="Times New Roman" w:hAnsi="Times New Roman"/>
          <w:color w:val="000000"/>
          <w:sz w:val="20"/>
        </w:rPr>
        <w:t>As of August 7, 2023, upon emergence from bankruptcy, all historical debt of NCM LLC was discharged and the historical credit agreements were terminated.</w:t>
      </w:r>
    </w:p>
    <w:p>
      <w:pPr>
        <w:pStyle w:val="TextBody"/>
        <w:bidi w:val="0"/>
        <w:spacing w:before="120" w:after="283"/>
        <w:jc w:val="left"/>
        <w:rPr>
          <w:rFonts w:ascii="Times New Roman" w:hAnsi="Times New Roman"/>
          <w:sz w:val="20"/>
        </w:rPr>
      </w:pPr>
      <w:r>
        <w:rPr>
          <w:rFonts w:ascii="Times New Roman" w:hAnsi="Times New Roman"/>
          <w:b/>
          <w:i/>
          <w:color w:val="000000"/>
          <w:sz w:val="20"/>
        </w:rPr>
        <w:t>Future Maturities of Borrowings—</w:t>
      </w:r>
      <w:r>
        <w:rPr>
          <w:rFonts w:ascii="Times New Roman" w:hAnsi="Times New Roman"/>
          <w:color w:val="000000"/>
          <w:sz w:val="20"/>
        </w:rPr>
        <w:t>The scheduled annual maturities on the 2025 Credit Facility as of January 1, 2026 are as follows (in millions):</w:t>
      </w:r>
    </w:p>
    <w:p>
      <w:pPr>
        <w:pStyle w:val="TextBody"/>
        <w:bidi w:val="0"/>
        <w:jc w:val="left"/>
        <w:rPr/>
      </w:pPr>
      <w:r>
        <w:rPr/>
        <w:t> </w:t>
      </w:r>
    </w:p>
    <w:tbl>
      <w:tblPr>
        <w:tblW w:w="1974" w:type="dxa"/>
        <w:jc w:val="left"/>
        <w:tblInd w:w="0" w:type="dxa"/>
        <w:tblLayout w:type="fixed"/>
        <w:tblCellMar>
          <w:top w:w="28" w:type="dxa"/>
          <w:left w:w="28" w:type="dxa"/>
          <w:bottom w:w="28" w:type="dxa"/>
          <w:right w:w="28" w:type="dxa"/>
        </w:tblCellMar>
      </w:tblPr>
      <w:tblGrid>
        <w:gridCol w:w="946"/>
        <w:gridCol w:w="146"/>
        <w:gridCol w:w="215"/>
        <w:gridCol w:w="476"/>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11.</w:t>
      </w:r>
    </w:p>
    <w:p>
      <w:pPr>
        <w:pStyle w:val="TextBody"/>
        <w:bidi w:val="0"/>
        <w:jc w:val="left"/>
        <w:rPr>
          <w:rFonts w:ascii="Times New Roman" w:hAnsi="Times New Roman"/>
          <w:b/>
          <w:color w:val="000000"/>
          <w:sz w:val="20"/>
        </w:rPr>
      </w:pPr>
      <w:r>
        <w:rPr>
          <w:rFonts w:ascii="Times New Roman" w:hAnsi="Times New Roman"/>
          <w:b/>
          <w:color w:val="000000"/>
          <w:sz w:val="20"/>
        </w:rPr>
        <w:t>SHARE-BASED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NCM, Inc. 2020 Omnibus Equity Incentive Plan (the “2020 Plan”) was approved by NCM, Inc.'s stockholders on April 28, 2020 and approved 7,500,000 shares of common stock available for issuance or delivery under the 2020 Plan and an additional 7,500,000 shares of common stock available for issuance or delivery was approved on May 4, 2022. On August 3, 2023, the Company effected a one-for-ten (1:10) reverse stock split of its common stock, par value $0.01 per share. The reverse stock split, which was authorized by its Board of Directors, was approved by the Company’s stockholders on August 2, 2023. The reverse stock split reduced the number of outstanding shares of the Company’s 2020 Plan to 1,500,000. NCM, Inc.'s stockholders approved an additional 12,000,000 shares of common stock available for issuance or delivery under the 2020 Plan on November 2,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began issuing shares under the 2020 Plan in the second quarter of 2020. The 2020 Plan replaced NCM, Inc.’s 2016 Equity Incentive Plan (the “2016 Plan”), which replaced the 2007 Equity Incentive Plan (the “2007 Plan”). The 2020 Plan also includes 2,388,302 shares related to the number of shares reserved for issuance under the 2016 Plan that remained available for grant as of the effective date of the 2020 Plan and the number of shares subject to awards granted under the 2007 Plan as of the effective date of the 2020 Plan, which can become available for grant again upon expiration, termination, cancellation or forfeiture of the original award. As of January 1, 2026, 4,594,395 shares remain available for future grants (assuming 100% achievement of targets on performance-based restricted stock). The types of awards that may be granted under the 2020 Plan include stock options, stock appreciation rights, restricted stock, restricted stock units or other stock based awards. Certain option and share awards provide for accelerated vesting if there is a change in control, as defined in the 2016 Plan and 2020 Plan. Upon vesting of the restricted stock awards or exercise of options, NCM LLC will issue common membership units to the Company equal to the number of shares of the Company’s common stock represented by such awards.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120" w:after="283"/>
        <w:jc w:val="left"/>
        <w:rPr>
          <w:rFonts w:ascii="Times New Roman" w:hAnsi="Times New Roman"/>
          <w:sz w:val="20"/>
        </w:rPr>
      </w:pPr>
      <w:r>
        <w:rPr>
          <w:rFonts w:ascii="Times New Roman" w:hAnsi="Times New Roman"/>
          <w:b/>
          <w:i/>
          <w:color w:val="000000"/>
          <w:sz w:val="20"/>
        </w:rPr>
        <w:t>Compensation Cost</w:t>
      </w:r>
      <w:r>
        <w:rPr>
          <w:rFonts w:ascii="Times New Roman" w:hAnsi="Times New Roman"/>
          <w:color w:val="000000"/>
          <w:sz w:val="20"/>
        </w:rPr>
        <w:t>—The Company recognized $9.3 million, $12.2 million and</w:t>
      </w:r>
      <w:r>
        <w:rPr>
          <w:rFonts w:ascii="Times New Roman" w:hAnsi="Times New Roman"/>
          <w:color w:val="EE2724"/>
          <w:sz w:val="20"/>
        </w:rPr>
        <w:t xml:space="preserve"> </w:t>
      </w:r>
      <w:r>
        <w:rPr>
          <w:rFonts w:ascii="Times New Roman" w:hAnsi="Times New Roman"/>
          <w:color w:val="000000"/>
          <w:sz w:val="20"/>
        </w:rPr>
        <w:t>$4.5 million</w:t>
      </w:r>
      <w:r>
        <w:rPr>
          <w:rFonts w:ascii="Times New Roman" w:hAnsi="Times New Roman"/>
          <w:color w:val="EE2724"/>
          <w:sz w:val="20"/>
        </w:rPr>
        <w:t xml:space="preserve"> </w:t>
      </w:r>
      <w:r>
        <w:rPr>
          <w:rFonts w:ascii="Times New Roman" w:hAnsi="Times New Roman"/>
          <w:color w:val="000000"/>
          <w:sz w:val="20"/>
        </w:rPr>
        <w:t>for the years ended January 1, 2026, December 26, 2024 and December 28, 2023, respectively, of share-based compensation expense within “Network operating costs”, “Selling and marketing costs” and “Administrative and other costs” in the Consolidated Statements of Operations as shown in the table below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56"/>
        <w:gridCol w:w="146"/>
        <w:gridCol w:w="460"/>
        <w:gridCol w:w="791"/>
        <w:gridCol w:w="146"/>
        <w:gridCol w:w="146"/>
        <w:gridCol w:w="447"/>
        <w:gridCol w:w="990"/>
        <w:gridCol w:w="146"/>
        <w:gridCol w:w="146"/>
        <w:gridCol w:w="529"/>
        <w:gridCol w:w="908"/>
        <w:gridCol w:w="394"/>
      </w:tblGrid>
      <w:tr>
        <w:trPr/>
        <w:tc>
          <w:tcPr>
            <w:tcW w:w="4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0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26,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Share-based compensation costs included in network operating </w:t>
              <w:br/>
              <w: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Share-based compensation costs included in selling and </w:t>
              <w:br/>
              <w:t>   marketing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Share-based compensation costs included in administrative and </w:t>
              <w:br/>
              <w:t>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share-based compensation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years ended January 1, 2026, December 26, 2024 and December 28, 2023, $0.0 million, $0.0 million and $0.1 million was capitalized, respectively, in a corresponding manner to the capitalization of employee’s salaries for capitalized labor. As of January 1, 2026, there was less than $1.0 million of unrecognized compensation cost related to unvested options, which will be recognized over a remaining period of 0.6 years. As of January 1, 2026, unrecognized compensation cost related to restricted stock units was approximately $7.8 million, which will be recognized over a weighted average remaining period of 1.5 years.</w:t>
      </w:r>
    </w:p>
    <w:p>
      <w:pPr>
        <w:pStyle w:val="TextBody"/>
        <w:bidi w:val="0"/>
        <w:spacing w:before="120" w:after="283"/>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—The Company granted stock options during 2025 and 2023 that remain unvested as of January 1, 2026. A portion of the stock options awarded were granted with an exercise price equal to the closing market price of NCM, Inc. common stock on the date the Company’s Board of Directors approved the grant. The remaining portion of stock options awarded were granted with an exercise price in excess of the closing market price of NCM, Inc. common stock on the date the Company’s Board of Directors approved the grant. All options have either 10-year or 15-year contractual terms. The fair value of each option award is estimated on the date of grant using the Black-Scholes option pricing valuation model that uses the assumptions noted in the table below. Expected volatilities are based on implied volatilities from traded options on the Company’s stock, historical volatility of the Company’s stock and other factors. The Company uses historical data to estimate option exercise and employee termination within the valuation model. The expected term of options granted was developed based on historical and peer company data and represents the period of time that options granted are expected to be outstanding. The expected term of the options granted were adjusted to include the Company's cost of equity in order to incorporate the impact of the option's premium price and simulate a lattice model which resulted in an expected term in excess of the contractual term of 10 years. The risk-free rate for periods within the contractual life of the option is based on the U.S. Treasury yield curve in effect at the time of grant. There were no option awards granted for the year ended December 26, 2024. The following assumptions were used in the valuation of the options for the year ended January 1, 2026 and December 28, 2023:</w:t>
      </w:r>
    </w:p>
    <w:tbl>
      <w:tblPr>
        <w:tblW w:w="7202" w:type="dxa"/>
        <w:jc w:val="left"/>
        <w:tblInd w:w="0" w:type="dxa"/>
        <w:tblLayout w:type="fixed"/>
        <w:tblCellMar>
          <w:top w:w="28" w:type="dxa"/>
          <w:left w:w="28" w:type="dxa"/>
          <w:bottom w:w="28" w:type="dxa"/>
          <w:right w:w="28" w:type="dxa"/>
        </w:tblCellMar>
      </w:tblPr>
      <w:tblGrid>
        <w:gridCol w:w="2086"/>
        <w:gridCol w:w="146"/>
        <w:gridCol w:w="225"/>
        <w:gridCol w:w="720"/>
        <w:gridCol w:w="271"/>
        <w:gridCol w:w="146"/>
        <w:gridCol w:w="445"/>
        <w:gridCol w:w="1055"/>
        <w:gridCol w:w="146"/>
        <w:gridCol w:w="146"/>
        <w:gridCol w:w="357"/>
        <w:gridCol w:w="1143"/>
        <w:gridCol w:w="3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January 1, </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26,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summary of option award activity as of January 1, 2026, and changes during the year then ended are presented below:</w:t>
      </w:r>
    </w:p>
    <w:tbl>
      <w:tblPr>
        <w:tblW w:w="9362" w:type="dxa"/>
        <w:jc w:val="left"/>
        <w:tblInd w:w="0" w:type="dxa"/>
        <w:tblLayout w:type="fixed"/>
        <w:tblCellMar>
          <w:top w:w="28" w:type="dxa"/>
          <w:left w:w="28" w:type="dxa"/>
          <w:bottom w:w="28" w:type="dxa"/>
          <w:right w:w="28" w:type="dxa"/>
        </w:tblCellMar>
      </w:tblPr>
      <w:tblGrid>
        <w:gridCol w:w="4141"/>
        <w:gridCol w:w="146"/>
        <w:gridCol w:w="146"/>
        <w:gridCol w:w="781"/>
        <w:gridCol w:w="146"/>
        <w:gridCol w:w="146"/>
        <w:gridCol w:w="214"/>
        <w:gridCol w:w="582"/>
        <w:gridCol w:w="146"/>
        <w:gridCol w:w="146"/>
        <w:gridCol w:w="323"/>
        <w:gridCol w:w="802"/>
        <w:gridCol w:w="146"/>
        <w:gridCol w:w="146"/>
        <w:gridCol w:w="362"/>
        <w:gridCol w:w="598"/>
        <w:gridCol w:w="3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millions)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26,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as of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120" w:after="283"/>
        <w:jc w:val="left"/>
        <w:rPr>
          <w:rFonts w:ascii="Times New Roman" w:hAnsi="Times New Roman"/>
          <w:sz w:val="20"/>
        </w:rPr>
      </w:pPr>
      <w:r>
        <w:rPr>
          <w:rFonts w:ascii="Times New Roman" w:hAnsi="Times New Roman"/>
          <w:b/>
          <w:i/>
          <w:color w:val="000000"/>
          <w:sz w:val="20"/>
        </w:rPr>
        <w:t>Restricted Stock Units</w:t>
      </w:r>
      <w:r>
        <w:rPr>
          <w:rFonts w:ascii="Times New Roman" w:hAnsi="Times New Roman"/>
          <w:color w:val="000000"/>
          <w:sz w:val="20"/>
        </w:rPr>
        <w:t>—Under the non-vested stock program, common stock of the Company may be granted at no cost to officers, independent directors and employees, subject to requisite service and/or financial performance targets. As such restrictions lapse, the award vests in that proportion. The participants are entitled to dividend equivalents, although the sale and transfer of such shares is prohibited and the shares are subject to forfeiture during the restricted period. Additionally, the accrued dividend equivalents are subject to forfeiture during the vesting period should the underlying units not vest. As of January 1, 2026, December 26, 2024 and December 28, 2023, accrued dividend equivalents totaled $0.2 million, $0.0 million and</w:t>
      </w:r>
      <w:r>
        <w:rPr>
          <w:rFonts w:ascii="Times New Roman" w:hAnsi="Times New Roman"/>
          <w:color w:val="EE2724"/>
          <w:sz w:val="20"/>
        </w:rPr>
        <w:t xml:space="preserve"> </w:t>
      </w:r>
      <w:r>
        <w:rPr>
          <w:rFonts w:ascii="Times New Roman" w:hAnsi="Times New Roman"/>
          <w:color w:val="000000"/>
          <w:sz w:val="20"/>
        </w:rPr>
        <w:t xml:space="preserve">$0.3 million, respectively and during the years ended January 1, 2026, December 26, 2024 and December 28, 2023, the Company paid $0.1 million, $0.3 million and $0.5 million, respectively, for dividend equivalents upon vesting of the restricted stock units. During the year ended January 1, 2026, the Company issued time-based restricted stock units to its employees which vest over a three-year period with one-third vesting on each anniversary of the date of grant and performance-based restricted stock units which vest following a cumulative three-year measurement period to the extent that the Company achieves specified non-GAAP targets at the end of the measurement period. Certain other vesting periods have also been used. The Company also grants restricted stock units to its non-employee directors that vest after approximately one year. In the year ended December 26, 2024, the Company issued grants to certain employees under a management incentive plan related to the Company's emergence from the Chapter 11 Case. The structure and size of these grants differed from historical grants. The grants consisted of time-based restricted stock units which vest over a three-year period, with 30% vesting at the end of fiscal year 2024, 7.5% vesting each quarter of 2025 and 10% vesting each quarter of 2026. The grants also included performance-based restricted stock units which vest in three equal tranches, each with a one-year measurement period to the extent that the Company achieves specified non-GAAP targets at the end of each measurement period and market-based restricted stock units which vest at any point before the end of 2026 to the extent that the Company achieves specified shareholder value prior to the end of the measurement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restricted stock units will be settled in shares of the Company’s common stock. The grant date fair value of the time-based and performance-based restricted stock units is based on the closing market price on NCM, Inc. common stock on the date of grant. An annual forfeiture rate of 2-6% was estimated to reflect the potential separation of employees. The grant date fair value of the market-based restricted stock units was calculated using a Monte Carlo simulation model. This model considers various subjective assumptions as inputs which involve inherent uncertainties and the application of our judgment as it relates to market volatilities, the historical volatility of our stock price, risk-free rates and expected life. The RSU awards include the right to receive dividend equivalents, subject to vesting. The weighted average grant date fair value of non-vested stock was $5.53, $3.51 and $3.42 for the years ended January 1, 2026, December 26, 2024 and December 28, 2023, respectively. The total fair value of awards that vested during the years ended January 1, 2026, December 26, 2024 and December 28, 2023 was $5.7 million, $9.6 million and $7.1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restricted stock unit activity as of January 1, 2026, and changes during the year then ended are presented below:</w:t>
      </w:r>
    </w:p>
    <w:p>
      <w:pPr>
        <w:pStyle w:val="TextBody"/>
        <w:bidi w:val="0"/>
        <w:jc w:val="left"/>
        <w:rPr/>
      </w:pPr>
      <w:r>
        <w:rPr/>
        <w:t> </w:t>
      </w:r>
    </w:p>
    <w:tbl>
      <w:tblPr>
        <w:tblW w:w="6761" w:type="dxa"/>
        <w:jc w:val="left"/>
        <w:tblInd w:w="0" w:type="dxa"/>
        <w:tblLayout w:type="fixed"/>
        <w:tblCellMar>
          <w:top w:w="28" w:type="dxa"/>
          <w:left w:w="28" w:type="dxa"/>
          <w:bottom w:w="28" w:type="dxa"/>
          <w:right w:w="28" w:type="dxa"/>
        </w:tblCellMar>
      </w:tblPr>
      <w:tblGrid>
        <w:gridCol w:w="3766"/>
        <w:gridCol w:w="146"/>
        <w:gridCol w:w="152"/>
        <w:gridCol w:w="1033"/>
        <w:gridCol w:w="166"/>
        <w:gridCol w:w="146"/>
        <w:gridCol w:w="299"/>
        <w:gridCol w:w="662"/>
        <w:gridCol w:w="3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w:t>
              <w:br/>
              <w:t>Restricted</w:t>
              <w:br/>
              <w:t xml:space="preserve">Stock Units </w:t>
            </w:r>
            <w:r>
              <w:rPr>
                <w:rFonts w:ascii="Times New Roman" w:hAnsi="Times New Roman"/>
                <w:b/>
                <w:i/>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balance as of December 26,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5,436,562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Vested </w:t>
            </w:r>
            <w:r>
              <w:rPr>
                <w:rFonts w:ascii="Times New Roman" w:hAnsi="Times New Roman"/>
                <w:i/>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balance as of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4,955,750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Includes unvested 3,053,509 shares of performance-based restricted stock units as of December 26, 2024, 515,171 shares granted during the year and 121,288 shares forfeited during the year, resulting in 2,886,077 unvested shares of performance-based restricted stock units as of January 1, 2026.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88,637 vested shares that were withheld to cover tax obligations and were subsequently canceled.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above table reflects performance-based restricted stock granted at 100% achievement of performance conditions and as such does not reflect the maximum or minimum number of shares of performance-based restricted stock contingently issuable. No shares of the performance-based restricted stock will be issued if the specified targets are not met. As of January 1, 2026, the total number of performance-based restricted stock units that are ultimately expected to vest, after consideration of expected forfeitures and current projections of estimated vesting of performance-based restricted stock units is 215,364 shares.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EMPLOYEE BENEFIT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sponsors the NCM 401(k) Profit Sharing Plan (the “Plan”) under Section 401(k) of the Internal Revenue Code of 1986, as amended, for the benefit of substantially all full-time employees. The Plan provides that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participants may contribute up to 20% of their compensation, subject to Internal Revenue Service limitations. Employee contributions are invested in various investment funds based upon election made by the employee. The Company made discretionary contributions of $0.4 million, $0.2 million and $0.0 million during the years ended January 1, 2026, December 26, 2024 and December 28, 2023, respectively. In response to the COVID-19 Pandemic and Chapter 11 Case, the Company temporarily suspended its match of a portion of employees 401(k) contributions effective April 2020 through December 28, 2023, which was reinstated at the beginning of 2024.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sz w:val="20"/>
        </w:rPr>
      </w:pPr>
      <w:r>
        <w:rPr>
          <w:rFonts w:ascii="Times New Roman" w:hAnsi="Times New Roman"/>
          <w:b/>
          <w:i/>
          <w:color w:val="000000"/>
          <w:sz w:val="20"/>
        </w:rPr>
        <w:t>Legal Actions</w:t>
      </w:r>
      <w:r>
        <w:rPr>
          <w:rFonts w:ascii="Times New Roman" w:hAnsi="Times New Roman"/>
          <w:color w:val="000000"/>
          <w:sz w:val="20"/>
        </w:rPr>
        <w:t>—The Company is subject to claims and legal actions in the ordinary course of business. The Company believes such claims will not have a material effect, individually and in aggregate, on its financial position, results of operations or cash flows.</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Commitments-Facilities</w:t>
      </w:r>
      <w:r>
        <w:rPr>
          <w:rFonts w:ascii="Times New Roman" w:hAnsi="Times New Roman"/>
          <w:color w:val="000000"/>
          <w:sz w:val="20"/>
        </w:rPr>
        <w:t>—The Company has entered into operating lease agreements for its corporate headquarters and other regional offices. The Company has right-of-use (“ROU”) assets of $8.8 million and short-term and long-term lease liabilities of $1.5 million and $9.3 million, respectively, on the balance sheet as of January 1, 2026 for all material leases with terms longer than twelve months. As of December 26, 2024 the Company had ROU assets of $12.2 million and short-term and long-term lease liabilities of $1.7 million and $12.5 million, respectively, for all material leases with terms longer than twelve months. These balances are included within “Other assets”, “Other current liabilities” and “Long-term lease liabilities”, respectively, on the audited Consolidated Balance Sheets. As of January 1, 2026, the Company had a weighted average remaining lease term of 7.5</w:t>
      </w:r>
      <w:r>
        <w:rPr>
          <w:rFonts w:ascii="Times New Roman" w:hAnsi="Times New Roman"/>
          <w:color w:val="FF0000"/>
          <w:sz w:val="20"/>
        </w:rPr>
        <w:t xml:space="preserve"> </w:t>
      </w:r>
      <w:r>
        <w:rPr>
          <w:rFonts w:ascii="Times New Roman" w:hAnsi="Times New Roman"/>
          <w:color w:val="000000"/>
          <w:sz w:val="20"/>
        </w:rPr>
        <w:t xml:space="preserve">years on these leases.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also entered into certain short-term leases with a term of less than one year. These leases are not included within the Company’s ROU assets or lease liabilities due to the Company’s election of the practical expedient in ASC 842-20-25-2 for short-term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8, 2025, the Company entered into a lease modification with the landlord for the Company's headquarter office space in Centennial, Colorado. The commencement of the new leased asset and the termination of the current leased asset are contingent upon landlord-controlled construction and the associated timing of completion is uncertain as of January 1, 2026. Once complete, the Company will lease the new premises for a term of 11 years and will vacate the current premises prior to the original end date of June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January 1, 2026, December 26, 2024 and December 28, 2023, the Company recognized the following components of total lease cost (in millions). These costs are presented within “Selling and marketing costs” and “Administrative and other costs” within the audited Consolidated Statements of Operations depending upon the nature of the use of the facility.</w:t>
      </w:r>
    </w:p>
    <w:p>
      <w:pPr>
        <w:pStyle w:val="TextBody"/>
        <w:bidi w:val="0"/>
        <w:jc w:val="left"/>
        <w:rPr/>
      </w:pPr>
      <w:r>
        <w:rPr/>
        <w:t> </w:t>
      </w:r>
    </w:p>
    <w:tbl>
      <w:tblPr>
        <w:tblW w:w="6622" w:type="dxa"/>
        <w:jc w:val="left"/>
        <w:tblInd w:w="0" w:type="dxa"/>
        <w:tblLayout w:type="fixed"/>
        <w:tblCellMar>
          <w:top w:w="28" w:type="dxa"/>
          <w:left w:w="28" w:type="dxa"/>
          <w:bottom w:w="28" w:type="dxa"/>
          <w:right w:w="28" w:type="dxa"/>
        </w:tblCellMar>
      </w:tblPr>
      <w:tblGrid>
        <w:gridCol w:w="1756"/>
        <w:gridCol w:w="146"/>
        <w:gridCol w:w="347"/>
        <w:gridCol w:w="598"/>
        <w:gridCol w:w="146"/>
        <w:gridCol w:w="146"/>
        <w:gridCol w:w="552"/>
        <w:gridCol w:w="948"/>
        <w:gridCol w:w="146"/>
        <w:gridCol w:w="146"/>
        <w:gridCol w:w="552"/>
        <w:gridCol w:w="948"/>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January 1,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26,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made lease payments for the year ended January 1, 2026, December 26, 2024 and December 28, 2023 of $2.4 million, $2.0 million and $3.6 million, respectively. These payments are included within cash flows from operating activities within the audited Consolidated Statement of Cash Flows. The minimum lease payments under noncancellable operating leases as of January 1, 2026 were as follows (in millions):</w:t>
      </w:r>
    </w:p>
    <w:p>
      <w:pPr>
        <w:pStyle w:val="TextBody"/>
        <w:bidi w:val="0"/>
        <w:jc w:val="left"/>
        <w:rPr/>
      </w:pPr>
      <w:r>
        <w:rPr/>
        <w:t> </w:t>
      </w:r>
    </w:p>
    <w:tbl>
      <w:tblPr>
        <w:tblW w:w="8188" w:type="dxa"/>
        <w:jc w:val="left"/>
        <w:tblInd w:w="0" w:type="dxa"/>
        <w:tblLayout w:type="fixed"/>
        <w:tblCellMar>
          <w:top w:w="28" w:type="dxa"/>
          <w:left w:w="28" w:type="dxa"/>
          <w:bottom w:w="28" w:type="dxa"/>
          <w:right w:w="28" w:type="dxa"/>
        </w:tblCellMar>
      </w:tblPr>
      <w:tblGrid>
        <w:gridCol w:w="6406"/>
        <w:gridCol w:w="146"/>
        <w:gridCol w:w="387"/>
        <w:gridCol w:w="858"/>
        <w:gridCol w:w="391"/>
      </w:tblGrid>
      <w:tr>
        <w:trPr/>
        <w:tc>
          <w:tcPr>
            <w:tcW w:w="6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Minimum Lease</w:t>
              <w:br/>
              <w:t>Payments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 on future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liability as of January 1, 2026 per the Consolidated Balance Sheet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left"/>
        <w:rPr>
          <w:rFonts w:ascii="Times New Roman" w:hAnsi="Times New Roman"/>
          <w:color w:val="000000"/>
          <w:sz w:val="20"/>
        </w:rPr>
      </w:pPr>
      <w:r>
        <w:rPr>
          <w:rFonts w:ascii="Times New Roman" w:hAnsi="Times New Roman"/>
          <w:color w:val="000000"/>
          <w:sz w:val="20"/>
        </w:rPr>
        <w:t>When measuring the ROU assets and lease liabilities recorded, the Company utilized its incremental borrowing rate in order to determine the present value of the lease payments as the leases do not provide an implicit rate. The Company used the rate of interest that it would have paid to borrow on a collateralized basis over a similar term for an amount equal to the lease payments in a similar economic environment. As of January 1, 2026, the Company’s weighted average annual discount rate used to establish the ROU assets and lease liabilities was 3.7%.</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Commitments - ESAs and Affiliate Agreements</w:t>
      </w:r>
      <w:r>
        <w:rPr>
          <w:rFonts w:ascii="Times New Roman" w:hAnsi="Times New Roman"/>
          <w:color w:val="000000"/>
          <w:sz w:val="20"/>
        </w:rPr>
        <w:t>—The Company has entered into long-term ESAs with the ESA Parties and multi-year agreements with certain network affiliates, or third-party theater circuits. The ESAs and network affiliate agreements grant NCM LLC exclusive rights in their theaters to sell advertising, subject to limited exceptions. The Company recognizes intangible assets upon issuance of membership units to the ESA Parties in accordance with NCM LLC’s Common Unit Adjustment Agreement and upfront cash payments to the affiliates for the contractual rights to provide the Company’s services within their theaters as further discussed within Note 6—</w:t>
      </w:r>
      <w:r>
        <w:rPr>
          <w:rFonts w:ascii="Times New Roman" w:hAnsi="Times New Roman"/>
          <w:i/>
          <w:color w:val="000000"/>
          <w:sz w:val="20"/>
        </w:rPr>
        <w:t>Intangible Assets</w:t>
      </w:r>
      <w:r>
        <w:rPr>
          <w:rFonts w:ascii="Times New Roman" w:hAnsi="Times New Roman"/>
          <w:color w:val="000000"/>
          <w:sz w:val="20"/>
        </w:rPr>
        <w:t>. These ESAs and network affiliate agreements are considered leases under ASC 842 once the asset is identified and the period of control is determined upon the scheduling of the showtimes by the exhibitors, typically one week prior to the showtime. As such, the leases are considered short-term in nature, specifically less than one month. Within ASC 842, leases with terms of less than one month are exempt from the majority of the accounting and disclosure requirements, including disclosure of short-term lease expense. No ROU assets or lease liabilities were recognized for these agreements and no change to the balance sheet presentation of the intangible assets was necessary. However, the amortization of these intangible assets is considered lease expense and is presented within ‘Amortization expense’ within the Consolidated Statement of Operations. The Company recorded</w:t>
      </w:r>
      <w:r>
        <w:rPr>
          <w:rFonts w:ascii="Times New Roman" w:hAnsi="Times New Roman"/>
          <w:color w:val="FF0000"/>
          <w:sz w:val="20"/>
        </w:rPr>
        <w:t xml:space="preserve"> </w:t>
      </w:r>
      <w:r>
        <w:rPr>
          <w:rFonts w:ascii="Times New Roman" w:hAnsi="Times New Roman"/>
          <w:color w:val="000000"/>
          <w:sz w:val="20"/>
        </w:rPr>
        <w:t>$18.8 million, $23.4 million and $16.7 million in amortization of these intangible assets in the years ended January 1, 2026, December 26, 2024 and December 28, 2023,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NCM LLC’s access to the ESA Parties’ and network affiliates' theater attendees for on-screen advertising and use of lobbies and other space within the exhibitors’ theaters for the LEN and lobby promotions, the ESA Parties and network affiliates receive payments based either upon number of attendees (pre or post-showtime), a revenue share, a fee per screen or digital screen or a combination, including a minimum revenue guarantee per attendee. Many of these agreements contain increases annually or every five years to the respective fee structures or guaranteed minimums, either per patron, per theater and/or per digital screen in a range from 2% to 8% depending upon the underlying agreement. The theater access fee paid in the aggregate to Cinemark cannot be less than 12% of NCM LLC’s aggregate advertising revenue (as defined in the ESA), or it will be adjusted upward to reach this minimum payment. As of January 1, 2026, December 26, 2024 and December 28, 2023, the Company had no liabilities recorded for the minimum payment, as the theater access fee was in excess of the minimum. The Company does not owe any theater access fees or revenue share when the theaters are not displaying the Company's pre-show or when the Company does not have access to the theaters. The digital screen fee is calculated based upon average screens in use during each month. As part of the AMC 2025 Agreement, the Company will modernize certain lobbies within AMC's theaters, which will require the Company to expend refurbishment costs upon identification of a third-party vendor.</w:t>
      </w:r>
    </w:p>
    <w:p>
      <w:pPr>
        <w:pStyle w:val="TextBody"/>
        <w:bidi w:val="0"/>
        <w:spacing w:before="120" w:after="283"/>
        <w:jc w:val="left"/>
        <w:rPr>
          <w:rFonts w:ascii="Times New Roman" w:hAnsi="Times New Roman"/>
          <w:sz w:val="20"/>
        </w:rPr>
      </w:pPr>
      <w:r>
        <w:rPr>
          <w:rFonts w:ascii="Times New Roman" w:hAnsi="Times New Roman"/>
          <w:color w:val="000000"/>
          <w:sz w:val="20"/>
        </w:rPr>
        <w:t>As part of the network affiliate agreements entered into in the ordinary course of business under which the 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the amount paid under the revenue share arrangement is less than the guaranteed amount. As of January 1, 2026, the maximum potential amount of future payments the Company could be required to make pursuant to the minimum revenue guarantees is $315.7 million over the remaining terms of the network affiliate agreements, contingent upon the achievement of network affiliate minimum attendance thresholds. These minimum guarantees relate to various affiliate agreements ranging in term from one to nine years, prior to any renewal periods of which some are at the option of the Company. During the year ended January 1, 2026, December 26, 2024 and December 28, 2023, the Company paid $1.0 million, $0.1 million and $0.0 million, respectively, related to these minimum guarantees. As of January 1, 2026 and December 26, 2024, the Company had</w:t>
      </w:r>
      <w:r>
        <w:rPr>
          <w:rFonts w:ascii="Times New Roman" w:hAnsi="Times New Roman"/>
          <w:color w:val="FF0000"/>
          <w:sz w:val="20"/>
        </w:rPr>
        <w:t xml:space="preserve"> </w:t>
      </w:r>
      <w:r>
        <w:rPr>
          <w:rFonts w:ascii="Times New Roman" w:hAnsi="Times New Roman"/>
          <w:color w:val="000000"/>
          <w:sz w:val="20"/>
        </w:rPr>
        <w:t>$1.1 million and $0.7 million, respectively, in liabilities recorded within “Accounts payable” in the Consolidated Balance Sheets for these obligations, as such guarantees are less than the expected share of revenue paid to the affiliate.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sz w:val="20"/>
        </w:rPr>
      </w:pPr>
      <w:r>
        <w:rPr>
          <w:rFonts w:ascii="Times New Roman" w:hAnsi="Times New Roman"/>
          <w:b/>
          <w:i/>
          <w:color w:val="000000"/>
          <w:sz w:val="20"/>
        </w:rPr>
        <w:t>Non-Recurring Measurements</w:t>
      </w:r>
      <w:r>
        <w:rPr>
          <w:rFonts w:ascii="Times New Roman" w:hAnsi="Times New Roman"/>
          <w:color w:val="000000"/>
          <w:sz w:val="20"/>
        </w:rPr>
        <w:t>—Certain assets are measured at fair value on a non-recurring basis. These assets are not measured at fair value on an ongoing basis but are subject to fair value adjustments in certain circumstances. These assets include long-lived assets, intangible assets, cost and equity method investments and borrowings.</w:t>
      </w:r>
    </w:p>
    <w:p>
      <w:pPr>
        <w:pStyle w:val="TextBody"/>
        <w:bidi w:val="0"/>
        <w:spacing w:before="120" w:after="283"/>
        <w:jc w:val="left"/>
        <w:rPr>
          <w:rFonts w:ascii="Times New Roman" w:hAnsi="Times New Roman"/>
          <w:sz w:val="20"/>
        </w:rPr>
      </w:pPr>
      <w:r>
        <w:rPr>
          <w:rFonts w:ascii="Times New Roman" w:hAnsi="Times New Roman"/>
          <w:i/>
          <w:color w:val="000000"/>
          <w:sz w:val="20"/>
        </w:rPr>
        <w:t>Long-Lived Assets, Intangible Assets and Other Investments</w:t>
      </w:r>
      <w:r>
        <w:rPr>
          <w:rFonts w:ascii="Times New Roman" w:hAnsi="Times New Roman"/>
          <w:color w:val="000000"/>
          <w:sz w:val="20"/>
        </w:rPr>
        <w:t>—As described in Note 1—</w:t>
      </w:r>
      <w:r>
        <w:rPr>
          <w:rFonts w:ascii="Times New Roman" w:hAnsi="Times New Roman"/>
          <w:i/>
          <w:color w:val="000000"/>
          <w:sz w:val="20"/>
        </w:rPr>
        <w:t>Basis of Presentation and Summary of Significant Accounting Policies</w:t>
      </w:r>
      <w:r>
        <w:rPr>
          <w:rFonts w:ascii="Times New Roman" w:hAnsi="Times New Roman"/>
          <w:color w:val="000000"/>
          <w:sz w:val="20"/>
        </w:rPr>
        <w:t xml:space="preserve">, the Company regularly reviews long-lived assets (primarily property, plant and equipment), intangible assets, investments accounted for under the cost or equity method and notes receivable for impairment whenever events or changes in circumstances indicate that the carrying amounts of the assets may not be fully recoverable.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the estimated fair value is determined to be lower than the carrying value of the asset, an impairment charge is recorded to write the asset down to its estimated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investments consisted of the following (in millions):</w:t>
      </w:r>
    </w:p>
    <w:p>
      <w:pPr>
        <w:pStyle w:val="TextBody"/>
        <w:bidi w:val="0"/>
        <w:jc w:val="left"/>
        <w:rPr/>
      </w:pPr>
      <w:r>
        <w:rPr/>
        <w:t> </w:t>
      </w:r>
    </w:p>
    <w:tbl>
      <w:tblPr>
        <w:tblW w:w="5900" w:type="dxa"/>
        <w:jc w:val="left"/>
        <w:tblInd w:w="0" w:type="dxa"/>
        <w:tblLayout w:type="fixed"/>
        <w:tblCellMar>
          <w:top w:w="28" w:type="dxa"/>
          <w:left w:w="28" w:type="dxa"/>
          <w:bottom w:w="28" w:type="dxa"/>
          <w:right w:w="28" w:type="dxa"/>
        </w:tblCellMar>
      </w:tblPr>
      <w:tblGrid>
        <w:gridCol w:w="2266"/>
        <w:gridCol w:w="146"/>
        <w:gridCol w:w="480"/>
        <w:gridCol w:w="825"/>
        <w:gridCol w:w="146"/>
        <w:gridCol w:w="146"/>
        <w:gridCol w:w="552"/>
        <w:gridCol w:w="948"/>
        <w:gridCol w:w="3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26,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AC JV,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color w:val="000000"/>
          <w:sz w:val="20"/>
        </w:rPr>
        <w:t>The investment in AC JV was initially valued using comparative market multiples. The other investments were recorded based upon the fair value of the services provided in exchange for the investment. Refer to Note 1—</w:t>
      </w:r>
      <w:r>
        <w:rPr>
          <w:rFonts w:ascii="Times New Roman" w:hAnsi="Times New Roman"/>
          <w:i/>
          <w:color w:val="000000"/>
          <w:sz w:val="20"/>
        </w:rPr>
        <w:t>Basis of Presentation and Summary of Significant Accounting Policies</w:t>
      </w:r>
      <w:r>
        <w:rPr>
          <w:rFonts w:ascii="Times New Roman" w:hAnsi="Times New Roman"/>
          <w:color w:val="000000"/>
          <w:sz w:val="20"/>
        </w:rPr>
        <w:t xml:space="preserve"> for more details. As the inputs to the determination of fair value are based upon non-identical assets and use significant unobservable inputs, they have been classified as Level 3 in the fair value hierarchy. The increase in ‘Other investments’ from December 26, 2024 to January 1, 2026 is due to a $2.0 million cash investment in an entertainment company and advertising services performed in exchange for equity in various companies. During the years ended January 1, 2026 and December 26, 2024, no observable price changes or impairments have been recorded as a result of the Company’s qualitative assessment of identified events or changes in the circumstances of the remaining investments, which resulted in the investments totaling $8.1 million as of January 1, 2026.</w:t>
      </w:r>
    </w:p>
    <w:p>
      <w:pPr>
        <w:pStyle w:val="TextBody"/>
        <w:bidi w:val="0"/>
        <w:jc w:val="left"/>
        <w:rPr>
          <w:rFonts w:ascii="Times New Roman" w:hAnsi="Times New Roman"/>
          <w:sz w:val="20"/>
        </w:rPr>
      </w:pPr>
      <w:r>
        <w:rPr>
          <w:rFonts w:ascii="Times New Roman" w:hAnsi="Times New Roman"/>
          <w:i/>
          <w:color w:val="000000"/>
          <w:sz w:val="20"/>
        </w:rPr>
        <w:t>Borrowings</w:t>
      </w:r>
      <w:r>
        <w:rPr>
          <w:rFonts w:ascii="Times New Roman" w:hAnsi="Times New Roman"/>
          <w:color w:val="000000"/>
          <w:sz w:val="20"/>
        </w:rPr>
        <w:t>—The carrying amount of the 2025 Credit Facility is considered a reasonable estimate of fair value due to its floating-rate terms.</w:t>
      </w:r>
    </w:p>
    <w:p>
      <w:pPr>
        <w:pStyle w:val="TextBody"/>
        <w:bidi w:val="0"/>
        <w:spacing w:before="120" w:after="283"/>
        <w:jc w:val="left"/>
        <w:rPr>
          <w:rFonts w:ascii="Times New Roman" w:hAnsi="Times New Roman"/>
          <w:sz w:val="20"/>
        </w:rPr>
      </w:pPr>
      <w:r>
        <w:rPr>
          <w:rFonts w:ascii="Times New Roman" w:hAnsi="Times New Roman"/>
          <w:b/>
          <w:i/>
          <w:color w:val="000000"/>
          <w:sz w:val="20"/>
        </w:rPr>
        <w:t>Recurring Measurements</w:t>
      </w:r>
      <w:r>
        <w:rPr>
          <w:rFonts w:ascii="Times New Roman" w:hAnsi="Times New Roman"/>
          <w:color w:val="000000"/>
          <w:sz w:val="20"/>
        </w:rPr>
        <w:t xml:space="preserve">—All current assets and liabilities are estimated to approximate their fair value due to the short-term nature of these balances. There were no Company assets and liabilities measured on a recurring basis as of January 1, 2026, including cash equivalents or marketable securities. The fair values of the Company’s assets and liabilities measured on a recurring basis as of December 26, 2024 pursuant to ASC 820-10 </w:t>
      </w:r>
      <w:r>
        <w:rPr>
          <w:rFonts w:ascii="Times New Roman" w:hAnsi="Times New Roman"/>
          <w:i/>
          <w:color w:val="000000"/>
          <w:sz w:val="20"/>
        </w:rPr>
        <w:t>Fair Value Measurements and Disclosures</w:t>
      </w:r>
      <w:r>
        <w:rPr>
          <w:rFonts w:ascii="Times New Roman" w:hAnsi="Times New Roman"/>
          <w:color w:val="000000"/>
          <w:sz w:val="20"/>
        </w:rPr>
        <w:t xml:space="preserve"> are as follows (in millions):</w:t>
      </w:r>
    </w:p>
    <w:p>
      <w:pPr>
        <w:pStyle w:val="TextBody"/>
        <w:bidi w:val="0"/>
        <w:jc w:val="left"/>
        <w:rPr/>
      </w:pPr>
      <w:r>
        <w:rPr/>
        <w:t> </w:t>
      </w:r>
    </w:p>
    <w:tbl>
      <w:tblPr>
        <w:tblW w:w="9556" w:type="dxa"/>
        <w:jc w:val="left"/>
        <w:tblInd w:w="0" w:type="dxa"/>
        <w:tblLayout w:type="fixed"/>
        <w:tblCellMar>
          <w:top w:w="28" w:type="dxa"/>
          <w:left w:w="28" w:type="dxa"/>
          <w:bottom w:w="28" w:type="dxa"/>
          <w:right w:w="28" w:type="dxa"/>
        </w:tblCellMar>
      </w:tblPr>
      <w:tblGrid>
        <w:gridCol w:w="3201"/>
        <w:gridCol w:w="146"/>
        <w:gridCol w:w="467"/>
        <w:gridCol w:w="1033"/>
        <w:gridCol w:w="146"/>
        <w:gridCol w:w="146"/>
        <w:gridCol w:w="378"/>
        <w:gridCol w:w="837"/>
        <w:gridCol w:w="146"/>
        <w:gridCol w:w="146"/>
        <w:gridCol w:w="343"/>
        <w:gridCol w:w="588"/>
        <w:gridCol w:w="146"/>
        <w:gridCol w:w="146"/>
        <w:gridCol w:w="415"/>
        <w:gridCol w:w="681"/>
        <w:gridCol w:w="591"/>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w:t>
              <w:br/>
              <w:t>Reporting Date Using</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As of</w:t>
              <w:br/>
              <w:t>December 26,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w:t>
              <w:br/>
              <w:t>in Active</w:t>
              <w:br/>
              <w:t>Markets for</w:t>
              <w:br/>
              <w:t>Identical 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Cash equivalents </w:t>
            </w: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Short-term marketable securities </w:t>
            </w:r>
            <w:r>
              <w:rPr>
                <w:rFonts w:ascii="Times New Roman" w:hAnsi="Times New Roman"/>
                <w:i/>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6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60" w:after="283"/>
        <w:jc w:val="left"/>
        <w:rPr>
          <w:rFonts w:ascii="Times New Roman" w:hAnsi="Times New Roman"/>
          <w:sz w:val="20"/>
        </w:rPr>
      </w:pPr>
      <w:r>
        <w:rPr>
          <w:rFonts w:ascii="Times New Roman" w:hAnsi="Times New Roman"/>
          <w:i/>
          <w:color w:val="000000"/>
          <w:sz w:val="20"/>
        </w:rPr>
        <w:t>Cash Equivalents</w:t>
      </w:r>
      <w:r>
        <w:rPr>
          <w:rFonts w:ascii="Times New Roman" w:hAnsi="Times New Roman"/>
          <w:color w:val="000000"/>
          <w:sz w:val="20"/>
        </w:rPr>
        <w:t>—The Company’s cash equivalents are carried at estimated fair value. Cash equivalents consist of money market accounts which the Company has classified as Level 1 given the active market for these accounts.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rFonts w:ascii="Times New Roman" w:hAnsi="Times New Roman"/>
          <w:sz w:val="20"/>
        </w:rPr>
      </w:pPr>
      <w:r>
        <w:rPr>
          <w:rFonts w:ascii="Times New Roman" w:hAnsi="Times New Roman"/>
          <w:i/>
          <w:color w:val="000000"/>
          <w:sz w:val="20"/>
        </w:rPr>
        <w:t>Short-Term and Long-Term Marketable Securities</w:t>
      </w:r>
      <w:r>
        <w:rPr>
          <w:rFonts w:ascii="Times New Roman" w:hAnsi="Times New Roman"/>
          <w:color w:val="000000"/>
          <w:sz w:val="20"/>
        </w:rPr>
        <w:t>—The carrying amount and fair value of the marketable securities are equivalent since the Company accounts for these instruments at fair value. The Company’s certificates of deposit are valued at cost plus interest. The inputs in the valuation are classified as Level 1 if there is an active market for these securities; however, if an active market does not exist, the inputs are recorded at a lower level in the fair value hierarchy. The value of the certificates of deposit is derived from contractual terms. The inputs to the valuation pricing models are observable, and as such are generally classified as Level 2 in the fair value hierarchy.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amortized cost basis, aggregate fair value and maturities of the marketable securities the Company held as of December 26, 2024 are as follows: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tbl>
      <w:tblPr>
        <w:tblW w:w="8132" w:type="dxa"/>
        <w:jc w:val="left"/>
        <w:tblInd w:w="0" w:type="dxa"/>
        <w:tblLayout w:type="fixed"/>
        <w:tblCellMar>
          <w:top w:w="28" w:type="dxa"/>
          <w:left w:w="28" w:type="dxa"/>
          <w:bottom w:w="28" w:type="dxa"/>
          <w:right w:w="28" w:type="dxa"/>
        </w:tblCellMar>
      </w:tblPr>
      <w:tblGrid>
        <w:gridCol w:w="3581"/>
        <w:gridCol w:w="146"/>
        <w:gridCol w:w="354"/>
        <w:gridCol w:w="606"/>
        <w:gridCol w:w="146"/>
        <w:gridCol w:w="146"/>
        <w:gridCol w:w="354"/>
        <w:gridCol w:w="606"/>
        <w:gridCol w:w="146"/>
        <w:gridCol w:w="146"/>
        <w:gridCol w:w="319"/>
        <w:gridCol w:w="791"/>
        <w:gridCol w:w="791"/>
      </w:tblGrid>
      <w:tr>
        <w:trPr/>
        <w:tc>
          <w:tcPr>
            <w:tcW w:w="3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26, 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Maturities </w:t>
            </w:r>
            <w:r>
              <w:rPr>
                <w:rFonts w:ascii="Times New Roman" w:hAnsi="Times New Roman"/>
                <w:b/>
                <w:i/>
                <w:color w:val="000000"/>
                <w:sz w:val="16"/>
              </w:rPr>
              <w:t>(1)</w:t>
            </w:r>
            <w:r>
              <w:rPr>
                <w:rFonts w:ascii="Times New Roman" w:hAnsi="Times New Roman"/>
                <w:b/>
                <w:color w:val="000000"/>
                <w:sz w:val="16"/>
              </w:rPr>
              <w:br/>
              <w:t>(in years)</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jc w:val="left"/>
        <w:rPr/>
      </w:pPr>
      <w:r>
        <w:rPr/>
        <w:t> </w:t>
      </w:r>
    </w:p>
    <w:p>
      <w:pPr>
        <w:pStyle w:val="TextBody"/>
        <w:bidi w:val="0"/>
        <w:spacing w:before="6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60" w:after="283"/>
        <w:jc w:val="left"/>
        <w:rPr>
          <w:rFonts w:ascii="Times New Roman" w:hAnsi="Times New Roman"/>
          <w:sz w:val="20"/>
        </w:rPr>
      </w:pPr>
      <w:r>
        <w:rPr>
          <w:rFonts w:ascii="Times New Roman" w:hAnsi="Times New Roman"/>
          <w:i/>
          <w:color w:val="000000"/>
          <w:sz w:val="20"/>
        </w:rPr>
        <w:t>Maturities</w:t>
      </w:r>
      <w:r>
        <w:rPr>
          <w:rFonts w:ascii="Times New Roman" w:hAnsi="Times New Roman"/>
          <w:color w:val="000000"/>
          <w:sz w:val="20"/>
        </w:rPr>
        <w:t>— Securities available for sale include obligations with various contractual maturity dates some of which are greater than one year. The Company considers the securities to be liquid and convertible to cash within 30 days.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VALUATION ACCOUNT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valuation allowance on deferred tax assets for the year ended January 1, 2026 and December 26, 2024 was as follows (in millions):</w:t>
      </w:r>
    </w:p>
    <w:p>
      <w:pPr>
        <w:pStyle w:val="TextBody"/>
        <w:bidi w:val="0"/>
        <w:spacing w:before="120" w:after="283"/>
        <w:jc w:val="left"/>
        <w:rPr/>
      </w:pPr>
      <w:r>
        <w:rPr/>
        <w:t> </w:t>
      </w:r>
    </w:p>
    <w:tbl>
      <w:tblPr>
        <w:tblW w:w="8740" w:type="dxa"/>
        <w:jc w:val="left"/>
        <w:tblInd w:w="0" w:type="dxa"/>
        <w:tblLayout w:type="fixed"/>
        <w:tblCellMar>
          <w:top w:w="28" w:type="dxa"/>
          <w:left w:w="28" w:type="dxa"/>
          <w:bottom w:w="28" w:type="dxa"/>
          <w:right w:w="28" w:type="dxa"/>
        </w:tblCellMar>
      </w:tblPr>
      <w:tblGrid>
        <w:gridCol w:w="5086"/>
        <w:gridCol w:w="146"/>
        <w:gridCol w:w="352"/>
        <w:gridCol w:w="953"/>
        <w:gridCol w:w="166"/>
        <w:gridCol w:w="146"/>
        <w:gridCol w:w="403"/>
        <w:gridCol w:w="1097"/>
        <w:gridCol w:w="391"/>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26,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 ON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Valuation allowance added </w:t>
            </w: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Valuation allowance reversed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The changes within the valuation allowance during the year ended January 1, 2026 and December 26, 2024 and relate to its deferred tax assets which the Company determined it is more-likely-than-not it will not be able to realize before they expire.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16. SUBSEQUENT EVENTS</w:t>
      </w:r>
    </w:p>
    <w:p>
      <w:pPr>
        <w:pStyle w:val="TextBody"/>
        <w:bidi w:val="0"/>
        <w:spacing w:before="120" w:after="283"/>
        <w:jc w:val="left"/>
        <w:rPr>
          <w:rFonts w:ascii="Times New Roman" w:hAnsi="Times New Roman"/>
          <w:sz w:val="20"/>
        </w:rPr>
      </w:pPr>
      <w:r>
        <w:rPr>
          <w:rFonts w:ascii="Times New Roman" w:hAnsi="Times New Roman"/>
          <w:b/>
          <w:i/>
          <w:color w:val="000000"/>
          <w:sz w:val="20"/>
        </w:rPr>
        <w:t>Dividend—</w:t>
      </w:r>
      <w:r>
        <w:rPr>
          <w:rFonts w:ascii="Times New Roman" w:hAnsi="Times New Roman"/>
          <w:color w:val="000000"/>
          <w:sz w:val="20"/>
        </w:rPr>
        <w:t>On</w:t>
      </w:r>
      <w:r>
        <w:rPr>
          <w:rFonts w:ascii="Times New Roman" w:hAnsi="Times New Roman"/>
          <w:color w:val="FF0000"/>
          <w:sz w:val="20"/>
        </w:rPr>
        <w:t xml:space="preserve"> </w:t>
      </w:r>
      <w:r>
        <w:rPr>
          <w:rFonts w:ascii="Times New Roman" w:hAnsi="Times New Roman"/>
          <w:color w:val="000000"/>
          <w:sz w:val="20"/>
        </w:rPr>
        <w:t>February 26, 2026, the Company declared a cash dividend of $0.03 per share (approximately $2.8 million in the aggregate) on each share of the Company’s common stock (not including outstanding restricted stock units which will accrue dividends until the shares vest) to stockholders of record on March 9, 2026 to be paid on March 23, 2026.</w:t>
      </w:r>
    </w:p>
    <w:p>
      <w:pPr>
        <w:pStyle w:val="TextBody"/>
        <w:bidi w:val="0"/>
        <w:spacing w:before="120" w:after="283"/>
        <w:jc w:val="left"/>
        <w:rPr>
          <w:rFonts w:ascii="Times New Roman" w:hAnsi="Times New Roman"/>
          <w:sz w:val="20"/>
        </w:rPr>
      </w:pPr>
      <w:r>
        <w:rPr>
          <w:rFonts w:ascii="Times New Roman" w:hAnsi="Times New Roman"/>
          <w:b/>
          <w:i/>
          <w:color w:val="000000"/>
          <w:sz w:val="20"/>
        </w:rPr>
        <w:t>Share Repurchase Program</w:t>
      </w:r>
      <w:r>
        <w:rPr>
          <w:rFonts w:ascii="Times New Roman" w:hAnsi="Times New Roman"/>
          <w:color w:val="000000"/>
          <w:sz w:val="20"/>
        </w:rPr>
        <w:t xml:space="preserve">—Subsequent to the year ended January 1, 2026, in accordance with the stock repurchase plan approved on March 18, 2024 by the Company’s Board of Directors, 209,757 shares were repurchased on the open market for $0.8 million. In accordance with </w:t>
      </w:r>
      <w:r>
        <w:rPr>
          <w:rFonts w:ascii="Times New Roman" w:hAnsi="Times New Roman"/>
          <w:i/>
          <w:color w:val="000000"/>
          <w:sz w:val="20"/>
        </w:rPr>
        <w:t>ASC 505—Equity</w:t>
      </w:r>
      <w:r>
        <w:rPr>
          <w:rFonts w:ascii="Times New Roman" w:hAnsi="Times New Roman"/>
          <w:color w:val="000000"/>
          <w:sz w:val="20"/>
        </w:rPr>
        <w:t xml:space="preserve">, these shares were retired and any excess over par value paid was recorded as a reduction to retained earnings. </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21" w:name="item_9_changes_in_and_disagreements"/>
      <w:bookmarkEnd w:id="21"/>
      <w:r>
        <w:rPr>
          <w:rFonts w:ascii="Times New Roman" w:hAnsi="Times New Roman"/>
          <w:b/>
          <w:color w:val="000000"/>
          <w:sz w:val="20"/>
        </w:rPr>
        <w:t xml:space="preserve">Item 9. </w:t>
      </w:r>
      <w:r>
        <w:rPr>
          <w:rFonts w:ascii="Times New Roman" w:hAnsi="Times New Roman"/>
          <w:b/>
          <w:color w:val="000000"/>
          <w:sz w:val="20"/>
          <w:u w:val="single"/>
        </w:rPr>
        <w:t>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both"/>
        <w:rPr>
          <w:rFonts w:ascii="Times New Roman" w:hAnsi="Times New Roman"/>
          <w:sz w:val="20"/>
        </w:rPr>
      </w:pPr>
      <w:bookmarkStart w:id="22" w:name="item_9a_controls_and_procedure"/>
      <w:bookmarkEnd w:id="22"/>
      <w:r>
        <w:rPr>
          <w:rFonts w:ascii="Times New Roman" w:hAnsi="Times New Roman"/>
          <w:b/>
          <w:color w:val="000000"/>
          <w:sz w:val="20"/>
        </w:rPr>
        <w:t xml:space="preserve">Item 9A. </w:t>
      </w:r>
      <w:r>
        <w:rPr>
          <w:rFonts w:ascii="Times New Roman" w:hAnsi="Times New Roman"/>
          <w:b/>
          <w:color w:val="000000"/>
          <w:sz w:val="20"/>
          <w:u w:val="single"/>
        </w:rPr>
        <w:t>Controls and Procedures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Evaluation of Disclosure Controls and Procedures. </w:t>
      </w:r>
      <w:r>
        <w:rPr>
          <w:rFonts w:ascii="Times New Roman" w:hAnsi="Times New Roman"/>
          <w:color w:val="000000"/>
          <w:sz w:val="20"/>
        </w:rPr>
        <w:t xml:space="preserve">The Company maintains disclosure controls and procedures as defined in Rules 13a-15(e) and 15d-15(e) of the Securities Exchange Act of 1934, as amended (the “Exchange Act”), that are designed to ensure that information required to be disclosed in the Company’s reports filed under the Exchange Act is recorded, processed, summarized and reported within the time periods specified in the SEC’s rules and forms, and that such information is accumulated and communicated to management, including the Company’s Chief Executive Officer (principal executive officer) and Chief Financial Officer (principal financial officer), as appropriate, to allow timely decisions regarding required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with the participation of the Chief Executive Officer (CEO) and Chief Financial Officer (CFO), performed an evaluation of the effectiveness of the Company’s disclosure controls and procedures pursuant to Rule 13a-15(e) and 15d-15(e) of the Exchange Act as of January 1, 2026, the end of the period covered by this Annual Report on Form 10-K. Based on such evaluation, the CEO and CFO concluded that the Company’s disclosure controls and procedures were effective. In accordance with guidance issued by the Securities and Exchange Commission allowing for the exclusion of an assessment of an acquired business's internal control over financial reporting from the registrant's final assessment of internal control over financial reporting for the fiscal year in which the acquisition occurred, management has excluded Spotlight Cinema Networks from our 2025 evaluation. Spotlight Cinema Networks was acquired on November 14, 2025 and constituted 2.7% of total assets as of January 1, 2026 and 1.0% of total revenue for the year ended January 1, 2026.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Management’s Annual Report on Internal Control over Financial Reporting. </w:t>
      </w:r>
      <w:r>
        <w:rPr>
          <w:rFonts w:ascii="Times New Roman" w:hAnsi="Times New Roman"/>
          <w:color w:val="000000"/>
          <w:sz w:val="20"/>
        </w:rPr>
        <w:t xml:space="preserve">Management is responsible for establishing and maintaining adequate internal control over financial reporting as defined in Exchange Act Rules 13a-15(f) and 15d-15(f). Management evaluated the design and operating effectiveness of the Company’s internal control over financial reporting based on the framework in </w:t>
      </w:r>
      <w:r>
        <w:rPr>
          <w:rFonts w:ascii="Times New Roman" w:hAnsi="Times New Roman"/>
          <w:i/>
          <w:color w:val="000000"/>
          <w:sz w:val="20"/>
        </w:rPr>
        <w:t>Internal Control- Integrated Framework</w:t>
      </w:r>
      <w:r>
        <w:rPr>
          <w:rFonts w:ascii="Times New Roman" w:hAnsi="Times New Roman"/>
          <w:color w:val="000000"/>
          <w:sz w:val="20"/>
        </w:rPr>
        <w:t xml:space="preserve"> (2013) issued by the Committee of Sponsoring Organizations of the Treadway Commission (COSO). Based on that evaluation, the Company's management concluded that the Company's internal control over financial reporting as of January 1, 2026 was effective.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internal control over financial reporting as of January 1, 2026 has been audited by Grant Thornton LLP, our independent registered public accounting firm, as stated in their report, which is included in “Item 8 — Financial Statements and Supplementary Data.”</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Changes in Internal Control over Financial Reporting. </w:t>
      </w:r>
      <w:r>
        <w:rPr>
          <w:rFonts w:ascii="Times New Roman" w:hAnsi="Times New Roman"/>
          <w:color w:val="000000"/>
          <w:sz w:val="20"/>
        </w:rPr>
        <w:t>There were no changes in our internal control over financial reporting that occurred during the quarter ended January 1, 2026 that have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Board of Directors and Stockholders National CineMedia, Inc.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We have audited the internal control over financial reporting of National CineMedia, Inc. (a Delaware corporation) and subsidiaries (the “Company”) as of January 1, 2026, based on criteria established in the 2013 </w:t>
      </w:r>
      <w:r>
        <w:rPr>
          <w:rFonts w:ascii="Times New Roman" w:hAnsi="Times New Roman"/>
          <w:i/>
          <w:color w:val="000000"/>
          <w:sz w:val="20"/>
        </w:rPr>
        <w:t>Internal Control—Integrated Framework</w:t>
      </w:r>
      <w:r>
        <w:rPr>
          <w:rFonts w:ascii="Times New Roman" w:hAnsi="Times New Roman"/>
          <w:color w:val="000000"/>
          <w:sz w:val="20"/>
        </w:rPr>
        <w:t xml:space="preserve"> issued by the Committee of Sponsoring Organizations of the Treadway Commission (“COSO”). In our opinion, the Company maintained, in all material respects, effective internal control over financial reporting as of January 1, 2026, based on criteria established in the 2013 </w:t>
      </w:r>
      <w:r>
        <w:rPr>
          <w:rFonts w:ascii="Times New Roman" w:hAnsi="Times New Roman"/>
          <w:i/>
          <w:color w:val="000000"/>
          <w:sz w:val="20"/>
        </w:rPr>
        <w:t xml:space="preserve">Internal Control—Integrated Framework </w:t>
      </w:r>
      <w:r>
        <w:rPr>
          <w:rFonts w:ascii="Times New Roman" w:hAnsi="Times New Roman"/>
          <w:color w:val="000000"/>
          <w:sz w:val="20"/>
        </w:rPr>
        <w:t>issued by COSO.</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also have audited, in accordance with the standards of the Public Company Accounting Oversight Board (United States) (“PCAOB”), the consolidated financial statements of the Company as of and for the year ended January 1, 2026, and our report dated February 26, 2026 expressed an unqualified opinion on those financial statements.</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hAnsi="Times New Roman"/>
          <w:i/>
          <w:color w:val="000000"/>
          <w:sz w:val="20"/>
        </w:rPr>
        <w:t xml:space="preserve">Management’s Annual Report on Internal Control over Financial Reporting </w:t>
      </w:r>
      <w:r>
        <w:rPr>
          <w:rFonts w:ascii="Times New Roman" w:hAnsi="Times New Roman"/>
          <w:color w:val="000000"/>
          <w:sz w:val="20"/>
        </w:rPr>
        <w:t xml:space="preserve">("Management's Report").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audit of, and opinion on, the Company’s internal control over financial reporting does not include the internal control over financial reporting of Spotlight Cinema Networks, LLC (“Spotlight”), a wholly owned subsidiary, whose financial statements reflect total assets and revenues constituting 2.7 and 1.0 percent, respectively, of the related consolidated financial statement amounts as of and for the year ended January 1, 2026. As indicated in Management’s Report, Spotlight was acquired during the year ended January 1, 2026. Management’s assertion on the effectiveness of the Company’s internal control over financial reporting excluded internal control over financial reporting of Spotlight.</w:t>
      </w:r>
    </w:p>
    <w:p>
      <w:pPr>
        <w:pStyle w:val="TextBody"/>
        <w:bidi w:val="0"/>
        <w:jc w:val="left"/>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 GRANT THORNTON LLP</w:t>
      </w:r>
    </w:p>
    <w:p>
      <w:pPr>
        <w:pStyle w:val="TextBody"/>
        <w:bidi w:val="0"/>
        <w:jc w:val="left"/>
        <w:rPr>
          <w:rFonts w:ascii="Times New Roman" w:hAnsi="Times New Roman"/>
          <w:color w:val="000000"/>
          <w:sz w:val="20"/>
        </w:rPr>
      </w:pPr>
      <w:r>
        <w:rPr>
          <w:rFonts w:ascii="Times New Roman" w:hAnsi="Times New Roman"/>
          <w:color w:val="000000"/>
          <w:sz w:val="20"/>
        </w:rPr>
        <w:t xml:space="preserve">Denver, Colorado </w:t>
      </w:r>
    </w:p>
    <w:p>
      <w:pPr>
        <w:pStyle w:val="TextBody"/>
        <w:bidi w:val="0"/>
        <w:jc w:val="left"/>
        <w:rPr>
          <w:rFonts w:ascii="Times New Roman" w:hAnsi="Times New Roman"/>
          <w:color w:val="000000"/>
          <w:sz w:val="20"/>
        </w:rPr>
      </w:pPr>
      <w:r>
        <w:rPr>
          <w:rFonts w:ascii="Times New Roman" w:hAnsi="Times New Roman"/>
          <w:color w:val="000000"/>
          <w:sz w:val="20"/>
        </w:rPr>
        <w:t>February 26, 2026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23" w:name="item_9b_other_information"/>
      <w:bookmarkEnd w:id="23"/>
      <w:r>
        <w:rPr>
          <w:rFonts w:ascii="Times New Roman" w:hAnsi="Times New Roman"/>
          <w:b/>
          <w:color w:val="000000"/>
          <w:sz w:val="20"/>
        </w:rPr>
        <w:t xml:space="preserve">Item 9B. </w:t>
      </w:r>
      <w:r>
        <w:rPr>
          <w:rFonts w:ascii="Times New Roman" w:hAnsi="Times New Roman"/>
          <w:b/>
          <w:color w:val="000000"/>
          <w:sz w:val="20"/>
          <w:u w:val="single"/>
        </w:rPr>
        <w:t>Other Information</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Adoption of 10b5-1 Trading Plans by Our Officers and Directors. </w:t>
      </w:r>
      <w:r>
        <w:rPr>
          <w:rFonts w:ascii="Times New Roman" w:hAnsi="Times New Roman"/>
          <w:color w:val="000000"/>
          <w:sz w:val="20"/>
        </w:rPr>
        <w:t>Other than as set forth below, during the three months ended January 1, 2026, none of our directors or executive officers adopted or terminated any contract, instruction or written plan for the purchase or sale of securities that was intended to satisfy the affirmative defense conditions of Rule 10b5-1(c) or any "non-Rule 10b5-1 trading arrangement" (as defined in Item 408(c) of Regulation 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17, 2025, Ronnie Ng, our Chief Financial Officer, terminated the written trading plan intended to satisfy the affirmative defense conditions of Rule 10b5-1 under the Exchange Act entered into in December 2024 and amended in August 2025. </w:t>
      </w:r>
    </w:p>
    <w:p>
      <w:pPr>
        <w:pStyle w:val="TextBody"/>
        <w:bidi w:val="0"/>
        <w:spacing w:before="120" w:after="283"/>
        <w:jc w:val="left"/>
        <w:rPr>
          <w:rFonts w:ascii="Times New Roman" w:hAnsi="Times New Roman"/>
          <w:sz w:val="20"/>
        </w:rPr>
      </w:pPr>
      <w:bookmarkStart w:id="24" w:name="item_9c_disclosure_regarding_foreign_jur"/>
      <w:bookmarkEnd w:id="24"/>
      <w:r>
        <w:rPr>
          <w:rFonts w:ascii="Times New Roman" w:hAnsi="Times New Roman"/>
          <w:b/>
          <w:color w:val="000000"/>
          <w:sz w:val="20"/>
        </w:rPr>
        <w:t xml:space="preserve">Item 9C. </w:t>
      </w:r>
      <w:r>
        <w:rPr>
          <w:rFonts w:ascii="Times New Roman" w:hAnsi="Times New Roman"/>
          <w:b/>
          <w:color w:val="000000"/>
          <w:sz w:val="20"/>
          <w:u w:val="single"/>
        </w:rPr>
        <w:t>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120" w:after="283"/>
        <w:jc w:val="left"/>
        <w:rPr>
          <w:rFonts w:ascii="Times New Roman" w:hAnsi="Times New Roman"/>
          <w:sz w:val="20"/>
        </w:rPr>
      </w:pPr>
      <w:bookmarkStart w:id="25" w:name="item_10_directors_executive_officers"/>
      <w:bookmarkEnd w:id="25"/>
      <w:r>
        <w:rPr>
          <w:rFonts w:ascii="Times New Roman" w:hAnsi="Times New Roman"/>
          <w:b/>
          <w:color w:val="000000"/>
          <w:sz w:val="20"/>
        </w:rPr>
        <w:t xml:space="preserve">Item 10. </w:t>
      </w:r>
      <w:r>
        <w:rPr>
          <w:rFonts w:ascii="Times New Roman" w:hAnsi="Times New Roman"/>
          <w:b/>
          <w:color w:val="000000"/>
          <w:sz w:val="20"/>
          <w:u w:val="single"/>
        </w:rPr>
        <w:t>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with respect to our directors is incorporated herein by reference from the Company's 2025 Proxy Statement under the heading “Proposal 1- Election of Directors.”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regarding our executive officers is set forth in Part I of this Annual Report on Form 10-K under the heading “Information about our Executive Officers” and is incorporated herein by this reference.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adopted a Code of Business Conduct and Ethics that applies to all of our employees, including our Board of Directors, Chief Executive Officer and principal financial officer. The Code of Business Conduct and Ethics sets forth the Company’s conflict of interest policy, records retention policy and policies for protection of the Company’s property, business opportunities and proprietary information. Our Code of Business Conduct and Ethics is available free of charge on our website at ncm.com under the tab “Investor Relations–Corporate Governance.” We intend to post on our website any amendments to, or waivers from our Code of Business Conduct and Ethics applicable to senior financial executives.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an insider trading policy, processes and procedures governing transactions in the Company's securities that apply to all Company personnel, including directors, officers, employees and other covered persons. We believe our insider trading policy, processes and procedures are reasonably designed to promote compliance with insider trading laws, rules, regulations and the listing standards applicable to the Company. A copy is filed as Exhibit 19 to this Annual Report on Form 10-K and is available free of charge on our website at ncm.com under the tab “Investor Relations– Corporate Governance.”</w:t>
      </w:r>
    </w:p>
    <w:p>
      <w:pPr>
        <w:pStyle w:val="TextBody"/>
        <w:bidi w:val="0"/>
        <w:spacing w:before="120" w:after="283"/>
        <w:jc w:val="left"/>
        <w:rPr>
          <w:rFonts w:ascii="Times New Roman" w:hAnsi="Times New Roman"/>
          <w:sz w:val="20"/>
        </w:rPr>
      </w:pPr>
      <w:bookmarkStart w:id="26" w:name="item_11_executive_compensation"/>
      <w:bookmarkEnd w:id="26"/>
      <w:r>
        <w:rPr>
          <w:rFonts w:ascii="Times New Roman" w:hAnsi="Times New Roman"/>
          <w:b/>
          <w:color w:val="000000"/>
          <w:sz w:val="20"/>
        </w:rPr>
        <w:t xml:space="preserve">Item 11. </w:t>
      </w:r>
      <w:r>
        <w:rPr>
          <w:rFonts w:ascii="Times New Roman" w:hAnsi="Times New Roman"/>
          <w:b/>
          <w:color w:val="000000"/>
          <w:sz w:val="20"/>
          <w:u w:val="single"/>
        </w:rPr>
        <w:t>Executive</w:t>
      </w:r>
      <w:r>
        <w:rPr>
          <w:rFonts w:ascii="Times New Roman" w:hAnsi="Times New Roman"/>
          <w:color w:val="000000"/>
          <w:sz w:val="20"/>
          <w:u w:val="single"/>
        </w:rPr>
        <w:t xml:space="preserve"> </w:t>
      </w:r>
      <w:r>
        <w:rPr>
          <w:rFonts w:ascii="Times New Roman" w:hAnsi="Times New Roman"/>
          <w:b/>
          <w:color w:val="000000"/>
          <w:sz w:val="20"/>
          <w:u w:val="single"/>
        </w:rPr>
        <w:t>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regarding compensation of executive officers and directors is incorporated herein by reference from the Proxy Statement under the headings “Compensation of Executive Officers” and “Compensation Committee Report”.</w:t>
      </w:r>
    </w:p>
    <w:p>
      <w:pPr>
        <w:pStyle w:val="TextBody"/>
        <w:bidi w:val="0"/>
        <w:spacing w:before="120" w:after="283"/>
        <w:jc w:val="left"/>
        <w:rPr>
          <w:rFonts w:ascii="Times New Roman" w:hAnsi="Times New Roman"/>
          <w:sz w:val="20"/>
        </w:rPr>
      </w:pPr>
      <w:bookmarkStart w:id="27" w:name="item_12_security_ownership_of_certain"/>
      <w:bookmarkEnd w:id="27"/>
      <w:r>
        <w:rPr>
          <w:rFonts w:ascii="Times New Roman" w:hAnsi="Times New Roman"/>
          <w:b/>
          <w:color w:val="000000"/>
          <w:sz w:val="20"/>
        </w:rPr>
        <w:t xml:space="preserve">Item 12. </w:t>
      </w:r>
      <w:r>
        <w:rPr>
          <w:rFonts w:ascii="Times New Roman" w:hAnsi="Times New Roman"/>
          <w:b/>
          <w:color w:val="000000"/>
          <w:sz w:val="20"/>
          <w:u w:val="single"/>
        </w:rPr>
        <w:t>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information with respect to the security ownership of directors, executive officers and holders of more than 5% of a class of our voting securities, refer to the Proxy Statement under the heading “Beneficial Ownership,” which information is incorporated herein by reference.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Equity Incentive Plan information, refer to the Proxy Statement under the heading “Equity Compensation Plan,” which information is incorporated herein by reference.</w:t>
      </w:r>
    </w:p>
    <w:p>
      <w:pPr>
        <w:pStyle w:val="TextBody"/>
        <w:bidi w:val="0"/>
        <w:spacing w:before="120" w:after="283"/>
        <w:jc w:val="left"/>
        <w:rPr>
          <w:rFonts w:ascii="Times New Roman" w:hAnsi="Times New Roman"/>
          <w:sz w:val="20"/>
        </w:rPr>
      </w:pPr>
      <w:bookmarkStart w:id="28" w:name="item_13_certain_relationships_and"/>
      <w:bookmarkEnd w:id="28"/>
      <w:r>
        <w:rPr>
          <w:rFonts w:ascii="Times New Roman" w:hAnsi="Times New Roman"/>
          <w:b/>
          <w:color w:val="000000"/>
          <w:sz w:val="20"/>
        </w:rPr>
        <w:t xml:space="preserve">Item 13. </w:t>
      </w:r>
      <w:r>
        <w:rPr>
          <w:rFonts w:ascii="Times New Roman" w:hAnsi="Times New Roman"/>
          <w:b/>
          <w:color w:val="000000"/>
          <w:sz w:val="20"/>
          <w:u w:val="single"/>
        </w:rPr>
        <w:t>Certain Relationships and Related 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information with respect to certain relationships and related transactions, refer to the Proxy Statement under the heading “Certain Relationships and Related Party Transactions,” which information is incorporated herein by reference.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information with respect to director independence, refer to the Proxy Statement under the heading “Proposal 1- Election of Directors,” which information is incorporated herein by reference.</w:t>
      </w:r>
    </w:p>
    <w:p>
      <w:pPr>
        <w:pStyle w:val="TextBody"/>
        <w:bidi w:val="0"/>
        <w:spacing w:before="120" w:after="283"/>
        <w:jc w:val="left"/>
        <w:rPr>
          <w:rFonts w:ascii="Times New Roman" w:hAnsi="Times New Roman"/>
          <w:sz w:val="20"/>
        </w:rPr>
      </w:pPr>
      <w:bookmarkStart w:id="29" w:name="item_14_principal_accounting"/>
      <w:bookmarkEnd w:id="29"/>
      <w:r>
        <w:rPr>
          <w:rFonts w:ascii="Times New Roman" w:hAnsi="Times New Roman"/>
          <w:b/>
          <w:color w:val="000000"/>
          <w:sz w:val="20"/>
        </w:rPr>
        <w:t xml:space="preserve">Item 14. </w:t>
      </w:r>
      <w:r>
        <w:rPr>
          <w:rFonts w:ascii="Times New Roman" w:hAnsi="Times New Roman"/>
          <w:b/>
          <w:color w:val="000000"/>
          <w:sz w:val="20"/>
          <w:u w:val="single"/>
        </w:rPr>
        <w:t>Principal Accounting Fees and Services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information required by this item with respect to principal accounting fees and services is incorporated herein by reference from the Proxy Statement under the heading “Fees Paid to Independent Auditors.”</w:t>
      </w:r>
    </w:p>
    <w:p>
      <w:pPr>
        <w:pStyle w:val="TextBody"/>
        <w:bidi w:val="0"/>
        <w:jc w:val="center"/>
        <w:rPr>
          <w:rFonts w:ascii="Times New Roman" w:hAnsi="Times New Roman"/>
          <w:b/>
          <w:color w:val="000000"/>
          <w:sz w:val="20"/>
        </w:rPr>
      </w:pPr>
      <w:bookmarkStart w:id="30" w:name="section51"/>
      <w:bookmarkEnd w:id="30"/>
      <w:r>
        <w:rPr>
          <w:rFonts w:ascii="Times New Roman" w:hAnsi="Times New Roman"/>
          <w:b/>
          <w:color w:val="000000"/>
          <w:sz w:val="20"/>
        </w:rPr>
        <w:t>PART IV</w:t>
      </w:r>
    </w:p>
    <w:p>
      <w:pPr>
        <w:pStyle w:val="TextBody"/>
        <w:bidi w:val="0"/>
        <w:spacing w:before="120" w:after="283"/>
        <w:jc w:val="left"/>
        <w:rPr>
          <w:rFonts w:ascii="Times New Roman" w:hAnsi="Times New Roman"/>
          <w:sz w:val="20"/>
        </w:rPr>
      </w:pPr>
      <w:bookmarkStart w:id="31" w:name="item_15_exhibits_financial_statement"/>
      <w:bookmarkEnd w:id="31"/>
      <w:r>
        <w:rPr>
          <w:rFonts w:ascii="Times New Roman" w:hAnsi="Times New Roman"/>
          <w:b/>
          <w:color w:val="000000"/>
          <w:sz w:val="20"/>
        </w:rPr>
        <w:t xml:space="preserve">Item 15. </w:t>
      </w:r>
      <w:r>
        <w:rPr>
          <w:rFonts w:ascii="Times New Roman" w:hAnsi="Times New Roman"/>
          <w:b/>
          <w:color w:val="000000"/>
          <w:sz w:val="20"/>
          <w:u w:val="single"/>
        </w:rPr>
        <w:t>Exhibits, Financial Statement Schedules</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(1) and (a) (2) Financial statements and financial statement schedules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Refer to Index to Financial Statements on page 49.</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 Exhibits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Refer to Exhibit Index, beginning on page 93.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 Financial Statement Schedules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Statement Schedules not included herein have been omitted because they are either not required, not applicable, or the information is otherwise included herein.</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32" w:name="index_to_exhibits"/>
      <w:bookmarkEnd w:id="32"/>
      <w:r>
        <w:rPr>
          <w:rFonts w:ascii="Times New Roman" w:hAnsi="Times New Roman"/>
          <w:b/>
          <w:color w:val="000000"/>
          <w:sz w:val="20"/>
        </w:rPr>
        <w:t>INDEX TO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6"/>
        <w:gridCol w:w="406"/>
        <w:gridCol w:w="6380"/>
        <w:gridCol w:w="511"/>
        <w:gridCol w:w="717"/>
        <w:gridCol w:w="631"/>
        <w:gridCol w:w="794"/>
      </w:tblGrid>
      <w:tr>
        <w:trPr/>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6380"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717"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shd w:fill="FFFFFF" w:val="clear"/>
            <w:vAlign w:val="center"/>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0" w:type="dxa"/>
            <w:tcBorders/>
            <w:tcMar>
              <w:top w:w="0" w:type="dxa"/>
              <w:left w:w="0" w:type="dxa"/>
              <w:bottom w:w="0" w:type="dxa"/>
              <w:right w:w="0" w:type="dxa"/>
            </w:tcMar>
            <w:vAlign w:val="center"/>
          </w:tcPr>
          <w:p>
            <w:pPr>
              <w:pStyle w:val="TableContents"/>
              <w:bidi w:val="0"/>
              <w:spacing w:before="0" w:after="283"/>
              <w:jc w:val="left"/>
              <w:rPr/>
            </w:pPr>
            <w:r>
              <w:rPr/>
              <w:t> </w:t>
            </w:r>
          </w:p>
        </w:tc>
        <w:tc>
          <w:tcPr>
            <w:tcW w:w="2653" w:type="dxa"/>
            <w:gridSpan w:val="4"/>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by Reference</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Exhibit</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Ref.</w:t>
            </w:r>
          </w:p>
        </w:tc>
        <w:tc>
          <w:tcPr>
            <w:tcW w:w="63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Description</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Form</w:t>
            </w:r>
          </w:p>
        </w:tc>
        <w:tc>
          <w:tcPr>
            <w:tcW w:w="7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SEC File No.</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Exhibit</w:t>
            </w:r>
          </w:p>
        </w:tc>
        <w:tc>
          <w:tcPr>
            <w:tcW w:w="794" w:type="dxa"/>
            <w:tcBorders/>
            <w:tcMar>
              <w:top w:w="0" w:type="dxa"/>
              <w:left w:w="0" w:type="dxa"/>
              <w:bottom w:w="0" w:type="dxa"/>
              <w:right w:w="0" w:type="dxa"/>
            </w:tcMar>
            <w:vAlign w:val="center"/>
          </w:tcPr>
          <w:p>
            <w:pPr>
              <w:pStyle w:val="TableContents"/>
              <w:bidi w:val="0"/>
              <w:spacing w:before="0" w:after="283"/>
              <w:ind w:left="0" w:right="0" w:firstLine="135"/>
              <w:jc w:val="center"/>
              <w:rPr>
                <w:rFonts w:ascii="Times New Roman" w:hAnsi="Times New Roman"/>
                <w:b/>
                <w:color w:val="000000"/>
                <w:sz w:val="16"/>
                <w:u w:val="single"/>
              </w:rPr>
            </w:pPr>
            <w:r>
              <w:rPr>
                <w:rFonts w:ascii="Times New Roman" w:hAnsi="Times New Roman"/>
                <w:b/>
                <w:color w:val="000000"/>
                <w:sz w:val="16"/>
                <w:u w:val="single"/>
              </w:rPr>
              <w:t>Filing Date</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3.1</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0"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The Bylaws, as amended March 17, 2025.</w:t>
              </w:r>
            </w:hyperlink>
          </w:p>
        </w:tc>
        <w:tc>
          <w:tcPr>
            <w:tcW w:w="51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10-Q</w:t>
            </w:r>
          </w:p>
          <w:p>
            <w:pPr>
              <w:pStyle w:val="TableContents"/>
              <w:bidi w:val="0"/>
              <w:spacing w:before="0" w:after="283"/>
              <w:jc w:val="left"/>
              <w:rPr/>
            </w:pPr>
            <w:r>
              <w:rPr/>
              <w:t> </w:t>
            </w:r>
          </w:p>
        </w:tc>
        <w:tc>
          <w:tcPr>
            <w:tcW w:w="717"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001-33296</w:t>
            </w:r>
          </w:p>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3.1</w:t>
            </w:r>
          </w:p>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5/6/2025</w:t>
            </w:r>
          </w:p>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80"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3.2</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80"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Second Amended and Restated Certificate of Incorporation</w:t>
              </w:r>
            </w:hyperlink>
            <w:hyperlink r:id="rId7">
              <w:r>
                <w:rPr>
                  <w:rStyle w:val="InternetLink"/>
                  <w:rFonts w:ascii="Times New Roman" w:hAnsi="Times New Roman"/>
                  <w:color w:val="0000FF"/>
                  <w:sz w:val="20"/>
                </w:rPr>
                <w:t xml:space="preserve"> </w:t>
              </w:r>
            </w:hyperlink>
            <w:hyperlink r:id="rId8">
              <w:r>
                <w:rPr>
                  <w:rStyle w:val="InternetLink"/>
                  <w:rFonts w:ascii="Times New Roman" w:hAnsi="Times New Roman"/>
                  <w:color w:val="0000FF"/>
                  <w:sz w:val="20"/>
                  <w:u w:val="single"/>
                </w:rPr>
                <w:t>as amended</w:t>
              </w:r>
            </w:hyperlink>
            <w:r>
              <w:rPr>
                <w:rFonts w:ascii="Times New Roman" w:hAnsi="Times New Roman"/>
                <w:color w:val="000000"/>
                <w:sz w:val="20"/>
              </w:rPr>
              <w:t>.</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7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11/7/2023</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80"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3.3</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80"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Certificate of Designation Series B Preferred Stock, dated August 7, 2023.</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8/7/2023</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80"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4.1</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6380" w:type="dxa"/>
            <w:tcBorders/>
            <w:tcMar>
              <w:top w:w="0" w:type="dxa"/>
              <w:left w:w="0" w:type="dxa"/>
              <w:bottom w:w="0" w:type="dxa"/>
              <w:right w:w="0" w:type="dxa"/>
            </w:tcMar>
            <w:vAlign w:val="center"/>
          </w:tcPr>
          <w:p>
            <w:pPr>
              <w:pStyle w:val="TableContents"/>
              <w:bidi w:val="0"/>
              <w:spacing w:before="0" w:after="283"/>
              <w:jc w:val="left"/>
              <w:rPr/>
            </w:pPr>
            <w:hyperlink w:anchor="ncmi-ex4_1.htm">
              <w:r>
                <w:rPr>
                  <w:rStyle w:val="InternetLink"/>
                  <w:rFonts w:ascii="Times New Roman" w:hAnsi="Times New Roman"/>
                  <w:color w:val="0000FF"/>
                  <w:sz w:val="20"/>
                  <w:u w:val="single"/>
                </w:rPr>
                <w:t>Description of the Registrant’s Securities</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80"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10.1</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0"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National CineMedia, LLC Third Amended and Restated Limited Liability Company Operating Agreement dated as of February 13, 2007, by and among American Multi-Cinema, Inc., Cinemark Media, Inc., Regal CineMedia Holdings, LLC and National CineMedia, Inc., as amended through March 18, 2024.</w:t>
              </w:r>
            </w:hyperlink>
            <w:hyperlink r:id="rId11">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left"/>
              <w:rPr/>
            </w:pPr>
            <w:r>
              <w:rPr/>
              <w:t> </w:t>
            </w:r>
          </w:p>
        </w:tc>
        <w:tc>
          <w:tcPr>
            <w:tcW w:w="717"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001-33296</w:t>
            </w:r>
          </w:p>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794"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3/6/2025</w:t>
            </w:r>
          </w:p>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80"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10.2</w:t>
            </w:r>
          </w:p>
        </w:tc>
        <w:tc>
          <w:tcPr>
            <w:tcW w:w="40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380"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Amended and Restated Exhibitor Services Agreement dated as of December 26, 2013, by and between National CineMedia, LLC and American Multi-Cinema, Inc.</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10.2.4</w:t>
            </w:r>
          </w:p>
        </w:tc>
        <w:tc>
          <w:tcPr>
            <w:tcW w:w="7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2/21/2014</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0"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10.2.1</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0"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First Amendment to Amended and Restated Exhibitor Services Agreement dated as of March 9, 2017, by and between National CineMedia, LLC and American Multi-Cinema, Inc.</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7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3/15/2017</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0"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766" w:type="dxa"/>
            <w:tcBorders/>
            <w:tcMar>
              <w:top w:w="0" w:type="dxa"/>
              <w:left w:w="0" w:type="dxa"/>
              <w:bottom w:w="0" w:type="dxa"/>
              <w:right w:w="0" w:type="dxa"/>
            </w:tcMar>
            <w:vAlign w:val="center"/>
          </w:tcPr>
          <w:p>
            <w:pPr>
              <w:pStyle w:val="TableContents"/>
              <w:bidi w:val="0"/>
              <w:ind w:left="0" w:right="0" w:firstLine="135"/>
              <w:jc w:val="left"/>
              <w:rPr>
                <w:rFonts w:ascii="Times New Roman" w:hAnsi="Times New Roman"/>
                <w:color w:val="000000"/>
                <w:sz w:val="20"/>
              </w:rPr>
            </w:pPr>
            <w:r>
              <w:rPr>
                <w:rFonts w:ascii="Times New Roman" w:hAnsi="Times New Roman"/>
                <w:color w:val="000000"/>
                <w:sz w:val="20"/>
              </w:rPr>
              <w:t>10.2.2</w:t>
            </w:r>
          </w:p>
          <w:p>
            <w:pPr>
              <w:pStyle w:val="TableContents"/>
              <w:bidi w:val="0"/>
              <w:spacing w:before="0" w:after="283"/>
              <w:ind w:left="0" w:right="0" w:firstLine="135"/>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380"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Second Amended and Restated Exhibitor Services Agreement, dated April 17, 2025, between National CineMedia, LLC, American Multi-Cinema, Inc., Muvico, LLC, and the other parties thereto</w:t>
              </w:r>
            </w:hyperlink>
          </w:p>
        </w:tc>
        <w:tc>
          <w:tcPr>
            <w:tcW w:w="5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10-Q</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717"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001-33296</w:t>
            </w:r>
          </w:p>
          <w:p>
            <w:pPr>
              <w:pStyle w:val="TableContents"/>
              <w:bidi w:val="0"/>
              <w:spacing w:before="0" w:after="283"/>
              <w:ind w:left="0" w:right="0" w:firstLine="135"/>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10.1</w:t>
            </w:r>
          </w:p>
        </w:tc>
        <w:tc>
          <w:tcPr>
            <w:tcW w:w="794"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10/30/2025</w:t>
            </w:r>
          </w:p>
          <w:p>
            <w:pPr>
              <w:pStyle w:val="TableContents"/>
              <w:bidi w:val="0"/>
              <w:jc w:val="center"/>
              <w:rPr/>
            </w:pPr>
            <w:r>
              <w:rPr/>
              <w:t> </w:t>
            </w:r>
          </w:p>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0"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10.2.3</w:t>
            </w:r>
          </w:p>
        </w:tc>
        <w:tc>
          <w:tcPr>
            <w:tcW w:w="40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380"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Joint Venture Termination and Settlement Agreement, dated April 17, 2025, between American Multi-Cinema, Inc., National CineMedia, LLC, and National CineMedia, Inc</w:t>
              </w:r>
            </w:hyperlink>
            <w:hyperlink r:id="rId16">
              <w:r>
                <w:rPr>
                  <w:rStyle w:val="InternetLink"/>
                  <w:rFonts w:ascii="Times New Roman" w:hAnsi="Times New Roman"/>
                  <w:color w:val="000000"/>
                  <w:sz w:val="20"/>
                  <w:u w:val="single"/>
                </w:rPr>
                <w:t>.</w:t>
              </w:r>
            </w:hyperlink>
          </w:p>
        </w:tc>
        <w:tc>
          <w:tcPr>
            <w:tcW w:w="51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10-Q</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pPr>
            <w:r>
              <w:rPr/>
              <w:t> </w:t>
            </w:r>
          </w:p>
        </w:tc>
        <w:tc>
          <w:tcPr>
            <w:tcW w:w="717"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001-33296</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10.2</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pPr>
            <w:r>
              <w:rPr/>
              <w:t> </w:t>
            </w:r>
          </w:p>
        </w:tc>
        <w:tc>
          <w:tcPr>
            <w:tcW w:w="794"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5/6/2025</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0"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10.3</w:t>
            </w:r>
          </w:p>
        </w:tc>
        <w:tc>
          <w:tcPr>
            <w:tcW w:w="40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380"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Amended and Restated Exhibitor Services Agreement dated as of December 26, 2013, by and between National CineMedia, LLC and Cinemark USA, Inc.</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10.3.4</w:t>
            </w:r>
          </w:p>
        </w:tc>
        <w:tc>
          <w:tcPr>
            <w:tcW w:w="7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2/21/2014</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0"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10.3.1</w:t>
            </w:r>
          </w:p>
        </w:tc>
        <w:tc>
          <w:tcPr>
            <w:tcW w:w="40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380"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First Amendment to Amended and Restated Exhibitor Services Agreement dated as of September 17, 2019, by and between National CineMedia, LLC and Cinemark USA, Inc.</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7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9/17/2019</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0"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10.3.2</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80"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Second Amendment to Amended and Restated Exhibitor Services Agreement dated as of July 29, 2022, by and between National CineMedia, LLC and Cinemark USA, Inc.</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7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7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8/8/2022</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80"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10.4</w:t>
            </w:r>
          </w:p>
        </w:tc>
        <w:tc>
          <w:tcPr>
            <w:tcW w:w="40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380"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Common Unit Adjustment Agreement dated as of February 13, 2007, by and among National CineMedia, Inc., National CineMedia, LLC, Regal CineMedia Holdings, LLC, American</w:t>
              </w:r>
            </w:hyperlink>
            <w:hyperlink r:id="rId21">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7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2/16/2007</w:t>
            </w:r>
          </w:p>
        </w:tc>
      </w:tr>
    </w:tbl>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1"/>
        <w:gridCol w:w="406"/>
        <w:gridCol w:w="6439"/>
        <w:gridCol w:w="511"/>
        <w:gridCol w:w="700"/>
        <w:gridCol w:w="631"/>
        <w:gridCol w:w="647"/>
      </w:tblGrid>
      <w:tr>
        <w:trPr/>
        <w:tc>
          <w:tcPr>
            <w:tcW w:w="871"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6439"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700"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647" w:type="dxa"/>
            <w:tcBorders/>
            <w:shd w:fill="FFFFFF" w:val="clear"/>
            <w:vAlign w:val="center"/>
          </w:tcPr>
          <w:p>
            <w:pPr>
              <w:pStyle w:val="TableContents"/>
              <w:bidi w:val="0"/>
              <w:spacing w:before="0" w:after="283"/>
              <w:jc w:val="left"/>
              <w:rPr>
                <w:sz w:val="4"/>
                <w:szCs w:val="4"/>
              </w:rPr>
            </w:pPr>
            <w:r>
              <w:rPr>
                <w:sz w:val="4"/>
                <w:szCs w:val="4"/>
              </w:rPr>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9" w:type="dxa"/>
            <w:tcBorders/>
            <w:tcMar>
              <w:top w:w="0" w:type="dxa"/>
              <w:left w:w="0" w:type="dxa"/>
              <w:bottom w:w="0" w:type="dxa"/>
              <w:right w:w="0" w:type="dxa"/>
            </w:tcMar>
            <w:vAlign w:val="center"/>
          </w:tcPr>
          <w:p>
            <w:pPr>
              <w:pStyle w:val="TableContents"/>
              <w:bidi w:val="0"/>
              <w:spacing w:before="0" w:after="283"/>
              <w:jc w:val="left"/>
              <w:rPr/>
            </w:pPr>
            <w:r>
              <w:rPr/>
              <w:t> </w:t>
            </w:r>
          </w:p>
        </w:tc>
        <w:tc>
          <w:tcPr>
            <w:tcW w:w="2489" w:type="dxa"/>
            <w:gridSpan w:val="4"/>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by Reference</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Exhibit</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Ref.</w:t>
            </w:r>
          </w:p>
        </w:tc>
        <w:tc>
          <w:tcPr>
            <w:tcW w:w="64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Description</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Form</w:t>
            </w:r>
          </w:p>
        </w:tc>
        <w:tc>
          <w:tcPr>
            <w:tcW w:w="7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SEC File No.</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Exhibit</w:t>
            </w:r>
          </w:p>
        </w:tc>
        <w:tc>
          <w:tcPr>
            <w:tcW w:w="6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Filing Date</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9"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Multi-Cinema, Inc., Cinemark Media, Inc., Regal Cinemas, Inc. and Cinemark USA, Inc.</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9"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10.5</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9"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Tax Receivable Agreement dated as of February 13, 2007, by and among National CineMedia, Inc., National CineMedia, LLC, Regal CineMedia Holdings, LLC, Cinemark Media, Inc., Regal Cinemas, Inc., American Multi-Cinema, Inc. and Cinemark USA, Inc.</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6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2/16/2007</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9"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10.5.1</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9"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Second Amendment to Tax Receivable Agreement effective as of April 29, 2008, by and by and among NCM, Inc. and National CineMedia, LLC and the Founding Members and the ESA Parties, amending the Tax Receivable Agreement dated as of February 13, 2007 and as first amended by the First Amendment to the Tax Receivable Agreement effective as of August 7, 2007.</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6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5/5/2008</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9"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10.6</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9"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Second Amended and Restated Software License Agreement dated as of February 13, 2007, by and among American Multi-Cinema, Inc., Regal CineMedia Corporation, Cinemark USA, Inc., Digital Cinema Implementation Partners, LLC and National CineMedia, LLC.</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6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2/16/2007</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9"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10.7</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9"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Director Designation Agreement dated as of February 13, 2007, by and among National CineMedia, Inc., American Multi-Cinema, Inc., Cinemark Media, Inc. and Regal CineMedia Holdings, LLC.</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10.10</w:t>
            </w:r>
          </w:p>
        </w:tc>
        <w:tc>
          <w:tcPr>
            <w:tcW w:w="6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2/16/2007</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9"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10.8</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9"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Registration Rights Agreement dated as of February 13, 2007, by and among National CineMedia, Inc., American Multi-Cinema, Inc., Regal CineMedia Holdings, LLC and Cinemark Media, Inc.</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c>
          <w:tcPr>
            <w:tcW w:w="6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2/16/2007</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9"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10.9</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9"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Management Services Agreement dated as of February 13, 2007, by and among National CineMedia, Inc. and National CineMedia, LLC.</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6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2/16/2007</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9"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10.10</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9"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Director Designation Agreement, dated as of August 7, 2023, among National CineMedia, Inc., the Consenting Creditor Designation Committee, and Blantyre Capital Limited.</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6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8/7/2023</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9"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10.11</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9"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Loan and Security Agreement, dated as of January 24, 2025, by and among National CineMedia, LLC, as Borrower, the other credit parties party thereto from time to time, and U.S. Bank National Association, as Bank</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6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1/27/2025</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9"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71" w:type="dxa"/>
            <w:tcBorders/>
            <w:tcMar>
              <w:top w:w="0" w:type="dxa"/>
              <w:left w:w="0" w:type="dxa"/>
              <w:bottom w:w="0" w:type="dxa"/>
              <w:right w:w="0" w:type="dxa"/>
            </w:tcMar>
            <w:vAlign w:val="center"/>
          </w:tcPr>
          <w:p>
            <w:pPr>
              <w:pStyle w:val="TableContents"/>
              <w:bidi w:val="0"/>
              <w:ind w:left="0" w:right="0" w:firstLine="135"/>
              <w:jc w:val="left"/>
              <w:rPr>
                <w:rFonts w:ascii="Times New Roman" w:hAnsi="Times New Roman"/>
                <w:color w:val="000000"/>
                <w:sz w:val="20"/>
              </w:rPr>
            </w:pPr>
            <w:r>
              <w:rPr>
                <w:rFonts w:ascii="Times New Roman" w:hAnsi="Times New Roman"/>
                <w:color w:val="000000"/>
                <w:sz w:val="20"/>
              </w:rPr>
              <w:t>10.11.1</w:t>
            </w:r>
          </w:p>
          <w:p>
            <w:pPr>
              <w:pStyle w:val="TableContents"/>
              <w:bidi w:val="0"/>
              <w:ind w:left="0" w:right="0" w:firstLine="135"/>
              <w:jc w:val="left"/>
              <w:rPr/>
            </w:pPr>
            <w:r>
              <w:rPr/>
              <w:t> </w:t>
            </w:r>
          </w:p>
          <w:p>
            <w:pPr>
              <w:pStyle w:val="TableContents"/>
              <w:bidi w:val="0"/>
              <w:ind w:left="0" w:right="0" w:firstLine="135"/>
              <w:jc w:val="left"/>
              <w:rPr/>
            </w:pPr>
            <w:r>
              <w:rPr/>
              <w:t> </w:t>
            </w:r>
          </w:p>
          <w:p>
            <w:pPr>
              <w:pStyle w:val="TableContents"/>
              <w:bidi w:val="0"/>
              <w:ind w:left="0" w:right="0" w:firstLine="135"/>
              <w:jc w:val="left"/>
              <w:rPr/>
            </w:pPr>
            <w:r>
              <w:rPr/>
              <w:t> </w:t>
            </w:r>
          </w:p>
          <w:p>
            <w:pPr>
              <w:pStyle w:val="TableContents"/>
              <w:bidi w:val="0"/>
              <w:spacing w:before="0" w:after="283"/>
              <w:ind w:left="0" w:right="0" w:firstLine="135"/>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9"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Amendment No. 1 to Loan and Security Agreement, dated as of March 10, 2025, by and between National CineMedia, LLC, as Borrower, and U.S. Bank National Association, as Bank</w:t>
              </w:r>
            </w:hyperlink>
          </w:p>
        </w:tc>
        <w:tc>
          <w:tcPr>
            <w:tcW w:w="51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10-Q</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001-33296</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10.2</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left"/>
              <w:rPr/>
            </w:pPr>
            <w:r>
              <w:rPr/>
              <w:t> </w:t>
            </w:r>
          </w:p>
        </w:tc>
        <w:tc>
          <w:tcPr>
            <w:tcW w:w="647"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5/6/2025</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ind w:left="0" w:right="0" w:firstLine="135"/>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9"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1"/>
        <w:gridCol w:w="406"/>
        <w:gridCol w:w="6101"/>
        <w:gridCol w:w="511"/>
        <w:gridCol w:w="804"/>
        <w:gridCol w:w="631"/>
        <w:gridCol w:w="881"/>
      </w:tblGrid>
      <w:tr>
        <w:trPr/>
        <w:tc>
          <w:tcPr>
            <w:tcW w:w="871"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6101"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804"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shd w:fill="FFFFFF" w:val="clear"/>
            <w:vAlign w:val="center"/>
          </w:tcPr>
          <w:p>
            <w:pPr>
              <w:pStyle w:val="TableContents"/>
              <w:bidi w:val="0"/>
              <w:spacing w:before="0" w:after="283"/>
              <w:jc w:val="left"/>
              <w:rPr>
                <w:sz w:val="4"/>
                <w:szCs w:val="4"/>
              </w:rPr>
            </w:pPr>
            <w:r>
              <w:rPr>
                <w:sz w:val="4"/>
                <w:szCs w:val="4"/>
              </w:rPr>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7" w:type="dxa"/>
            <w:gridSpan w:val="4"/>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by Reference</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Exhibit</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Ref.</w:t>
            </w:r>
          </w:p>
        </w:tc>
        <w:tc>
          <w:tcPr>
            <w:tcW w:w="6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Description</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Form</w:t>
            </w:r>
          </w:p>
        </w:tc>
        <w:tc>
          <w:tcPr>
            <w:tcW w:w="8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SEC File No.</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Exhibit</w:t>
            </w:r>
          </w:p>
        </w:tc>
        <w:tc>
          <w:tcPr>
            <w:tcW w:w="881" w:type="dxa"/>
            <w:tcBorders/>
            <w:tcMar>
              <w:top w:w="0" w:type="dxa"/>
              <w:left w:w="0" w:type="dxa"/>
              <w:bottom w:w="0" w:type="dxa"/>
              <w:right w:w="0" w:type="dxa"/>
            </w:tcMar>
            <w:vAlign w:val="center"/>
          </w:tcPr>
          <w:p>
            <w:pPr>
              <w:pStyle w:val="TableContents"/>
              <w:bidi w:val="0"/>
              <w:spacing w:before="0" w:after="283"/>
              <w:ind w:left="0" w:right="0" w:firstLine="135"/>
              <w:jc w:val="center"/>
              <w:rPr>
                <w:rFonts w:ascii="Times New Roman" w:hAnsi="Times New Roman"/>
                <w:b/>
                <w:color w:val="000000"/>
                <w:sz w:val="16"/>
                <w:u w:val="single"/>
              </w:rPr>
            </w:pPr>
            <w:r>
              <w:rPr>
                <w:rFonts w:ascii="Times New Roman" w:hAnsi="Times New Roman"/>
                <w:b/>
                <w:color w:val="000000"/>
                <w:sz w:val="16"/>
                <w:u w:val="single"/>
              </w:rPr>
              <w:t>Filing Date</w:t>
            </w:r>
          </w:p>
        </w:tc>
      </w:tr>
      <w:tr>
        <w:trPr/>
        <w:tc>
          <w:tcPr>
            <w:tcW w:w="871"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10.12</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Joint Venture Termination and Settlement Agreement, dated June 3, 2023.</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8/1/2023</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10.13</w:t>
            </w:r>
          </w:p>
        </w:tc>
        <w:tc>
          <w:tcPr>
            <w:tcW w:w="40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101"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Network Affiliate Transaction Agreement by and between National CineMedia, LLC and Regal Cinemas, Inc, dated June 3, 2023.</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8/1/2023</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10.14</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Second Amended and Restated Employment Agreement, dated December 22, 2025, by and between National CineMedia, Inc. and Thomas F. Lesinski+</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12/23/2025</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10.15</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Employment Agreement dated September 5, 2024 between National CineMedia, Inc. and Ronnie Y. Ng.+</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11/5/2024</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10.16</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Amended and Restated Employment Agreement, dated December 22, 2025, by and between National CineMedia, Inc. and Maria Woods+</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12/23/2025</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10.17</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Form of Indemnification Agreement.+</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2/13/2007</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10.18</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1"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Form of Indemnification Agreement (August 2018).+</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8/7/2018</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10.19</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1"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National CineMedia, Inc. 2016 Equity Incentive Plan.+</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8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4/29/2016</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10.20</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1"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National CineMedia, Inc. 2020 Omnibus Incentive Plan.+</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5/1/2020</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10.21</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First Amendment to the National CineMedia, Inc. 2020 Omnibus Incentive Plan effective as of May 4, 2022.+</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5/9/2022</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10.22</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Second Amendment to the National CineMedia, Inc. 2020 Omnibus Incentive Plan effective as of November 2, 2023.+</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11/7/2023</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10.23</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Form of 2019 Stock Option Agreement.+</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11/4/2019</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10.23.1</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Form of 2020 Stock Option Agreement.+</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8/3/2020</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10.24</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Form of Restricted Stock Unit Agreement under the National CineMedia, Inc. 2020 Omnibus Incentive Plan - Director.+</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8/3/2020</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10.24.1</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Form of Restricted Stock Unit Agreement (Time Based) - Emergence Grants.+</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2/2/2024</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10.24.2</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Form of Restricted Stock Unit Agreement (Performance Based) - Emergence Grants.+</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2/2/2024</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10.24.3</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6101" w:type="dxa"/>
            <w:tcBorders/>
            <w:tcMar>
              <w:top w:w="0" w:type="dxa"/>
              <w:left w:w="0" w:type="dxa"/>
              <w:bottom w:w="0" w:type="dxa"/>
              <w:right w:w="0" w:type="dxa"/>
            </w:tcMar>
            <w:vAlign w:val="center"/>
          </w:tcPr>
          <w:p>
            <w:pPr>
              <w:pStyle w:val="TableContents"/>
              <w:bidi w:val="0"/>
              <w:spacing w:before="0" w:after="283"/>
              <w:jc w:val="left"/>
              <w:rPr/>
            </w:pPr>
            <w:hyperlink w:anchor="ncmi-ex10_24-2.htm">
              <w:r>
                <w:rPr>
                  <w:rStyle w:val="InternetLink"/>
                  <w:rFonts w:ascii="Times New Roman" w:hAnsi="Times New Roman"/>
                  <w:color w:val="0000FF"/>
                  <w:sz w:val="20"/>
                  <w:u w:val="single"/>
                </w:rPr>
                <w:t>Form of Restricted Stock Unit Agreement (Time Based).+</w:t>
              </w:r>
            </w:hyperlink>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10.24.4</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6101" w:type="dxa"/>
            <w:tcBorders/>
            <w:tcMar>
              <w:top w:w="0" w:type="dxa"/>
              <w:left w:w="0" w:type="dxa"/>
              <w:bottom w:w="0" w:type="dxa"/>
              <w:right w:w="0" w:type="dxa"/>
            </w:tcMar>
            <w:vAlign w:val="center"/>
          </w:tcPr>
          <w:p>
            <w:pPr>
              <w:pStyle w:val="TableContents"/>
              <w:bidi w:val="0"/>
              <w:spacing w:before="0" w:after="283"/>
              <w:jc w:val="left"/>
              <w:rPr/>
            </w:pPr>
            <w:hyperlink w:anchor="ncmi-ex10_24-3.htm">
              <w:r>
                <w:rPr>
                  <w:rStyle w:val="InternetLink"/>
                  <w:rFonts w:ascii="Times New Roman" w:hAnsi="Times New Roman"/>
                  <w:color w:val="0000FF"/>
                  <w:sz w:val="20"/>
                  <w:u w:val="single"/>
                </w:rPr>
                <w:t>Form of Restricted Stock Unit Agreement (Performance Based).+</w:t>
              </w:r>
            </w:hyperlink>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ind w:left="0" w:right="0" w:firstLine="135"/>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ind w:left="0" w:right="0" w:firstLine="135"/>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19.1</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6101" w:type="dxa"/>
            <w:tcBorders/>
            <w:tcMar>
              <w:top w:w="0" w:type="dxa"/>
              <w:left w:w="0" w:type="dxa"/>
              <w:bottom w:w="0" w:type="dxa"/>
              <w:right w:w="0" w:type="dxa"/>
            </w:tcMar>
            <w:vAlign w:val="center"/>
          </w:tcPr>
          <w:p>
            <w:pPr>
              <w:pStyle w:val="TableContents"/>
              <w:bidi w:val="0"/>
              <w:spacing w:before="0" w:after="283"/>
              <w:jc w:val="left"/>
              <w:rPr/>
            </w:pPr>
            <w:hyperlink w:anchor="ncmi-ex19_1.htm">
              <w:r>
                <w:rPr>
                  <w:rStyle w:val="InternetLink"/>
                  <w:rFonts w:ascii="Times New Roman" w:hAnsi="Times New Roman"/>
                  <w:color w:val="0000FF"/>
                  <w:sz w:val="20"/>
                  <w:u w:val="single"/>
                </w:rPr>
                <w:t>Insider Trading Policy</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tcMar>
              <w:top w:w="0" w:type="dxa"/>
              <w:left w:w="0" w:type="dxa"/>
              <w:bottom w:w="0" w:type="dxa"/>
              <w:right w:w="0" w:type="dxa"/>
            </w:tcMar>
            <w:vAlign w:val="center"/>
          </w:tcPr>
          <w:p>
            <w:pPr>
              <w:pStyle w:val="TableContents"/>
              <w:bidi w:val="0"/>
              <w:spacing w:before="0" w:after="283"/>
              <w:ind w:left="0" w:right="0" w:firstLine="135"/>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21.1</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6101" w:type="dxa"/>
            <w:tcBorders/>
            <w:tcMar>
              <w:top w:w="0" w:type="dxa"/>
              <w:left w:w="0" w:type="dxa"/>
              <w:bottom w:w="0" w:type="dxa"/>
              <w:right w:w="0" w:type="dxa"/>
            </w:tcMar>
            <w:vAlign w:val="center"/>
          </w:tcPr>
          <w:p>
            <w:pPr>
              <w:pStyle w:val="TableContents"/>
              <w:bidi w:val="0"/>
              <w:spacing w:before="0" w:after="283"/>
              <w:jc w:val="left"/>
              <w:rPr/>
            </w:pPr>
            <w:hyperlink w:anchor="ncmi-ex21_1.htm">
              <w:r>
                <w:rPr>
                  <w:rStyle w:val="InternetLink"/>
                  <w:rFonts w:ascii="Times New Roman" w:hAnsi="Times New Roman"/>
                  <w:color w:val="0000FF"/>
                  <w:sz w:val="20"/>
                  <w:u w:val="single"/>
                </w:rPr>
                <w:t>List of Subsidiaries.</w:t>
              </w:r>
            </w:hyperlink>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23.1</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6101" w:type="dxa"/>
            <w:tcBorders/>
            <w:tcMar>
              <w:top w:w="0" w:type="dxa"/>
              <w:left w:w="0" w:type="dxa"/>
              <w:bottom w:w="0" w:type="dxa"/>
              <w:right w:w="0" w:type="dxa"/>
            </w:tcMar>
            <w:vAlign w:val="center"/>
          </w:tcPr>
          <w:p>
            <w:pPr>
              <w:pStyle w:val="TableContents"/>
              <w:bidi w:val="0"/>
              <w:spacing w:before="0" w:after="283"/>
              <w:jc w:val="left"/>
              <w:rPr/>
            </w:pPr>
            <w:hyperlink w:anchor="ncmi-ex23_1.htm">
              <w:r>
                <w:rPr>
                  <w:rStyle w:val="InternetLink"/>
                  <w:rFonts w:ascii="Times New Roman" w:hAnsi="Times New Roman"/>
                  <w:color w:val="0000FF"/>
                  <w:sz w:val="20"/>
                  <w:u w:val="single"/>
                </w:rPr>
                <w:t>Consent of Deloitte &amp; Touche LLP.</w:t>
              </w:r>
            </w:hyperlink>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01"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3"/>
        <w:gridCol w:w="406"/>
        <w:gridCol w:w="5919"/>
        <w:gridCol w:w="511"/>
        <w:gridCol w:w="935"/>
        <w:gridCol w:w="631"/>
        <w:gridCol w:w="1000"/>
      </w:tblGrid>
      <w:tr>
        <w:trPr/>
        <w:tc>
          <w:tcPr>
            <w:tcW w:w="803"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5919"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935"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000" w:type="dxa"/>
            <w:tcBorders/>
            <w:shd w:fill="FFFFFF" w:val="clear"/>
            <w:vAlign w:val="center"/>
          </w:tcPr>
          <w:p>
            <w:pPr>
              <w:pStyle w:val="TableContents"/>
              <w:bidi w:val="0"/>
              <w:spacing w:before="0" w:after="283"/>
              <w:jc w:val="left"/>
              <w:rPr>
                <w:sz w:val="4"/>
                <w:szCs w:val="4"/>
              </w:rPr>
            </w:pPr>
            <w:r>
              <w:rPr>
                <w:sz w:val="4"/>
                <w:szCs w:val="4"/>
              </w:rPr>
            </w:r>
          </w:p>
        </w:tc>
      </w:tr>
      <w:tr>
        <w:trPr/>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19" w:type="dxa"/>
            <w:tcBorders/>
            <w:tcMar>
              <w:top w:w="0" w:type="dxa"/>
              <w:left w:w="0" w:type="dxa"/>
              <w:bottom w:w="0" w:type="dxa"/>
              <w:right w:w="0" w:type="dxa"/>
            </w:tcMar>
            <w:vAlign w:val="center"/>
          </w:tcPr>
          <w:p>
            <w:pPr>
              <w:pStyle w:val="TableContents"/>
              <w:bidi w:val="0"/>
              <w:spacing w:before="0" w:after="283"/>
              <w:jc w:val="left"/>
              <w:rPr/>
            </w:pPr>
            <w:r>
              <w:rPr/>
              <w:t> </w:t>
            </w:r>
          </w:p>
        </w:tc>
        <w:tc>
          <w:tcPr>
            <w:tcW w:w="3077" w:type="dxa"/>
            <w:gridSpan w:val="4"/>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by Reference</w:t>
            </w:r>
          </w:p>
        </w:tc>
      </w:tr>
      <w:tr>
        <w:trPr/>
        <w:tc>
          <w:tcPr>
            <w:tcW w:w="8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Exhibit</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Ref.</w:t>
            </w:r>
          </w:p>
        </w:tc>
        <w:tc>
          <w:tcPr>
            <w:tcW w:w="59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Description</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Form</w:t>
            </w:r>
          </w:p>
        </w:tc>
        <w:tc>
          <w:tcPr>
            <w:tcW w:w="9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SEC File No.</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Exhibit</w:t>
            </w:r>
          </w:p>
        </w:tc>
        <w:tc>
          <w:tcPr>
            <w:tcW w:w="1000" w:type="dxa"/>
            <w:tcBorders/>
            <w:tcMar>
              <w:top w:w="0" w:type="dxa"/>
              <w:left w:w="0" w:type="dxa"/>
              <w:bottom w:w="0" w:type="dxa"/>
              <w:right w:w="0" w:type="dxa"/>
            </w:tcMar>
            <w:vAlign w:val="center"/>
          </w:tcPr>
          <w:p>
            <w:pPr>
              <w:pStyle w:val="TableContents"/>
              <w:bidi w:val="0"/>
              <w:spacing w:before="0" w:after="283"/>
              <w:ind w:left="0" w:right="0" w:firstLine="135"/>
              <w:jc w:val="center"/>
              <w:rPr>
                <w:rFonts w:ascii="Times New Roman" w:hAnsi="Times New Roman"/>
                <w:b/>
                <w:color w:val="000000"/>
                <w:sz w:val="16"/>
                <w:u w:val="single"/>
              </w:rPr>
            </w:pPr>
            <w:r>
              <w:rPr>
                <w:rFonts w:ascii="Times New Roman" w:hAnsi="Times New Roman"/>
                <w:b/>
                <w:color w:val="000000"/>
                <w:sz w:val="16"/>
                <w:u w:val="single"/>
              </w:rPr>
              <w:t>Filing Date</w:t>
            </w:r>
          </w:p>
        </w:tc>
      </w:tr>
      <w:tr>
        <w:trPr/>
        <w:tc>
          <w:tcPr>
            <w:tcW w:w="803"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23.2</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5919" w:type="dxa"/>
            <w:tcBorders/>
            <w:tcMar>
              <w:top w:w="0" w:type="dxa"/>
              <w:left w:w="0" w:type="dxa"/>
              <w:bottom w:w="0" w:type="dxa"/>
              <w:right w:w="0" w:type="dxa"/>
            </w:tcMar>
            <w:vAlign w:val="center"/>
          </w:tcPr>
          <w:p>
            <w:pPr>
              <w:pStyle w:val="TableContents"/>
              <w:bidi w:val="0"/>
              <w:spacing w:before="0" w:after="283"/>
              <w:jc w:val="left"/>
              <w:rPr/>
            </w:pPr>
            <w:hyperlink w:anchor="ncmi-ex23_2.htm">
              <w:r>
                <w:rPr>
                  <w:rStyle w:val="InternetLink"/>
                  <w:rFonts w:ascii="Times New Roman" w:hAnsi="Times New Roman"/>
                  <w:color w:val="0000FF"/>
                  <w:sz w:val="20"/>
                  <w:u w:val="single"/>
                </w:rPr>
                <w:t>Consent of Grant Thornton LLP.</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9"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03"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24.1</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5919" w:type="dxa"/>
            <w:tcBorders/>
            <w:tcMar>
              <w:top w:w="0" w:type="dxa"/>
              <w:left w:w="0" w:type="dxa"/>
              <w:bottom w:w="0" w:type="dxa"/>
              <w:right w:w="0" w:type="dxa"/>
            </w:tcMar>
            <w:vAlign w:val="center"/>
          </w:tcPr>
          <w:p>
            <w:pPr>
              <w:pStyle w:val="TableContents"/>
              <w:bidi w:val="0"/>
              <w:spacing w:before="0" w:after="283"/>
              <w:jc w:val="left"/>
              <w:rPr/>
            </w:pPr>
            <w:hyperlink w:anchor="ncmi-ex24_1.htm">
              <w:r>
                <w:rPr>
                  <w:rStyle w:val="InternetLink"/>
                  <w:rFonts w:ascii="Times New Roman" w:hAnsi="Times New Roman"/>
                  <w:color w:val="0000FF"/>
                  <w:sz w:val="20"/>
                  <w:u w:val="single"/>
                </w:rPr>
                <w:t>Powers of Attorney of National CineMedia, Inc.</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9"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03"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31.1</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5919" w:type="dxa"/>
            <w:tcBorders/>
            <w:tcMar>
              <w:top w:w="0" w:type="dxa"/>
              <w:left w:w="0" w:type="dxa"/>
              <w:bottom w:w="0" w:type="dxa"/>
              <w:right w:w="0" w:type="dxa"/>
            </w:tcMar>
            <w:vAlign w:val="center"/>
          </w:tcPr>
          <w:p>
            <w:pPr>
              <w:pStyle w:val="TableContents"/>
              <w:bidi w:val="0"/>
              <w:spacing w:before="0" w:after="283"/>
              <w:jc w:val="left"/>
              <w:rPr/>
            </w:pPr>
            <w:hyperlink w:anchor="ncmi-ex31_1.htm">
              <w:r>
                <w:rPr>
                  <w:rStyle w:val="InternetLink"/>
                  <w:rFonts w:ascii="Times New Roman" w:hAnsi="Times New Roman"/>
                  <w:color w:val="0000FF"/>
                  <w:sz w:val="20"/>
                  <w:u w:val="single"/>
                </w:rPr>
                <w:t>Rule 13a-14(a) Certification of Chief Executive Officer.</w:t>
              </w:r>
            </w:hyperlink>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9"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03"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31.2</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5919" w:type="dxa"/>
            <w:tcBorders/>
            <w:tcMar>
              <w:top w:w="0" w:type="dxa"/>
              <w:left w:w="0" w:type="dxa"/>
              <w:bottom w:w="0" w:type="dxa"/>
              <w:right w:w="0" w:type="dxa"/>
            </w:tcMar>
            <w:vAlign w:val="center"/>
          </w:tcPr>
          <w:p>
            <w:pPr>
              <w:pStyle w:val="TableContents"/>
              <w:bidi w:val="0"/>
              <w:spacing w:before="0" w:after="283"/>
              <w:jc w:val="left"/>
              <w:rPr/>
            </w:pPr>
            <w:hyperlink w:anchor="ncmi-ex31_2.htm">
              <w:r>
                <w:rPr>
                  <w:rStyle w:val="InternetLink"/>
                  <w:rFonts w:ascii="Times New Roman" w:hAnsi="Times New Roman"/>
                  <w:color w:val="0000FF"/>
                  <w:sz w:val="20"/>
                  <w:u w:val="single"/>
                </w:rPr>
                <w:t>Rule 13a-14(a) Certification of Chief Financial Officer.</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9"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03"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32.1</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5919" w:type="dxa"/>
            <w:tcBorders/>
            <w:tcMar>
              <w:top w:w="0" w:type="dxa"/>
              <w:left w:w="0" w:type="dxa"/>
              <w:bottom w:w="0" w:type="dxa"/>
              <w:right w:w="0" w:type="dxa"/>
            </w:tcMar>
            <w:vAlign w:val="center"/>
          </w:tcPr>
          <w:p>
            <w:pPr>
              <w:pStyle w:val="TableContents"/>
              <w:bidi w:val="0"/>
              <w:spacing w:before="0" w:after="283"/>
              <w:jc w:val="left"/>
              <w:rPr/>
            </w:pPr>
            <w:hyperlink w:anchor="ncmi-ex32_1.htm">
              <w:r>
                <w:rPr>
                  <w:rStyle w:val="InternetLink"/>
                  <w:rFonts w:ascii="Times New Roman" w:hAnsi="Times New Roman"/>
                  <w:color w:val="0000FF"/>
                  <w:sz w:val="20"/>
                  <w:u w:val="single"/>
                </w:rPr>
                <w:t>Certification of Chief Executive Officer and Pursuant to 18 U.S.C. Section 1350.</w:t>
              </w:r>
            </w:hyperlink>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9"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03"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32.2</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5919" w:type="dxa"/>
            <w:tcBorders/>
            <w:tcMar>
              <w:top w:w="0" w:type="dxa"/>
              <w:left w:w="0" w:type="dxa"/>
              <w:bottom w:w="0" w:type="dxa"/>
              <w:right w:w="0" w:type="dxa"/>
            </w:tcMar>
            <w:vAlign w:val="center"/>
          </w:tcPr>
          <w:p>
            <w:pPr>
              <w:pStyle w:val="TableContents"/>
              <w:bidi w:val="0"/>
              <w:spacing w:before="0" w:after="283"/>
              <w:jc w:val="left"/>
              <w:rPr/>
            </w:pPr>
            <w:hyperlink w:anchor="ncmi-ex32_2.htm">
              <w:r>
                <w:rPr>
                  <w:rStyle w:val="InternetLink"/>
                  <w:rFonts w:ascii="Times New Roman" w:hAnsi="Times New Roman"/>
                  <w:color w:val="0000FF"/>
                  <w:sz w:val="20"/>
                  <w:u w:val="single"/>
                </w:rPr>
                <w:t>Certification of Chief Financial Officer Pursuant to 18 U.S.C. Section 1350.</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9"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r>
      <w:tr>
        <w:trPr/>
        <w:tc>
          <w:tcPr>
            <w:tcW w:w="803" w:type="dxa"/>
            <w:tcBorders/>
            <w:tcMar>
              <w:top w:w="0" w:type="dxa"/>
              <w:left w:w="0" w:type="dxa"/>
              <w:bottom w:w="0" w:type="dxa"/>
              <w:right w:w="0" w:type="dxa"/>
            </w:tcMar>
            <w:vAlign w:val="center"/>
          </w:tcPr>
          <w:p>
            <w:pPr>
              <w:pStyle w:val="TableContents"/>
              <w:bidi w:val="0"/>
              <w:spacing w:before="0" w:after="283"/>
              <w:ind w:left="0" w:right="0" w:firstLine="135"/>
              <w:jc w:val="left"/>
              <w:rPr>
                <w:rFonts w:ascii="Times New Roman" w:hAnsi="Times New Roman"/>
                <w:color w:val="000000"/>
                <w:sz w:val="20"/>
              </w:rPr>
            </w:pPr>
            <w:r>
              <w:rPr>
                <w:rFonts w:ascii="Times New Roman" w:hAnsi="Times New Roman"/>
                <w:color w:val="000000"/>
                <w:sz w:val="20"/>
              </w:rPr>
              <w:t>97.1</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19" w:type="dxa"/>
            <w:tcBorders/>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Incentive Compensation Recoupment Policy</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9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001-33296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97.1</w:t>
            </w:r>
          </w:p>
        </w:tc>
        <w:tc>
          <w:tcPr>
            <w:tcW w:w="10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3/18/2024</w:t>
            </w:r>
          </w:p>
        </w:tc>
      </w:tr>
      <w:tr>
        <w:trPr/>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9"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59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59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left"/>
        <w:rPr>
          <w:rFonts w:ascii="Times New Roman" w:hAnsi="Times New Roman"/>
          <w:color w:val="000000"/>
          <w:sz w:val="20"/>
        </w:rPr>
      </w:pPr>
      <w:r>
        <w:rPr>
          <w:rFonts w:ascii="Times New Roman" w:hAnsi="Times New Roman"/>
          <w:color w:val="000000"/>
          <w:sz w:val="20"/>
        </w:rPr>
        <w:t>+ Management contract.</w:t>
      </w:r>
    </w:p>
    <w:p>
      <w:pPr>
        <w:pStyle w:val="TextBody"/>
        <w:bidi w:val="0"/>
        <w:jc w:val="left"/>
        <w:rPr>
          <w:color w:val="000000"/>
        </w:rPr>
      </w:pPr>
      <w:r>
        <w:rPr>
          <w:color w:val="000000"/>
        </w:rPr>
        <w:t xml:space="preserve">▲ </w:t>
      </w:r>
      <w:r>
        <w:rPr>
          <w:rFonts w:ascii="Times New Roman" w:hAnsi="Times New Roman"/>
          <w:color w:val="000000"/>
          <w:sz w:val="20"/>
        </w:rPr>
        <w:t>Portions of this exhibit have been omitted in compliance with Item 601 of Regulation S-K</w:t>
      </w:r>
    </w:p>
    <w:p>
      <w:pPr>
        <w:pStyle w:val="TextBody"/>
        <w:bidi w:val="0"/>
        <w:spacing w:before="360" w:after="283"/>
        <w:jc w:val="left"/>
        <w:rPr>
          <w:rFonts w:ascii="Times New Roman" w:hAnsi="Times New Roman"/>
          <w:sz w:val="20"/>
        </w:rPr>
      </w:pPr>
      <w:bookmarkStart w:id="33" w:name="item_16_form_10_k_summary"/>
      <w:bookmarkEnd w:id="33"/>
      <w:r>
        <w:rPr>
          <w:rFonts w:ascii="Times New Roman" w:hAnsi="Times New Roman"/>
          <w:b/>
          <w:color w:val="000000"/>
          <w:sz w:val="20"/>
        </w:rPr>
        <w:t xml:space="preserve">Item 16. </w:t>
      </w:r>
      <w:r>
        <w:rPr>
          <w:rFonts w:ascii="Times New Roman" w:hAnsi="Times New Roman"/>
          <w:b/>
          <w:color w:val="000000"/>
          <w:sz w:val="20"/>
          <w:u w:val="single"/>
        </w:rPr>
        <w:t>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4" w:name="signatures"/>
      <w:bookmarkEnd w:id="34"/>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left"/>
        <w:rPr/>
      </w:pPr>
      <w:r>
        <w:rPr/>
        <w:t> </w:t>
      </w:r>
    </w:p>
    <w:tbl>
      <w:tblPr>
        <w:tblW w:w="5407" w:type="dxa"/>
        <w:jc w:val="left"/>
        <w:tblInd w:w="0" w:type="dxa"/>
        <w:tblLayout w:type="fixed"/>
        <w:tblCellMar>
          <w:top w:w="28" w:type="dxa"/>
          <w:left w:w="28" w:type="dxa"/>
          <w:bottom w:w="28" w:type="dxa"/>
          <w:right w:w="28" w:type="dxa"/>
        </w:tblCellMar>
      </w:tblPr>
      <w:tblGrid>
        <w:gridCol w:w="556"/>
        <w:gridCol w:w="1591"/>
        <w:gridCol w:w="109"/>
        <w:gridCol w:w="3151"/>
      </w:tblGrid>
      <w:tr>
        <w:trPr/>
        <w:tc>
          <w:tcPr>
            <w:tcW w:w="55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20"/>
              </w:rPr>
            </w:pPr>
            <w:r>
              <w:rPr>
                <w:rFonts w:ascii="Times New Roman" w:hAnsi="Times New Roman"/>
                <w:b/>
                <w:color w:val="000000"/>
                <w:sz w:val="20"/>
              </w:rPr>
              <w:t>NATIONAL CINEMEDIA,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(Registrant)</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Date:</w:t>
            </w:r>
          </w:p>
        </w:tc>
        <w:tc>
          <w:tcPr>
            <w:tcW w:w="159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February 26, 2026</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5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Thomas F. Lesinski</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Thomas F. Lesinski</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Chief Executive Officer and Director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indicated on the 26th day of February, 2026.</w:t>
      </w:r>
    </w:p>
    <w:p>
      <w:pPr>
        <w:pStyle w:val="TextBody"/>
        <w:bidi w:val="0"/>
        <w:jc w:val="left"/>
        <w:rPr/>
      </w:pPr>
      <w:r>
        <w:rPr/>
        <w:t> </w:t>
      </w:r>
    </w:p>
    <w:tbl>
      <w:tblPr>
        <w:tblW w:w="6610" w:type="dxa"/>
        <w:jc w:val="left"/>
        <w:tblInd w:w="0" w:type="dxa"/>
        <w:tblLayout w:type="fixed"/>
        <w:tblCellMar>
          <w:top w:w="28" w:type="dxa"/>
          <w:left w:w="28" w:type="dxa"/>
          <w:bottom w:w="28" w:type="dxa"/>
          <w:right w:w="28" w:type="dxa"/>
        </w:tblCellMar>
      </w:tblPr>
      <w:tblGrid>
        <w:gridCol w:w="526"/>
        <w:gridCol w:w="1921"/>
        <w:gridCol w:w="146"/>
        <w:gridCol w:w="3826"/>
        <w:gridCol w:w="191"/>
      </w:tblGrid>
      <w:tr>
        <w:trPr/>
        <w:tc>
          <w:tcPr>
            <w:tcW w:w="52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20"/>
              </w:rPr>
            </w:pPr>
            <w:r>
              <w:rPr>
                <w:rFonts w:ascii="Times New Roman" w:hAnsi="Times New Roman"/>
                <w:b/>
                <w:color w:val="000000"/>
                <w:sz w:val="20"/>
              </w:rPr>
              <w:t>Signature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20"/>
              </w:rPr>
            </w:pPr>
            <w:r>
              <w:rPr>
                <w:rFonts w:ascii="Times New Roman" w:hAnsi="Times New Roman"/>
                <w:b/>
                <w:color w:val="000000"/>
                <w:sz w:val="20"/>
              </w:rPr>
              <w:t>Title</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bottom w:val="single" w:sz="4"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Thomas F. Lesinski</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43" w:after="30"/>
              <w:jc w:val="left"/>
              <w:rPr>
                <w:rFonts w:ascii="Times New Roman" w:hAnsi="Times New Roman"/>
                <w:color w:val="000000"/>
                <w:sz w:val="20"/>
              </w:rPr>
            </w:pPr>
            <w:r>
              <w:rPr>
                <w:rFonts w:ascii="Times New Roman" w:hAnsi="Times New Roman"/>
                <w:color w:val="000000"/>
                <w:sz w:val="20"/>
              </w:rPr>
              <w:t>Thomas F. Lesinski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43" w:after="30"/>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bottom w:val="single" w:sz="4"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Ronnie 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Chief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43" w:after="30"/>
              <w:jc w:val="left"/>
              <w:rPr>
                <w:rFonts w:ascii="Times New Roman" w:hAnsi="Times New Roman"/>
                <w:color w:val="000000"/>
                <w:sz w:val="20"/>
              </w:rPr>
            </w:pPr>
            <w:r>
              <w:rPr>
                <w:rFonts w:ascii="Times New Roman" w:hAnsi="Times New Roman"/>
                <w:color w:val="000000"/>
                <w:sz w:val="20"/>
              </w:rPr>
              <w:t>Ronnie 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43" w:after="30"/>
              <w:jc w:val="left"/>
              <w:rPr>
                <w:rFonts w:ascii="Times New Roman" w:hAnsi="Times New Roman"/>
                <w:i/>
                <w:color w:val="000000"/>
                <w:sz w:val="20"/>
              </w:rPr>
            </w:pPr>
            <w:r>
              <w:rPr>
                <w:rFonts w:ascii="Times New Roman" w:hAnsi="Times New Roman"/>
                <w:i/>
                <w:color w:val="000000"/>
                <w:sz w:val="20"/>
              </w:rPr>
              <w:t>(Principal Financial and Accounting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bottom w:val="single" w:sz="4" w:space="0" w:color="000000"/>
            </w:tcBorders>
            <w:tcMar>
              <w:top w:w="0" w:type="dxa"/>
              <w:left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Director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43" w:after="30"/>
              <w:jc w:val="left"/>
              <w:rPr>
                <w:rFonts w:ascii="Times New Roman" w:hAnsi="Times New Roman"/>
                <w:color w:val="000000"/>
                <w:sz w:val="20"/>
              </w:rPr>
            </w:pPr>
            <w:r>
              <w:rPr>
                <w:rFonts w:ascii="Times New Roman" w:hAnsi="Times New Roman"/>
                <w:color w:val="000000"/>
                <w:sz w:val="20"/>
              </w:rPr>
              <w:t>Nicholas Bell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bottom w:val="single" w:sz="4" w:space="0" w:color="000000"/>
            </w:tcBorders>
            <w:tcMar>
              <w:top w:w="0" w:type="dxa"/>
              <w:left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Director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43" w:after="30"/>
              <w:jc w:val="left"/>
              <w:rPr>
                <w:rFonts w:ascii="Times New Roman" w:hAnsi="Times New Roman"/>
                <w:color w:val="000000"/>
                <w:sz w:val="20"/>
              </w:rPr>
            </w:pPr>
            <w:r>
              <w:rPr>
                <w:rFonts w:ascii="Times New Roman" w:hAnsi="Times New Roman"/>
                <w:color w:val="000000"/>
                <w:sz w:val="20"/>
              </w:rPr>
              <w:t>David Glazek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bottom w:val="single" w:sz="4" w:space="0" w:color="000000"/>
            </w:tcBorders>
            <w:tcMar>
              <w:top w:w="0" w:type="dxa"/>
              <w:left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Director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43" w:after="30"/>
              <w:jc w:val="left"/>
              <w:rPr>
                <w:rFonts w:ascii="Times New Roman" w:hAnsi="Times New Roman"/>
                <w:color w:val="000000"/>
                <w:sz w:val="20"/>
              </w:rPr>
            </w:pPr>
            <w:r>
              <w:rPr>
                <w:rFonts w:ascii="Times New Roman" w:hAnsi="Times New Roman"/>
                <w:color w:val="000000"/>
                <w:sz w:val="20"/>
              </w:rPr>
              <w:t>Juliana F. Hill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bottom w:val="single" w:sz="4" w:space="0" w:color="000000"/>
            </w:tcBorders>
            <w:tcMar>
              <w:top w:w="0" w:type="dxa"/>
              <w:left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53" w:after="30"/>
              <w:jc w:val="both"/>
              <w:rPr/>
            </w:pPr>
            <w:r>
              <w:rPr/>
              <w:t> </w:t>
            </w:r>
          </w:p>
        </w:tc>
        <w:tc>
          <w:tcPr>
            <w:tcW w:w="382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Director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43" w:after="30"/>
              <w:jc w:val="left"/>
              <w:rPr>
                <w:rFonts w:ascii="Times New Roman" w:hAnsi="Times New Roman"/>
                <w:color w:val="000000"/>
                <w:sz w:val="20"/>
              </w:rPr>
            </w:pPr>
            <w:r>
              <w:rPr>
                <w:rFonts w:ascii="Times New Roman" w:hAnsi="Times New Roman"/>
                <w:color w:val="000000"/>
                <w:sz w:val="20"/>
              </w:rPr>
              <w:t>Kelly Campbell</w:t>
            </w:r>
          </w:p>
        </w:tc>
        <w:tc>
          <w:tcPr>
            <w:tcW w:w="146" w:type="dxa"/>
            <w:tcBorders/>
            <w:tcMar>
              <w:top w:w="0" w:type="dxa"/>
              <w:left w:w="0" w:type="dxa"/>
              <w:bottom w:w="0" w:type="dxa"/>
              <w:right w:w="0" w:type="dxa"/>
            </w:tcMar>
            <w:vAlign w:val="center"/>
          </w:tcPr>
          <w:p>
            <w:pPr>
              <w:pStyle w:val="TableContents"/>
              <w:bidi w:val="0"/>
              <w:spacing w:before="43" w:after="30"/>
              <w:jc w:val="both"/>
              <w:rPr/>
            </w:pPr>
            <w:r>
              <w:rPr/>
              <w:t> </w:t>
            </w:r>
          </w:p>
        </w:tc>
        <w:tc>
          <w:tcPr>
            <w:tcW w:w="3826" w:type="dxa"/>
            <w:tcBorders/>
            <w:tcMar>
              <w:top w:w="0" w:type="dxa"/>
              <w:left w:w="0" w:type="dxa"/>
              <w:bottom w:w="0" w:type="dxa"/>
              <w:right w:w="0" w:type="dxa"/>
            </w:tcMar>
            <w:vAlign w:val="center"/>
          </w:tcPr>
          <w:p>
            <w:pPr>
              <w:pStyle w:val="TableContents"/>
              <w:bidi w:val="0"/>
              <w:spacing w:before="43" w:after="30"/>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bottom w:val="single" w:sz="4" w:space="0" w:color="000000"/>
            </w:tcBorders>
            <w:tcMar>
              <w:top w:w="0" w:type="dxa"/>
              <w:left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53" w:after="30"/>
              <w:jc w:val="both"/>
              <w:rPr>
                <w:rFonts w:ascii="Times New Roman" w:hAnsi="Times New Roman"/>
                <w:i/>
                <w:color w:val="000000"/>
                <w:sz w:val="20"/>
              </w:rPr>
            </w:pPr>
            <w:r>
              <w:rPr>
                <w:rFonts w:ascii="Times New Roman" w:hAnsi="Times New Roman"/>
                <w:i/>
                <w:color w:val="000000"/>
                <w:sz w:val="20"/>
              </w:rPr>
              <w:t>Director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43" w:after="30"/>
              <w:jc w:val="left"/>
              <w:rPr>
                <w:rFonts w:ascii="Times New Roman" w:hAnsi="Times New Roman"/>
                <w:color w:val="000000"/>
                <w:sz w:val="20"/>
              </w:rPr>
            </w:pPr>
            <w:r>
              <w:rPr>
                <w:rFonts w:ascii="Times New Roman" w:hAnsi="Times New Roman"/>
                <w:color w:val="000000"/>
                <w:sz w:val="20"/>
              </w:rPr>
              <w:t>Joseph Marchese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43" w:after="3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43" w:after="30"/>
              <w:jc w:val="both"/>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bottom w:val="single" w:sz="4" w:space="0" w:color="000000"/>
            </w:tcBorders>
            <w:tcMar>
              <w:top w:w="0" w:type="dxa"/>
              <w:left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53" w:after="30"/>
              <w:jc w:val="both"/>
              <w:rPr>
                <w:rFonts w:ascii="Times New Roman" w:hAnsi="Times New Roman"/>
                <w:i/>
                <w:color w:val="000000"/>
                <w:sz w:val="20"/>
              </w:rPr>
            </w:pPr>
            <w:r>
              <w:rPr>
                <w:rFonts w:ascii="Times New Roman" w:hAnsi="Times New Roman"/>
                <w:i/>
                <w:color w:val="000000"/>
                <w:sz w:val="20"/>
              </w:rPr>
              <w:t>Director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43" w:after="30"/>
              <w:jc w:val="left"/>
              <w:rPr>
                <w:rFonts w:ascii="Times New Roman" w:hAnsi="Times New Roman"/>
                <w:color w:val="000000"/>
                <w:sz w:val="20"/>
              </w:rPr>
            </w:pPr>
            <w:r>
              <w:rPr>
                <w:rFonts w:ascii="Times New Roman" w:hAnsi="Times New Roman"/>
                <w:color w:val="000000"/>
                <w:sz w:val="20"/>
              </w:rPr>
              <w:t>Simon Mullaly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53" w:after="30"/>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53" w:after="30"/>
              <w:jc w:val="both"/>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*By:</w:t>
            </w:r>
          </w:p>
        </w:tc>
        <w:tc>
          <w:tcPr>
            <w:tcW w:w="1921" w:type="dxa"/>
            <w:tcBorders>
              <w:bottom w:val="single" w:sz="4"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Maria Woods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53" w:after="30"/>
              <w:jc w:val="both"/>
              <w:rPr>
                <w:rFonts w:ascii="Times New Roman" w:hAnsi="Times New Roman"/>
                <w:i/>
                <w:color w:val="000000"/>
                <w:sz w:val="20"/>
              </w:rPr>
            </w:pPr>
            <w:r>
              <w:rPr>
                <w:rFonts w:ascii="Times New Roman" w:hAnsi="Times New Roman"/>
                <w:i/>
                <w:color w:val="000000"/>
                <w:sz w:val="20"/>
              </w:rPr>
              <w:t>Attorney-in-fact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43" w:after="30"/>
              <w:jc w:val="left"/>
              <w:rPr>
                <w:rFonts w:ascii="Times New Roman" w:hAnsi="Times New Roman"/>
                <w:color w:val="000000"/>
                <w:sz w:val="20"/>
              </w:rPr>
            </w:pPr>
            <w:r>
              <w:rPr>
                <w:rFonts w:ascii="Times New Roman" w:hAnsi="Times New Roman"/>
                <w:color w:val="000000"/>
                <w:sz w:val="20"/>
              </w:rPr>
              <w:t>Maria Woods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both"/>
        <w:rPr/>
      </w:pPr>
      <w:bookmarkStart w:id="35" w:name="ncmi-ex3_1.htm"/>
      <w:bookmarkStart w:id="36" w:name="ksncmiex3_1"/>
      <w:bookmarkEnd w:id="35"/>
      <w:bookmarkEnd w:id="3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w:t>
      </w:r>
    </w:p>
    <w:p>
      <w:pPr>
        <w:pStyle w:val="TextBody"/>
        <w:bidi w:val="0"/>
        <w:spacing w:before="720" w:after="283"/>
        <w:jc w:val="center"/>
        <w:rPr>
          <w:rFonts w:ascii="Times New Roman" w:hAnsi="Times New Roman"/>
          <w:sz w:val="20"/>
        </w:rPr>
      </w:pPr>
      <w:r>
        <w:rPr>
          <w:rFonts w:ascii="Times New Roman" w:hAnsi="Times New Roman"/>
          <w:b/>
          <w:color w:val="000000"/>
          <w:sz w:val="22"/>
        </w:rPr>
        <w:t>AMENDED AND RESTATED</w:t>
      </w:r>
      <w:r>
        <w:rPr>
          <w:rFonts w:ascii="Times New Roman" w:hAnsi="Times New Roman"/>
          <w:color w:val="000000"/>
          <w:sz w:val="20"/>
        </w:rPr>
        <w:t xml:space="preserve"> </w:t>
      </w:r>
    </w:p>
    <w:p>
      <w:pPr>
        <w:pStyle w:val="TextBody"/>
        <w:bidi w:val="0"/>
        <w:spacing w:before="90" w:after="283"/>
        <w:jc w:val="center"/>
        <w:rPr>
          <w:rFonts w:ascii="Times New Roman" w:hAnsi="Times New Roman"/>
          <w:sz w:val="20"/>
        </w:rPr>
      </w:pPr>
      <w:r>
        <w:rPr>
          <w:rFonts w:ascii="Times New Roman" w:hAnsi="Times New Roman"/>
          <w:b/>
          <w:color w:val="000000"/>
          <w:sz w:val="22"/>
        </w:rPr>
        <w:t>BYLAWS</w:t>
      </w:r>
      <w:r>
        <w:rPr>
          <w:rFonts w:ascii="Times New Roman" w:hAnsi="Times New Roman"/>
          <w:color w:val="000000"/>
          <w:sz w:val="20"/>
        </w:rPr>
        <w:t xml:space="preserve"> </w:t>
      </w:r>
    </w:p>
    <w:p>
      <w:pPr>
        <w:pStyle w:val="TextBody"/>
        <w:bidi w:val="0"/>
        <w:spacing w:before="90" w:after="283"/>
        <w:jc w:val="center"/>
        <w:rPr>
          <w:rFonts w:ascii="Times New Roman" w:hAnsi="Times New Roman"/>
          <w:sz w:val="20"/>
        </w:rPr>
      </w:pPr>
      <w:r>
        <w:rPr>
          <w:rFonts w:ascii="Times New Roman" w:hAnsi="Times New Roman"/>
          <w:b/>
          <w:color w:val="000000"/>
          <w:sz w:val="22"/>
        </w:rPr>
        <w:t>OF</w:t>
      </w:r>
      <w:r>
        <w:rPr>
          <w:rFonts w:ascii="Times New Roman" w:hAnsi="Times New Roman"/>
          <w:color w:val="000000"/>
          <w:sz w:val="20"/>
        </w:rPr>
        <w:t xml:space="preserve"> </w:t>
      </w:r>
    </w:p>
    <w:p>
      <w:pPr>
        <w:pStyle w:val="TextBody"/>
        <w:bidi w:val="0"/>
        <w:spacing w:before="90" w:after="283"/>
        <w:jc w:val="center"/>
        <w:rPr>
          <w:rFonts w:ascii="Times New Roman" w:hAnsi="Times New Roman"/>
          <w:sz w:val="20"/>
        </w:rPr>
      </w:pPr>
      <w:r>
        <w:rPr>
          <w:rFonts w:ascii="Times New Roman" w:hAnsi="Times New Roman"/>
          <w:b/>
          <w:color w:val="000000"/>
          <w:sz w:val="22"/>
        </w:rPr>
        <w:t>NATIONAL CINEMEDIA, INC.</w:t>
      </w:r>
      <w:r>
        <w:rPr>
          <w:rFonts w:ascii="Times New Roman" w:hAnsi="Times New Roman"/>
          <w:color w:val="000000"/>
          <w:sz w:val="20"/>
        </w:rPr>
        <w:t xml:space="preserve"> </w:t>
      </w:r>
    </w:p>
    <w:p>
      <w:pPr>
        <w:pStyle w:val="TextBody"/>
        <w:bidi w:val="0"/>
        <w:spacing w:before="90" w:after="283"/>
        <w:jc w:val="center"/>
        <w:rPr>
          <w:rFonts w:ascii="Times New Roman" w:hAnsi="Times New Roman"/>
          <w:sz w:val="20"/>
        </w:rPr>
      </w:pPr>
      <w:r>
        <w:rPr>
          <w:rFonts w:ascii="Times New Roman" w:hAnsi="Times New Roman"/>
          <w:color w:val="000000"/>
          <w:sz w:val="22"/>
        </w:rPr>
        <w:t>As amended February 1, 2024</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2"/>
        </w:rPr>
        <w:t>INDEX TO AMENDED AND RESTATED BYLAWS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NATIONAL CINEMEDIA, INC.</w:t>
      </w:r>
      <w:r>
        <w:rPr>
          <w:rFonts w:ascii="Times New Roman" w:hAnsi="Times New Roman"/>
          <w:color w:val="000000"/>
          <w:sz w:val="20"/>
        </w:rPr>
        <w:t xml:space="preserve"> </w:t>
      </w:r>
    </w:p>
    <w:tbl>
      <w:tblPr>
        <w:tblW w:w="9119" w:type="dxa"/>
        <w:jc w:val="left"/>
        <w:tblInd w:w="0" w:type="dxa"/>
        <w:tblLayout w:type="fixed"/>
        <w:tblCellMar>
          <w:top w:w="28" w:type="dxa"/>
          <w:left w:w="28" w:type="dxa"/>
          <w:bottom w:w="28" w:type="dxa"/>
          <w:right w:w="28" w:type="dxa"/>
        </w:tblCellMar>
      </w:tblPr>
      <w:tblGrid>
        <w:gridCol w:w="2011"/>
        <w:gridCol w:w="146"/>
        <w:gridCol w:w="5596"/>
        <w:gridCol w:w="146"/>
        <w:gridCol w:w="109"/>
        <w:gridCol w:w="111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59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220"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011" w:type="dxa"/>
            <w:tcBorders/>
            <w:tcMar>
              <w:top w:w="0" w:type="dxa"/>
              <w:left w:w="0" w:type="dxa"/>
              <w:bottom w:w="0" w:type="dxa"/>
              <w:right w:w="0" w:type="dxa"/>
            </w:tcMar>
            <w:vAlign w:val="center"/>
          </w:tcPr>
          <w:p>
            <w:pPr>
              <w:pStyle w:val="TableContents"/>
              <w:pBdr>
                <w:bottom w:val="single" w:sz="6" w:space="1" w:color="000000"/>
              </w:pBdr>
              <w:bidi w:val="0"/>
              <w:spacing w:before="0" w:after="15"/>
              <w:jc w:val="both"/>
              <w:rPr>
                <w:rFonts w:ascii="Times New Roman" w:hAnsi="Times New Roman"/>
                <w:b/>
                <w:color w:val="000000"/>
                <w:sz w:val="22"/>
              </w:rPr>
            </w:pPr>
            <w:r>
              <w:rPr>
                <w:rFonts w:ascii="Times New Roman" w:hAnsi="Times New Roman"/>
                <w:b/>
                <w:color w:val="000000"/>
                <w:sz w:val="22"/>
              </w:rPr>
              <w:t>Section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Page</w:t>
            </w:r>
          </w:p>
        </w:tc>
      </w:tr>
      <w:tr>
        <w:trPr/>
        <w:tc>
          <w:tcPr>
            <w:tcW w:w="7753" w:type="dxa"/>
            <w:gridSpan w:val="3"/>
            <w:tcBorders/>
            <w:tcMar>
              <w:top w:w="0" w:type="dxa"/>
              <w:left w:w="0" w:type="dxa"/>
              <w:bottom w:w="0" w:type="dxa"/>
              <w:right w:w="0" w:type="dxa"/>
            </w:tcMar>
            <w:vAlign w:val="center"/>
          </w:tcPr>
          <w:p>
            <w:pPr>
              <w:pStyle w:val="TableContents"/>
              <w:bidi w:val="0"/>
              <w:spacing w:before="0" w:after="283"/>
              <w:jc w:val="both"/>
              <w:rPr/>
            </w:pPr>
            <w:r>
              <w:rPr/>
              <w:t> </w:t>
            </w:r>
          </w:p>
        </w:tc>
        <w:tc>
          <w:tcPr>
            <w:tcW w:w="1366" w:type="dxa"/>
            <w:gridSpan w:val="3"/>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753"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ARTICLE I Offices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Business Offices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1.02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Registered Office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r>
      <w:tr>
        <w:trPr/>
        <w:tc>
          <w:tcPr>
            <w:tcW w:w="7753" w:type="dxa"/>
            <w:gridSpan w:val="3"/>
            <w:tcBorders/>
            <w:tcMar>
              <w:top w:w="0" w:type="dxa"/>
              <w:left w:w="0" w:type="dxa"/>
              <w:bottom w:w="0" w:type="dxa"/>
              <w:right w:w="0" w:type="dxa"/>
            </w:tcMar>
            <w:vAlign w:val="center"/>
          </w:tcPr>
          <w:p>
            <w:pPr>
              <w:pStyle w:val="TableContents"/>
              <w:bidi w:val="0"/>
              <w:spacing w:before="0" w:after="283"/>
              <w:jc w:val="both"/>
              <w:rPr/>
            </w:pPr>
            <w:r>
              <w:rPr/>
              <w:t> </w:t>
            </w:r>
          </w:p>
        </w:tc>
        <w:tc>
          <w:tcPr>
            <w:tcW w:w="1366" w:type="dxa"/>
            <w:gridSpan w:val="3"/>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753"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ARTICLE II Stockholders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Annual Meeting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Special Meetings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2.03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Place of Meeting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Notice of Meetings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2.05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Fixing Date for Determination of Stockholders of Record.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2</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2.06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Voting List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2</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2.07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Proxies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2.08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Quorum and Manner of Acting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2.09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Nominations for the Election of Directors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2.10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Other Stockholder Proposals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4</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Stockholder Action by Written Consent Without a Meeting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5</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Conduct of Business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5</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2.13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Inspector of Elections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r>
      <w:tr>
        <w:trPr/>
        <w:tc>
          <w:tcPr>
            <w:tcW w:w="7753" w:type="dxa"/>
            <w:gridSpan w:val="3"/>
            <w:tcBorders/>
            <w:tcMar>
              <w:top w:w="0" w:type="dxa"/>
              <w:left w:w="0" w:type="dxa"/>
              <w:bottom w:w="0" w:type="dxa"/>
              <w:right w:w="0" w:type="dxa"/>
            </w:tcMar>
            <w:vAlign w:val="center"/>
          </w:tcPr>
          <w:p>
            <w:pPr>
              <w:pStyle w:val="TableContents"/>
              <w:bidi w:val="0"/>
              <w:spacing w:before="0" w:after="283"/>
              <w:jc w:val="both"/>
              <w:rPr/>
            </w:pPr>
            <w:r>
              <w:rPr/>
              <w:t> </w:t>
            </w:r>
          </w:p>
        </w:tc>
        <w:tc>
          <w:tcPr>
            <w:tcW w:w="1366" w:type="dxa"/>
            <w:gridSpan w:val="3"/>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753"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ARTICLE III Board of Directors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7</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General Powers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7</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Number, Tenure and Qualifications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7</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3.03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Resignation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7</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Regular Meetings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7</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3.05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Special Meetings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7</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3.06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Meetings by Telephone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7</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3.07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Notice of Meetings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7</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3.08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Quorum and Manner of Acting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8</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3.09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Action Without a Meeting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8</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3.10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Executive and Other Committees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8</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Compensation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9</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Removal of Directors; Vacancies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r>
      <w:tr>
        <w:trPr/>
        <w:tc>
          <w:tcPr>
            <w:tcW w:w="7753" w:type="dxa"/>
            <w:gridSpan w:val="3"/>
            <w:tcBorders/>
            <w:tcMar>
              <w:top w:w="0" w:type="dxa"/>
              <w:left w:w="0" w:type="dxa"/>
              <w:bottom w:w="0" w:type="dxa"/>
              <w:right w:w="0" w:type="dxa"/>
            </w:tcMar>
            <w:vAlign w:val="center"/>
          </w:tcPr>
          <w:p>
            <w:pPr>
              <w:pStyle w:val="TableContents"/>
              <w:bidi w:val="0"/>
              <w:spacing w:before="0" w:after="283"/>
              <w:jc w:val="both"/>
              <w:rPr/>
            </w:pPr>
            <w:r>
              <w:rPr/>
              <w:t> </w:t>
            </w:r>
          </w:p>
        </w:tc>
        <w:tc>
          <w:tcPr>
            <w:tcW w:w="1366" w:type="dxa"/>
            <w:gridSpan w:val="3"/>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753"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ARTICLE IV Officers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9</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4.01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Number and Qualifications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9</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4.02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Election and Term of Office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9</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4.03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Compensation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9</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4.04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Resignation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9</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4.05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Removal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9</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4.06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Vacancies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10</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4.07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Authority and Duties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10</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4.08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Surety Bonds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w:t>
            </w:r>
          </w:p>
        </w:tc>
      </w:tr>
      <w:tr>
        <w:trPr/>
        <w:tc>
          <w:tcPr>
            <w:tcW w:w="7899" w:type="dxa"/>
            <w:gridSpan w:val="4"/>
            <w:tcBorders/>
            <w:tcMar>
              <w:top w:w="0" w:type="dxa"/>
              <w:left w:w="0" w:type="dxa"/>
              <w:bottom w:w="0" w:type="dxa"/>
              <w:right w:w="0" w:type="dxa"/>
            </w:tcMar>
            <w:vAlign w:val="center"/>
          </w:tcPr>
          <w:p>
            <w:pPr>
              <w:pStyle w:val="TableContents"/>
              <w:bidi w:val="0"/>
              <w:spacing w:before="0" w:after="283"/>
              <w:jc w:val="both"/>
              <w:rPr/>
            </w:pPr>
            <w:r>
              <w:rPr/>
              <w:t> </w:t>
            </w:r>
          </w:p>
        </w:tc>
        <w:tc>
          <w:tcPr>
            <w:tcW w:w="1220"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center"/>
        <w:rPr>
          <w:rFonts w:ascii="Times New Roman" w:hAnsi="Times New Roman"/>
          <w:color w:val="000000"/>
          <w:sz w:val="22"/>
        </w:rPr>
      </w:pPr>
      <w:r>
        <w:rPr>
          <w:rFonts w:ascii="Times New Roman" w:hAnsi="Times New Roman"/>
          <w:color w:val="000000"/>
          <w:sz w:val="22"/>
        </w:rPr>
        <w:t>i</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7826" w:type="dxa"/>
        <w:jc w:val="left"/>
        <w:tblInd w:w="0" w:type="dxa"/>
        <w:tblLayout w:type="fixed"/>
        <w:tblCellMar>
          <w:top w:w="28" w:type="dxa"/>
          <w:left w:w="28" w:type="dxa"/>
          <w:bottom w:w="28" w:type="dxa"/>
          <w:right w:w="28" w:type="dxa"/>
        </w:tblCellMar>
      </w:tblPr>
      <w:tblGrid>
        <w:gridCol w:w="2011"/>
        <w:gridCol w:w="109"/>
        <w:gridCol w:w="4486"/>
        <w:gridCol w:w="109"/>
        <w:gridCol w:w="1111"/>
      </w:tblGrid>
      <w:tr>
        <w:trPr/>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ARTICLE V Stock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11</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5.01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Issuance of Shares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11</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5.02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Transfer of Shares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11</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5.03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Registered Holders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12</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5.04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Transfer Agents, Registrars and Paying Agents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12</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5.05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Lost, Stolen or Destroyed Certificates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r>
      <w:tr>
        <w:trPr/>
        <w:tc>
          <w:tcPr>
            <w:tcW w:w="6606" w:type="dxa"/>
            <w:gridSpan w:val="3"/>
            <w:tcBorders/>
            <w:tcMar>
              <w:top w:w="0" w:type="dxa"/>
              <w:left w:w="0" w:type="dxa"/>
              <w:bottom w:w="0" w:type="dxa"/>
              <w:right w:w="0" w:type="dxa"/>
            </w:tcMar>
            <w:vAlign w:val="center"/>
          </w:tcPr>
          <w:p>
            <w:pPr>
              <w:pStyle w:val="TableContents"/>
              <w:bidi w:val="0"/>
              <w:spacing w:before="0" w:after="283"/>
              <w:jc w:val="both"/>
              <w:rPr/>
            </w:pPr>
            <w:r>
              <w:rPr/>
              <w:t> </w:t>
            </w:r>
          </w:p>
        </w:tc>
        <w:tc>
          <w:tcPr>
            <w:tcW w:w="1220"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606"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ARTICLE VI Indemnification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12</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6.01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Right to Indemnification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12</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6.02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Insurance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r>
      <w:tr>
        <w:trPr/>
        <w:tc>
          <w:tcPr>
            <w:tcW w:w="6606" w:type="dxa"/>
            <w:gridSpan w:val="3"/>
            <w:tcBorders/>
            <w:tcMar>
              <w:top w:w="0" w:type="dxa"/>
              <w:left w:w="0" w:type="dxa"/>
              <w:bottom w:w="0" w:type="dxa"/>
              <w:right w:w="0" w:type="dxa"/>
            </w:tcMar>
            <w:vAlign w:val="center"/>
          </w:tcPr>
          <w:p>
            <w:pPr>
              <w:pStyle w:val="TableContents"/>
              <w:bidi w:val="0"/>
              <w:spacing w:before="0" w:after="283"/>
              <w:jc w:val="both"/>
              <w:rPr/>
            </w:pPr>
            <w:r>
              <w:rPr/>
              <w:t> </w:t>
            </w:r>
          </w:p>
        </w:tc>
        <w:tc>
          <w:tcPr>
            <w:tcW w:w="1220"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606"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ARTICLE VII Miscellaneous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13</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7.01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Notice by Electronic Transmission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13</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7.02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Waivers of Notice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14</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7.03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Presumption of Assent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14</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7.04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Voting of Securities by the 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14</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7.05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Authorized Signatories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14</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7.06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14</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7.07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Fiscal Year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14</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7.08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Amendments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r>
    </w:tbl>
    <w:p>
      <w:pPr>
        <w:pStyle w:val="TextBody"/>
        <w:bidi w:val="0"/>
        <w:jc w:val="center"/>
        <w:rPr>
          <w:rFonts w:ascii="Times New Roman" w:hAnsi="Times New Roman"/>
          <w:color w:val="000000"/>
          <w:sz w:val="22"/>
        </w:rPr>
      </w:pPr>
      <w:r>
        <w:rPr>
          <w:rFonts w:ascii="Times New Roman" w:hAnsi="Times New Roman"/>
          <w:color w:val="000000"/>
          <w:sz w:val="22"/>
        </w:rPr>
        <w:t>ii</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2"/>
        </w:rPr>
        <w:t>AMENDED AND RESTATED BYLAWS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OF</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color w:val="000000"/>
          <w:sz w:val="22"/>
        </w:rPr>
        <w:t>NATIONAL CINEMEDIA, INC.</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ARTICLE I</w:t>
      </w:r>
    </w:p>
    <w:p>
      <w:pPr>
        <w:pStyle w:val="TextBody"/>
        <w:bidi w:val="0"/>
        <w:spacing w:before="0" w:after="240"/>
        <w:jc w:val="center"/>
        <w:rPr>
          <w:rFonts w:ascii="Times New Roman" w:hAnsi="Times New Roman"/>
          <w:sz w:val="20"/>
        </w:rPr>
      </w:pPr>
      <w:r>
        <w:rPr>
          <w:rFonts w:ascii="Times New Roman" w:hAnsi="Times New Roman"/>
          <w:color w:val="000000"/>
          <w:sz w:val="22"/>
        </w:rPr>
        <w:t>Offices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1.01 </w:t>
      </w:r>
      <w:r>
        <w:rPr>
          <w:rFonts w:ascii="Times New Roman" w:hAnsi="Times New Roman"/>
          <w:color w:val="000000"/>
          <w:sz w:val="22"/>
          <w:u w:val="single"/>
        </w:rPr>
        <w:t>Business Offices</w:t>
      </w:r>
      <w:r>
        <w:rPr>
          <w:rFonts w:ascii="Times New Roman" w:hAnsi="Times New Roman"/>
          <w:color w:val="000000"/>
          <w:sz w:val="22"/>
        </w:rPr>
        <w:t>. National CineMedia, Inc. (the “</w:t>
      </w:r>
      <w:r>
        <w:rPr>
          <w:rFonts w:ascii="Times New Roman" w:hAnsi="Times New Roman"/>
          <w:color w:val="000000"/>
          <w:sz w:val="22"/>
          <w:u w:val="single"/>
        </w:rPr>
        <w:t>Corporation</w:t>
      </w:r>
      <w:r>
        <w:rPr>
          <w:rFonts w:ascii="Times New Roman" w:hAnsi="Times New Roman"/>
          <w:color w:val="000000"/>
          <w:sz w:val="20"/>
        </w:rPr>
        <w:t>”</w:t>
      </w:r>
      <w:r>
        <w:rPr>
          <w:rFonts w:ascii="Times New Roman" w:hAnsi="Times New Roman"/>
          <w:color w:val="000000"/>
          <w:sz w:val="22"/>
        </w:rPr>
        <w:t>) may have such offices, either within or outside Delaware, as the board of directors of the Corporation (the “</w:t>
      </w:r>
      <w:r>
        <w:rPr>
          <w:rFonts w:ascii="Times New Roman" w:hAnsi="Times New Roman"/>
          <w:color w:val="000000"/>
          <w:sz w:val="22"/>
          <w:u w:val="single"/>
        </w:rPr>
        <w:t>Board</w:t>
      </w:r>
      <w:r>
        <w:rPr>
          <w:rFonts w:ascii="Times New Roman" w:hAnsi="Times New Roman"/>
          <w:color w:val="000000"/>
          <w:sz w:val="20"/>
        </w:rPr>
        <w:t>”</w:t>
      </w:r>
      <w:r>
        <w:rPr>
          <w:rFonts w:ascii="Times New Roman" w:hAnsi="Times New Roman"/>
          <w:color w:val="000000"/>
          <w:sz w:val="22"/>
        </w:rPr>
        <w:t>) may from time to time determine or as the business of the Corporation may require.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1.02 </w:t>
      </w:r>
      <w:r>
        <w:rPr>
          <w:rFonts w:ascii="Times New Roman" w:hAnsi="Times New Roman"/>
          <w:color w:val="000000"/>
          <w:sz w:val="22"/>
          <w:u w:val="single"/>
        </w:rPr>
        <w:t>Registered Office</w:t>
      </w:r>
      <w:r>
        <w:rPr>
          <w:rFonts w:ascii="Times New Roman" w:hAnsi="Times New Roman"/>
          <w:color w:val="000000"/>
          <w:sz w:val="22"/>
        </w:rPr>
        <w:t>. The registered office of the Corporation required by the General Corporation Law of the State of Delaware (the “</w:t>
      </w:r>
      <w:r>
        <w:rPr>
          <w:rFonts w:ascii="Times New Roman" w:hAnsi="Times New Roman"/>
          <w:color w:val="000000"/>
          <w:sz w:val="22"/>
          <w:u w:val="single"/>
        </w:rPr>
        <w:t>DGCL</w:t>
      </w:r>
      <w:r>
        <w:rPr>
          <w:rFonts w:ascii="Times New Roman" w:hAnsi="Times New Roman"/>
          <w:color w:val="000000"/>
          <w:sz w:val="20"/>
        </w:rPr>
        <w:t>”</w:t>
      </w:r>
      <w:r>
        <w:rPr>
          <w:rFonts w:ascii="Times New Roman" w:hAnsi="Times New Roman"/>
          <w:color w:val="000000"/>
          <w:sz w:val="22"/>
        </w:rPr>
        <w:t>) to be maintained in Delaware shall be as set forth in the certificate of incorporation of the Corporation (the “</w:t>
      </w:r>
      <w:r>
        <w:rPr>
          <w:rFonts w:ascii="Times New Roman" w:hAnsi="Times New Roman"/>
          <w:color w:val="000000"/>
          <w:sz w:val="22"/>
          <w:u w:val="single"/>
        </w:rPr>
        <w:t>Certificate of Incorporation</w:t>
      </w:r>
      <w:r>
        <w:rPr>
          <w:rFonts w:ascii="Times New Roman" w:hAnsi="Times New Roman"/>
          <w:color w:val="000000"/>
          <w:sz w:val="20"/>
        </w:rPr>
        <w:t>”</w:t>
      </w:r>
      <w:r>
        <w:rPr>
          <w:rFonts w:ascii="Times New Roman" w:hAnsi="Times New Roman"/>
          <w:color w:val="000000"/>
          <w:sz w:val="22"/>
        </w:rPr>
        <w:t>), unless changed as provided by law.</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2"/>
        </w:rPr>
        <w:t>ARTICLE II</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22"/>
        </w:rPr>
        <w:t>Stockholders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2.01 </w:t>
      </w:r>
      <w:r>
        <w:rPr>
          <w:rFonts w:ascii="Times New Roman" w:hAnsi="Times New Roman"/>
          <w:color w:val="000000"/>
          <w:sz w:val="22"/>
          <w:u w:val="single"/>
        </w:rPr>
        <w:t>Annual Meeting</w:t>
      </w:r>
      <w:r>
        <w:rPr>
          <w:rFonts w:ascii="Times New Roman" w:hAnsi="Times New Roman"/>
          <w:color w:val="000000"/>
          <w:sz w:val="22"/>
        </w:rPr>
        <w:t>. An annual meeting of the stockholders of the Corporation shall be held on such date as may be determined by the Board, for the purpose of electing directors and for the transaction of such other business as may come before such meeting. If the election of directors of the Corporation shall not be held on the day designated for any such meeting, or at any adjournment thereof, the Board shall cause the election to be held at a meeting of the stockholders of the Corporation as soon thereafter as conveniently may be held. Failure to hold an annual meeting of the stockholders of the Corporation as required by these Bylaws shall not invalidate any action taken by the Board or by the officers of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2.02 </w:t>
      </w:r>
      <w:r>
        <w:rPr>
          <w:rFonts w:ascii="Times New Roman" w:hAnsi="Times New Roman"/>
          <w:color w:val="000000"/>
          <w:sz w:val="22"/>
          <w:u w:val="single"/>
        </w:rPr>
        <w:t>Special Meetings</w:t>
      </w:r>
      <w:r>
        <w:rPr>
          <w:rFonts w:ascii="Times New Roman" w:hAnsi="Times New Roman"/>
          <w:color w:val="000000"/>
          <w:sz w:val="22"/>
        </w:rPr>
        <w:t>. Special meetings of the stockholders of the Corporation, for any purpose or purposes, unless otherwise prescribed by law or the Certificate of Incorporation, may be called only by the Board pursuant to a resolution approved by the affirmative vote of a majority of the directors of the Corporation then in office. Such resolution of the Board shall state the purpose or purposes of such proposed meeting. Business transacted at any special meetings of the stockholders shall be limited to the purpose or purposes stated in the notice.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2.03 </w:t>
      </w:r>
      <w:r>
        <w:rPr>
          <w:rFonts w:ascii="Times New Roman" w:hAnsi="Times New Roman"/>
          <w:color w:val="000000"/>
          <w:sz w:val="22"/>
          <w:u w:val="single"/>
        </w:rPr>
        <w:t>Place of Meeting</w:t>
      </w:r>
      <w:r>
        <w:rPr>
          <w:rFonts w:ascii="Times New Roman" w:hAnsi="Times New Roman"/>
          <w:color w:val="000000"/>
          <w:sz w:val="22"/>
        </w:rPr>
        <w:t>. Each meeting of the stockholders of the Corporation shall be held at such place, either within or outside Delaware, as may be designated in the notice of such meeting, or, if no place is designated in such notice, at the principal office of the Corporation. The Board may, in its sole discretion, determine that a meeting of stockholders shall not be held at any time, but may instead be held solely by means of remote communications in accordance with the DGCL.</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2.04 </w:t>
      </w:r>
      <w:r>
        <w:rPr>
          <w:rFonts w:ascii="Times New Roman" w:hAnsi="Times New Roman"/>
          <w:color w:val="000000"/>
          <w:sz w:val="22"/>
          <w:u w:val="single"/>
        </w:rPr>
        <w:t>Notice of Meetings</w:t>
      </w:r>
      <w:r>
        <w:rPr>
          <w:rFonts w:ascii="Times New Roman" w:hAnsi="Times New Roman"/>
          <w:color w:val="000000"/>
          <w:sz w:val="22"/>
        </w:rPr>
        <w:t>. Except as otherwise required herein, by the Certificate of Incorporation or by law and whenever stockholders are required or permitted to take any action at a meeting, notice in writing or by electronic transmission of each meeting of the stockholders of the Corporation stating the place, if any, day and hour of such meeting, the means of remote communications, if any, by which stockholders and proxy holders may be deemed to be present in person and vote at such meeting and, in the case of a special meeting of the stockholders of the Corporation, the purpose or purposes for which such meeting is called, shall be given, either personally (including delivery by private courier) or by first class, certified or registered mail, or by electronic transmission, to each stockholder of record entitled to notice of such meeting, not less than 10 nor more than 60 days before the date of such meeting. Such notice shall be deemed to be given, if personally delivered, when delivered to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stockholder, and, if mailed, when deposited in the United States mail, postage prepaid, directed to the stockholder at his address as it appears on the records of the Corporation, and if by electronic transmission, when posted on an electronic network or directed to the stockholder at an electronic mail address at which the stockholder has consented to receive notice. An affidavit of the secretary or an assistant secretary of the Corporation or of the transfer agent or any other agent of the Corporation that the notice has been given by personal delivery, by mail or by a form of electronic transmission, as applicable, shall, in the absence of fraud, be prima facie evidence of the facts stated therein. If notice of two consecutive annual meetings of the stockholders of the Corporation and all notices of other meetings of the stockholders of the Corporation to any stockholder during the period between such two consecutive annual meetings, or all, and at least two, payments (if sent by first class mail) of dividends or interest on securities of the Corporation during a 12 month period, have been mailed to such person at his address as shown on the records of the Corporation and have been returned undeliverable, the giving of such notice to such person shall not be required until another address for such person is delivered to the Corporation. When a meeting of the stockholders of the Corporation is adjourned to another time or place, if any, notice need not be given of the adjourned meeting if the time and place thereof are announced at the meeting at which the adjournment is taken. At such adjourned meeting the Corporation may transact any business that might have been transacted at the original meeting of the stockholders of the Corporation. If the adjournment is for more than 30 days, or if after the adjournment a new record date is fixed for such adjourned meeting, notice of such adjourned meeting shall be given to each stockholder of record of the Corporation entitled to vote at the meeting in accordance with the foregoing provisions of this Section 2.04.</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2.05 </w:t>
      </w:r>
      <w:r>
        <w:rPr>
          <w:rFonts w:ascii="Times New Roman" w:hAnsi="Times New Roman"/>
          <w:color w:val="000000"/>
          <w:sz w:val="22"/>
          <w:u w:val="single"/>
        </w:rPr>
        <w:t>Fixing Date for Determination of Stockholders of Record</w:t>
      </w:r>
      <w:r>
        <w:rPr>
          <w:rFonts w:ascii="Times New Roman" w:hAnsi="Times New Roman"/>
          <w:color w:val="000000"/>
          <w:sz w:val="22"/>
        </w:rPr>
        <w:t xml:space="preserve">. For the purpose of determining the stockholders of the Corporation entitled to notice of or to vote at any meeting of the stockholders of the Corporation or any adjournment thereof, or entitled to receive payment of any dividend or other distribution or allotment of any rights, or entitled to exercise any rights in respect of any change, conversion or exchange of capital stock of the Corporation or for any other lawful action, the Board may fix, in advance, a date as the record date for any such determination of stockholders, which date shall not precede the date upon which the record date is adopted by the Board, and which shall not be more than 60 nor less than 10 days before the date of such meeting, and not more than 60 days prior to any other action. If no record date is fixed then the record date shall be, for determining the stockholders of the Corporation entitled to notice of or to vote at a meeting of such stockholders, the close of business on the day next preceding the day on which notice is given, or, if notice is waived, the close of business on the day next preceding the day on which such meeting is held, or, for determining stockholders of the Corporation for any other purpose, the close of business on the day on which the Board adopts the resolution relating thereto. A determination of the stockholders of record of the Corporation entitled to notice of or to vote at a meeting of such stockholders shall apply to any adjournment of such meeting; </w:t>
      </w:r>
      <w:r>
        <w:rPr>
          <w:rFonts w:ascii="Times New Roman" w:hAnsi="Times New Roman"/>
          <w:i/>
          <w:color w:val="000000"/>
          <w:sz w:val="22"/>
        </w:rPr>
        <w:t>provided, however</w:t>
      </w:r>
      <w:r>
        <w:rPr>
          <w:rFonts w:ascii="Times New Roman" w:hAnsi="Times New Roman"/>
          <w:color w:val="000000"/>
          <w:sz w:val="22"/>
        </w:rPr>
        <w:t>, that the Board may fix a new record date for the adjourned meeting.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2.06 </w:t>
      </w:r>
      <w:r>
        <w:rPr>
          <w:rFonts w:ascii="Times New Roman" w:hAnsi="Times New Roman"/>
          <w:color w:val="000000"/>
          <w:sz w:val="22"/>
          <w:u w:val="single"/>
        </w:rPr>
        <w:t>Voting List</w:t>
      </w:r>
      <w:r>
        <w:rPr>
          <w:rFonts w:ascii="Times New Roman" w:hAnsi="Times New Roman"/>
          <w:color w:val="000000"/>
          <w:sz w:val="22"/>
        </w:rPr>
        <w:t>. The officer of the Corporation who has charge of the stock ledger of the Corporation shall prepare, or cause to be prepared, at least 10 days before every meeting of the stockholders of the Corporation, a complete list of such stockholders entitled to vote at the meeting, arranged in alphabetical order, and showing the address of each such stockholder and the number of shares of capital stock of the Corporation registered in the name of each such stockholder. Nothing contained in this Section 2.06 shall require the Corporation to include electronic mail addresses or other electronic contact information on such list. Such list shall be open to the examination of any stockholder of the Corporation, for any purpose germane to such meeting, for a period of at least 10 days prior to such meeting, either (a) on a reasonably accessible electronic network, provided that the information required to gain access to such list is provided with the notice of such meeting, or (b) during ordinary business hours, at the principal place of business of the corporation. If the Corporation determines to make the list available on an electronic network, the Corporation may take reasonable steps to ensure that such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information is available only to stockholders of the Corporation. If such meeting is to be held at a place, the list shall also be produced and kept at the time and place of such meeting during the whole time thereof, and may be inspected by any stockholder of the Corporation who is present. If such meeting is to be held solely by means of remote communication, then the list shall also be open to the examination of any stockholder of the Corporation during the whole time of such meeting on a reasonably accessible electronic network, and the information required to access such list shall be provided with the notice of such meeting. Except as otherwise provided by law, the list of stockholders shall be the only evidence as to which stockholders are entitled to examine to determine the stockholders entitled to vote in person or by proxy at any meeting of the stockholders.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2.07 </w:t>
      </w:r>
      <w:r>
        <w:rPr>
          <w:rFonts w:ascii="Times New Roman" w:hAnsi="Times New Roman"/>
          <w:color w:val="000000"/>
          <w:sz w:val="22"/>
          <w:u w:val="single"/>
        </w:rPr>
        <w:t>Proxies</w:t>
      </w:r>
      <w:r>
        <w:rPr>
          <w:rFonts w:ascii="Times New Roman" w:hAnsi="Times New Roman"/>
          <w:color w:val="000000"/>
          <w:sz w:val="22"/>
        </w:rPr>
        <w:t>. Each stockholder of the Corporation entitled to vote at a meeting of stockholders of the Corporation may authorize another person or persons to act for him, her or it by proxy, but no such proxy shall be voted or acted upon after three years from its date, unless the proxy provides for a longer period. Except as otherwise provided by law,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2.08 </w:t>
      </w:r>
      <w:r>
        <w:rPr>
          <w:rFonts w:ascii="Times New Roman" w:hAnsi="Times New Roman"/>
          <w:color w:val="000000"/>
          <w:sz w:val="22"/>
          <w:u w:val="single"/>
        </w:rPr>
        <w:t>Quorum and Manner of Acting</w:t>
      </w:r>
      <w:r>
        <w:rPr>
          <w:rFonts w:ascii="Times New Roman" w:hAnsi="Times New Roman"/>
          <w:color w:val="000000"/>
          <w:sz w:val="22"/>
        </w:rPr>
        <w:t>. Except as otherwise provided by law, the Certificate of Incorporation or these Bylaws, at a meeting of stockholders of the Corporation, one-third of the combined voting power of the outstanding shares of capital stock of the Corporation entitled to vote at such meeting, represented in person or by proxy, shall constitute a quorum. If a quorum is present, at all meetings of stockholders for the election of directors, the directors of the Corporation will be elected by the plurality of the votes cast by the holders of shares of Common Stock (as defined in the Certificate of Incorporation). Unless otherwise provided by the Certificate of Incorporation, these Bylaws, the rules or regulations of any stock exchange applicable to the Corporation or applicable law or pursuant to any regulation applicable to the Corporation or its securities, if a quorum is present, the affirmative vote of a majority of the votes held by such shares represented at such meeting at which a quorum is present and entitled to vote on the subject matter shall be the act of such stockholders. In the absence of a quorum, a majority of the shares of capital stock of the Corporation so represented may adjourn such meeting from time to time in accordance with Section 2.04, until a quorum shall be present or represented.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2.09 </w:t>
      </w:r>
      <w:r>
        <w:rPr>
          <w:rFonts w:ascii="Times New Roman" w:hAnsi="Times New Roman"/>
          <w:color w:val="000000"/>
          <w:sz w:val="22"/>
          <w:u w:val="single"/>
        </w:rPr>
        <w:t>Nominations for the Election of Directors</w:t>
      </w:r>
      <w:r>
        <w:rPr>
          <w:rFonts w:ascii="Times New Roman" w:hAnsi="Times New Roman"/>
          <w:color w:val="000000"/>
          <w:sz w:val="22"/>
        </w:rPr>
        <w:t>. Except as otherwise provided in the Certificate of Incorporation, nominations for election to the Board must be made by the Board or by a committee appointed by the Board for such purpose or by any stockholder of any outstanding shares of capital stock of the Corporation entitled to vote for the election of directors of the Corporation. Except as otherwise provided in the Certificate of Incorporation, nominations by the stockholders of the Corporation must be preceded by timely notice in writing to the secretary of the Corporation. To be timely, a stockholder’s notice shall be delivered to the secretary of the Corporation at the principal executive offices of the Corporation not later than the close of business on the 90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nor earlier than the close of business on the 120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 xml:space="preserve">day prior to the first anniversary of the preceding year’s annual meeting of the stockholders of the Corporation; </w:t>
      </w:r>
      <w:r>
        <w:rPr>
          <w:rFonts w:ascii="Times New Roman" w:hAnsi="Times New Roman"/>
          <w:i/>
          <w:color w:val="000000"/>
          <w:sz w:val="22"/>
        </w:rPr>
        <w:t>provided, however</w:t>
      </w:r>
      <w:r>
        <w:rPr>
          <w:rFonts w:ascii="Times New Roman" w:hAnsi="Times New Roman"/>
          <w:color w:val="000000"/>
          <w:sz w:val="22"/>
        </w:rPr>
        <w:t>, that in the event that the date of such meeting is advanced more than 30 days prior to, or delayed by more than 70 days after, the anniversary of the preceding year’s annual meeting of the stockholders of the Corporation, a stockholder’s notice to be timely must be so delivered not earlier than the close of business on the 120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prior to such meeting and not later than the close of business on the later of the 90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prior to such meeting or the 10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following the day on which public announcement of the date of such meeting is first made by the Corporation. For purposes of the first annual meeting of stockholders of the Corporation held following the date of these Bylaws, the first anniversary of such annual meeting shall be deemed to be the third Wednesday of May of the following year. Such stockholder’s notice shall set forth: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(a) as to each person whom the stockholder proposes to nominate as a director: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 all information relating to such person that is required to be disclosed in solicitations of proxies for election of directors in an election contest, or is otherwise required, in each case pursuant to and in accordance with Regulation 14A under the Securities Exchange Act of 1934, as amended (the “</w:t>
      </w:r>
      <w:r>
        <w:rPr>
          <w:rFonts w:ascii="Times New Roman" w:hAnsi="Times New Roman"/>
          <w:color w:val="000000"/>
          <w:sz w:val="22"/>
          <w:u w:val="single"/>
        </w:rPr>
        <w:t>Exchange Act</w:t>
      </w:r>
      <w:r>
        <w:rPr>
          <w:rFonts w:ascii="Times New Roman" w:hAnsi="Times New Roman"/>
          <w:color w:val="000000"/>
          <w:sz w:val="20"/>
        </w:rPr>
        <w:t>”</w:t>
      </w:r>
      <w:r>
        <w:rPr>
          <w:rFonts w:ascii="Times New Roman" w:hAnsi="Times New Roman"/>
          <w:color w:val="000000"/>
          <w:sz w:val="22"/>
        </w:rPr>
        <w:t>),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(ii) such person’s written consent to being named in the proxy statement as a nominee and to serving as a director if elected;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(b) as to the stockholder giving the notice and the beneficial owner, if any, on whose behalf the nomination is made: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 the name and address of such stockholder, as they appear on the Corporation’s books, and of such beneficial owner,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(ii) the class and number of shares of capital stock of the Corporation which are owned beneficially and of record by such stockholder and such beneficial owner,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(iii) a representation that the stockholder is a holder of record of stock of the Corporation entitled to vote at such meeting and intends to appear in person or by proxy at the meeting to propose nomination,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(iv) a representation regarding whether the stockholder or the beneficial owner, if any, intends or is part of a group which intends (A) to deliver a proxy statement and/or form of proxy to holders of at least the percentage of the Corporation’s outstanding capital stock required to elect the nominee and/or (B) otherwise to solicit proxies from stockholders in support of such nomination.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The foregoing notice requirements shall be deemed satisfied by a stockholder if the stockholder has notified the Corporation of his or her intention to present a proposal at an annual meeting in compliance with Rule 14a-8 (or any successor thereof) promulgated under the Exchange Act and such stockholder’s proposal has been included in a proxy statement that has been prepared by the Corporation to solicit proxies for such annual meeting. The Corporation may require any proposed director nominee to furnish such other information as it may reasonably require to determine the eligibility of such proposed nominee to serve as a director of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The presiding officer of the annual meeting of the stockholders of the Corporation shall have the authority to determine and declare to such meeting that a nomination not preceded by notification made in accordance with the foregoing procedure shall be disregarded.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2.10 </w:t>
      </w:r>
      <w:r>
        <w:rPr>
          <w:rFonts w:ascii="Times New Roman" w:hAnsi="Times New Roman"/>
          <w:color w:val="000000"/>
          <w:sz w:val="22"/>
          <w:u w:val="single"/>
        </w:rPr>
        <w:t>Other Stockholder Proposals</w:t>
      </w:r>
      <w:r>
        <w:rPr>
          <w:rFonts w:ascii="Times New Roman" w:hAnsi="Times New Roman"/>
          <w:color w:val="000000"/>
          <w:sz w:val="22"/>
        </w:rPr>
        <w:t>. For business other than the nomination for election of directors to the Board to be properly brought before any meeting by a stockholder of the Corporation, such stockholder must have given timely notice thereof in writing to the secretary of the Corporation. To be timely, a stockholder’s notice shall be delivered to the secretary of the Corporation at the principal executive offices of the Corporation not later than the close of business on the 90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nor earlier than the close of business on the 120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 xml:space="preserve">day prior to the first anniversary of the preceding year’s annual meeting of the stockholders of the Corporation;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in the event that the date of such meeting is advanced more than 30 days prior to, or delayed by more than 70 days after, the anniversary of the preceding year’s annual meeting of the stockholders of the Corporation, a stockholder’s notice to be timely must be so delivered not earlier than the close of business on the 120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prior to such meeting</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and not later than the close of business on the later of the 90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prior to such meeting or the 10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following the day on which public announcement of the date of such meeting is first made by the Corporation. For purposes of the first annual meeting of stockholders of the Corporation held following the date of these Bylaws, the first anniversary of such annual meeting shall be deemed to be the third Wednesday of May of the following year. Such stockholder’s notice shall set forth:</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(a) as to any business that the stockholder proposes to bring before the meeting: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 a brief description of the business desired to be brought before the meeting,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(ii) the text of the proposal or business (including the text of any resolutions proposed for consideration and in the event that such business includes a proposal to amend these Bylaws, the language of the proposed amendment),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(iii) the reasons for conducting such business at the meeting;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(b) as to the stockholder giving the notice and the beneficial owner, if any, on whose behalf the proposal is made: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 the name and address of such stockholder, as they appear on the Corporation’s books, and of such beneficial owner,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(ii) the class and number of shares of capital stock of the Corporation which are owned beneficially and of record by such stockholder and such beneficial owner,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(iii) any material interest in such business of such stockholder and the beneficial owner, if any, on whose behalf the proposal is made as to each matter such stockholder proposes to bring before such meeting,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(iv) a representation that the stockholder is a holder of record of stock of the Corporation entitled to vote at such meeting and intends to appear in person or by proxy at the meeting to propose such business,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(v) a representation regarding whether the stockholder or the beneficial owner, if any, intends or is part of a group which intends (A) to deliver a proxy statement and/or form of proxy to holders of at least the percentage of the Corporation’s outstanding capital stock required to approve or adopt the proposal and/or (B) otherwise to solicit proxies from stockholders in support of such proposal.</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2.11 </w:t>
      </w:r>
      <w:r>
        <w:rPr>
          <w:rFonts w:ascii="Times New Roman" w:hAnsi="Times New Roman"/>
          <w:color w:val="000000"/>
          <w:sz w:val="22"/>
          <w:u w:val="single"/>
        </w:rPr>
        <w:t>Stockholder Action by Written Consent Without a Meeting</w:t>
      </w:r>
      <w:r>
        <w:rPr>
          <w:rFonts w:ascii="Times New Roman" w:hAnsi="Times New Roman"/>
          <w:color w:val="000000"/>
          <w:sz w:val="22"/>
        </w:rPr>
        <w:t>. Except as provided in any preferred stock designation adopted in accordance with the Certificate of Incorporation and the DGCL (a “</w:t>
      </w:r>
      <w:r>
        <w:rPr>
          <w:rFonts w:ascii="Times New Roman" w:hAnsi="Times New Roman"/>
          <w:color w:val="000000"/>
          <w:sz w:val="22"/>
          <w:u w:val="single"/>
        </w:rPr>
        <w:t>Preferred Stock Designation</w:t>
      </w:r>
      <w:r>
        <w:rPr>
          <w:rFonts w:ascii="Times New Roman" w:hAnsi="Times New Roman"/>
          <w:color w:val="000000"/>
          <w:sz w:val="20"/>
        </w:rPr>
        <w:t>”</w:t>
      </w:r>
      <w:r>
        <w:rPr>
          <w:rFonts w:ascii="Times New Roman" w:hAnsi="Times New Roman"/>
          <w:color w:val="000000"/>
          <w:sz w:val="22"/>
        </w:rPr>
        <w:t>), after the Corporation first has a class of securities registered under Section 12(g) of the Exchange Act or its equivalent, any action required or permitted to be taken by the stockholders of the Corporation must be taken at a duly called annual or special meeting of the stockholders and may not be taken by consent in writing or otherwise.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2.12 </w:t>
      </w:r>
      <w:r>
        <w:rPr>
          <w:rFonts w:ascii="Times New Roman" w:hAnsi="Times New Roman"/>
          <w:color w:val="000000"/>
          <w:sz w:val="22"/>
          <w:u w:val="single"/>
        </w:rPr>
        <w:t>Conduct of Business</w:t>
      </w:r>
      <w:r>
        <w:rPr>
          <w:rFonts w:ascii="Times New Roman" w:hAnsi="Times New Roman"/>
          <w:color w:val="000000"/>
          <w:sz w:val="22"/>
        </w:rPr>
        <w:t>. The chairman of each annual and special meeting of stockholders shall be the chairman of the Board or, in the 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is not a director, such other person as shall be appointed by the Board.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 The date and time of the opening and the closing of the polls for each matter upon which the stockholders will vote at a meeting shall be announced at the meeting by the presiding officer of the meeting. The Board may adopt by resolution such rules and regulations for the conduct of the meeting of stockholders as it shall deem appropriate. Except to the extent inconsistent with these Bylaws or such rules and regulations as adopted by the Board, the presiding officer of the meeting of stockholders shall have the right and authority to convene the meeting, to prescribe such rules, regulations and procedures and to do all such acts as, in the judgment of such presiding officer, are appropriate for the proper conduct of the meeting. Such rules, regulations or procedures, whether adopted by the Board or prescribed by the presiding officer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the presiding officer of the meeting shall determine; (iv) restrictions on entry to the meeting after the time fixed for the commencement thereof; and (v) limitations on the time allotted to questions or comments by participants. The presiding officer of the meeting, in addition to making any other determinations that may be appropriate to the conduct of the meeting, shall, if the facts warrant, determine and declare to the meeting that a matter or business was not properly brought before the meeting and if such presiding officer should so determine, such presiding officer shall so declare to the meeting, and any such matter or business not properly brought before the meeting shall not be transacted or considered. Unless and to the extent determined by the Board or the presiding officer of the meeting, meetings of stockholders shall not be required to be held in accordance with the rules of parliamentary procedure.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2.13 </w:t>
      </w:r>
      <w:r>
        <w:rPr>
          <w:rFonts w:ascii="Times New Roman" w:hAnsi="Times New Roman"/>
          <w:color w:val="000000"/>
          <w:sz w:val="22"/>
          <w:u w:val="single"/>
        </w:rPr>
        <w:t>Inspector of Elections</w:t>
      </w:r>
      <w:r>
        <w:rPr>
          <w:rFonts w:ascii="Times New Roman" w:hAnsi="Times New Roman"/>
          <w:color w:val="000000"/>
          <w:sz w:val="22"/>
        </w:rPr>
        <w:t>. The Corporation shall, in advance of any meeting of stockholders, appoint one or more inspectors of election, who may be employees of the Corporation or otherwise serve the Corporation in other capacities,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(i) ascertain the number of shares of capital stock of the Corporation outstanding and the voting power of each such share, (ii) determine the shares of capital stock of the Corporation represented at the meeting in person or by proxy and the validity of proxies and ballots, (iii) count all votes and ballots and report the results,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2"/>
        </w:rPr>
        <w:t>ARTICLE III</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22"/>
        </w:rPr>
        <w:t>Board of Directors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3.01 </w:t>
      </w:r>
      <w:r>
        <w:rPr>
          <w:rFonts w:ascii="Times New Roman" w:hAnsi="Times New Roman"/>
          <w:color w:val="000000"/>
          <w:sz w:val="22"/>
          <w:u w:val="single"/>
        </w:rPr>
        <w:t>General Powers</w:t>
      </w:r>
      <w:r>
        <w:rPr>
          <w:rFonts w:ascii="Times New Roman" w:hAnsi="Times New Roman"/>
          <w:color w:val="000000"/>
          <w:sz w:val="22"/>
        </w:rPr>
        <w:t>. The business and affairs of the Corporation shall be managed by or under the direction of the Board, except as otherwise provided in the DGCL or the Certificate of Incorporation.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3.02 </w:t>
      </w:r>
      <w:r>
        <w:rPr>
          <w:rFonts w:ascii="Times New Roman" w:hAnsi="Times New Roman"/>
          <w:color w:val="000000"/>
          <w:sz w:val="22"/>
          <w:u w:val="single"/>
        </w:rPr>
        <w:t>Number, Tenure and Qualifications</w:t>
      </w:r>
      <w:r>
        <w:rPr>
          <w:rFonts w:ascii="Times New Roman" w:hAnsi="Times New Roman"/>
          <w:color w:val="000000"/>
          <w:sz w:val="22"/>
        </w:rPr>
        <w:t>. The number of directors of the Corporation, other than those who may be elected by the holders of one or more series of preferred stock of the Corporation (“</w:t>
      </w:r>
      <w:r>
        <w:rPr>
          <w:rFonts w:ascii="Times New Roman" w:hAnsi="Times New Roman"/>
          <w:color w:val="000000"/>
          <w:sz w:val="22"/>
          <w:u w:val="single"/>
        </w:rPr>
        <w:t>Preferred Stock</w:t>
      </w:r>
      <w:r>
        <w:rPr>
          <w:rFonts w:ascii="Times New Roman" w:hAnsi="Times New Roman"/>
          <w:color w:val="000000"/>
          <w:sz w:val="20"/>
        </w:rPr>
        <w:t>”</w:t>
      </w:r>
      <w:r>
        <w:rPr>
          <w:rFonts w:ascii="Times New Roman" w:hAnsi="Times New Roman"/>
          <w:color w:val="000000"/>
          <w:sz w:val="22"/>
        </w:rPr>
        <w:t>) voting separately by class or series, shall initially be nine (9). Each director of the Corporation shall hold office until his or her successor shall be qualified and elected, subject, however, to such director’s earlier death, resignation, retirement or removal. Any newly created directorship or vacancy shall be filled as set forth in the Certificate of Incorporation. Directors of the Corporation need not be residents of Delaware or stockholders of the Corporation. No decrease in the number of directors constituting the Board shall shorten the term of any incumbent director, except as may be provided for in a Preferred Stock Designation with respect to any additional director elected by the holders of the applicable series of Preferred Stock.</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3.03 </w:t>
      </w:r>
      <w:r>
        <w:rPr>
          <w:rFonts w:ascii="Times New Roman" w:hAnsi="Times New Roman"/>
          <w:color w:val="000000"/>
          <w:sz w:val="22"/>
          <w:u w:val="single"/>
        </w:rPr>
        <w:t>Resignation</w:t>
      </w:r>
      <w:r>
        <w:rPr>
          <w:rFonts w:ascii="Times New Roman" w:hAnsi="Times New Roman"/>
          <w:color w:val="000000"/>
          <w:sz w:val="22"/>
        </w:rPr>
        <w:t>. Any director of the Corporation may resign at any time by giving notice to the Corporation in writing or by electronic transmission. A director’s resignation shall take effect upon receipt or, if a different time of effectiveness is specified therein, at the time specified therein. Unless otherwise specified therein, the acceptance of such resignation shall not be necessary to make it effective.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3.04 </w:t>
      </w:r>
      <w:r>
        <w:rPr>
          <w:rFonts w:ascii="Times New Roman" w:hAnsi="Times New Roman"/>
          <w:color w:val="000000"/>
          <w:sz w:val="22"/>
          <w:u w:val="single"/>
        </w:rPr>
        <w:t>Regular Meetings</w:t>
      </w:r>
      <w:r>
        <w:rPr>
          <w:rFonts w:ascii="Times New Roman" w:hAnsi="Times New Roman"/>
          <w:color w:val="000000"/>
          <w:sz w:val="22"/>
        </w:rPr>
        <w:t>. Regular meetings of the Board may be held at such time and at such place, if any (either within or outside Delaware), as shall from time to time be determined by the Board.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3.05 </w:t>
      </w:r>
      <w:r>
        <w:rPr>
          <w:rFonts w:ascii="Times New Roman" w:hAnsi="Times New Roman"/>
          <w:color w:val="000000"/>
          <w:sz w:val="22"/>
          <w:u w:val="single"/>
        </w:rPr>
        <w:t>Special Meetings</w:t>
      </w:r>
      <w:r>
        <w:rPr>
          <w:rFonts w:ascii="Times New Roman" w:hAnsi="Times New Roman"/>
          <w:color w:val="000000"/>
          <w:sz w:val="22"/>
        </w:rPr>
        <w:t>. Special meetings of the Board for any purpose or purposes may be called at any time by the chairman of the Board, by the chief executive officer or by a majority of the directors of the Corporation. Any such special meeting may take place at any place either within or outside Delaware.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3.06 </w:t>
      </w:r>
      <w:r>
        <w:rPr>
          <w:rFonts w:ascii="Times New Roman" w:hAnsi="Times New Roman"/>
          <w:color w:val="000000"/>
          <w:sz w:val="22"/>
          <w:u w:val="single"/>
        </w:rPr>
        <w:t>Meetings by Telephone</w:t>
      </w:r>
      <w:r>
        <w:rPr>
          <w:rFonts w:ascii="Times New Roman" w:hAnsi="Times New Roman"/>
          <w:color w:val="000000"/>
          <w:sz w:val="22"/>
        </w:rPr>
        <w:t>. Unless otherwise restricted by the Certificate of Incorporation, the directors of the Corporation may participate in a meeting of the Board by means of conference telephone or other communications equipment by means of which all persons participating in such meeting can hear each other, and such participation in such meeting in such manner shall constitute presence in person at such meeting.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3.07 </w:t>
      </w:r>
      <w:r>
        <w:rPr>
          <w:rFonts w:ascii="Times New Roman" w:hAnsi="Times New Roman"/>
          <w:color w:val="000000"/>
          <w:sz w:val="22"/>
          <w:u w:val="single"/>
        </w:rPr>
        <w:t>Notice of Meetings</w:t>
      </w:r>
      <w:r>
        <w:rPr>
          <w:rFonts w:ascii="Times New Roman" w:hAnsi="Times New Roman"/>
          <w:color w:val="000000"/>
          <w:sz w:val="22"/>
        </w:rPr>
        <w:t>. Notice of each meeting of the Board (except those regular meetings for which notice is not required) stating the place, if any, day and hour of such meeting shall be given to each director of the Corporation at least two days prior thereto by the mailing of written notice by first class, certified or registered mail, or at least one day prior thereto by personal delivery (including delivery by private courier) of written notice or by telephone, telegram, telex, cablegram, electronic transmission (including email) or other similar method, except that in the case of a meeting of the Board to be held pursuant to Section 3.06 notice may be given by telephone at any time prior thereto. The method of notice need not be the same to each director of the Corporation. Notice shall be deemed to be given when deposited in the United States mail, with postage thereon prepaid, addressed to such director at his business or residence address, when delivered or communicated to such director or when the telegram, telex, cablegram, electronic transmission (including email) or other form of notice is personally delivered to such director or delivered to the last address of such director furnished by him to the Corporation for such purpose. Notice may be waived pursuant to Section 7.02 hereof. Neither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business to be transacted at, nor the purpose of, any meeting of the Board need be specified in the notice or waiver of notice of such meeting.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3.08 </w:t>
      </w:r>
      <w:r>
        <w:rPr>
          <w:rFonts w:ascii="Times New Roman" w:hAnsi="Times New Roman"/>
          <w:color w:val="000000"/>
          <w:sz w:val="22"/>
          <w:u w:val="single"/>
        </w:rPr>
        <w:t>Quorum and Manner of Acting</w:t>
      </w:r>
      <w:r>
        <w:rPr>
          <w:rFonts w:ascii="Times New Roman" w:hAnsi="Times New Roman"/>
          <w:color w:val="000000"/>
          <w:sz w:val="22"/>
        </w:rPr>
        <w:t>. Except as otherwise may be required by law, the Certificate of Incorporation or these Bylaws, a majority of the number of directors of the Corporation fixed in accordance with these Bylaws, present at the meeting, shall constitute a quorum for the transaction of business at any meeting of the Board, and the vote of a majority of the directors of the Corporation present at a meeting of the Board at which a quorum is present shall be the act of the Board. If less than a quorum is present at a meeting of the Board, the directors of the Corporation present may adjourn such meeting from time to time without further notice other than announcement at such meeting, until a quorum shall be present. Subject to the terms of the Certificate of Incorporation, a meeting at which a quorum is initially present may continue to transact business notwithstanding the withdrawal of directors, if any action taken is approved by at least a majority of the required quorum for that meeting.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3.09 </w:t>
      </w:r>
      <w:r>
        <w:rPr>
          <w:rFonts w:ascii="Times New Roman" w:hAnsi="Times New Roman"/>
          <w:color w:val="000000"/>
          <w:sz w:val="22"/>
          <w:u w:val="single"/>
        </w:rPr>
        <w:t>Action Without a Meeting</w:t>
      </w:r>
      <w:r>
        <w:rPr>
          <w:rFonts w:ascii="Times New Roman" w:hAnsi="Times New Roman"/>
          <w:color w:val="000000"/>
          <w:sz w:val="22"/>
        </w:rPr>
        <w:t>. Any action required or permitted to be taken at any meeting of the Board or of any committee thereof may be taken without a meeting, without prior notice and without a vote, if all members of the Board or committee thereof entitled to vote thereon, as the case may be, consent thereto in writing or by electronic transmission and the writing or writings or electronic transmission or transmissions are filed with the minutes of the proceedings of the Board or committee thereof, as the case may be.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3.10 </w:t>
      </w:r>
      <w:r>
        <w:rPr>
          <w:rFonts w:ascii="Times New Roman" w:hAnsi="Times New Roman"/>
          <w:color w:val="000000"/>
          <w:sz w:val="22"/>
          <w:u w:val="single"/>
        </w:rPr>
        <w:t>Executive and Other Committees</w:t>
      </w:r>
      <w:r>
        <w:rPr>
          <w:rFonts w:ascii="Times New Roman" w:hAnsi="Times New Roman"/>
          <w:color w:val="000000"/>
          <w:sz w:val="22"/>
        </w:rPr>
        <w:t>. The Board may designate by resolution one or more committees of the Board, each committee to consist of one or more of the directors of the Corporation. The Board may designate one or more directors as alternate members of any such committee, who may replace any absent or disqualified member at any meeting of such committee, and may dissolve any such committee. In the absence or disqualification of a member of a committee of the Board, the member or members present at any meeting of such committee of the Board and not disqualified from voting, whether or not such member or members constitute a quorum, may unanimously appoint another member of the Board to act at the meeting in the place of any such absent or disqualified member. Except as otherwise provided in the charter of such committee or as otherwise required by the corporation governance rules and listing standards of any national securities exchange or automated quotation system upon which the Corporation’s securities are then listed, any such committee shall present its findings and recommendations to the Board, as set forth in the applicable Board resolution. The Board shall delegate certain of its powers and authority to any such committee as set forth in the charters of such committee or by resolution of the Board in the Board’s discretion or as otherwise required by the corporation governance rules and listing standards of any national securities exchange or automated quotation system upon which the Corporation’s securities are then listed. To the extent the Board does not establish other procedures, and subject to the immediately preceding sentence, each such committee shall be governed by the procedures set forth in Sections 3.04 (except as they relate to an annual meeting), 3.05 through 3.09, 7.01 and 7.02 as if such committee were the Board. Each such committee shall keep regular minutes of its meetings, which shall be reported to the Board when required and submitted to the secretary of the Corporation for inclusion in the corporate records of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3.11 </w:t>
      </w:r>
      <w:r>
        <w:rPr>
          <w:rFonts w:ascii="Times New Roman" w:hAnsi="Times New Roman"/>
          <w:color w:val="000000"/>
          <w:sz w:val="22"/>
          <w:u w:val="single"/>
        </w:rPr>
        <w:t>Compensation</w:t>
      </w:r>
      <w:r>
        <w:rPr>
          <w:rFonts w:ascii="Times New Roman" w:hAnsi="Times New Roman"/>
          <w:color w:val="000000"/>
          <w:sz w:val="22"/>
        </w:rPr>
        <w:t>. Unless otherwise restricted by the Certificate of Incorporation, the Board shall have the authority to fix the compensation of directors of the Corporation. Such directors may be paid their expenses, if any, of attendance at each meeting of the Board and each meeting of any committee of the Board of which he or she is a member and may be paid a fixed sum for attendance at each such meeting or a stated salary or both a fixed sum and a stated salary. No such payment shall preclude any such director from serving the Corporation in any other capacity and receiving compensation therefor.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3.12 </w:t>
      </w:r>
      <w:r>
        <w:rPr>
          <w:rFonts w:ascii="Times New Roman" w:hAnsi="Times New Roman"/>
          <w:color w:val="000000"/>
          <w:sz w:val="22"/>
          <w:u w:val="single"/>
        </w:rPr>
        <w:t>Removal of Directors; Vacancies</w:t>
      </w:r>
      <w:r>
        <w:rPr>
          <w:rFonts w:ascii="Times New Roman" w:hAnsi="Times New Roman"/>
          <w:color w:val="000000"/>
          <w:sz w:val="22"/>
        </w:rPr>
        <w:t>. The removal of directors of the Corporation and the filling of vacancies on the Board shall be as provided in the Certificate of Incorporation.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2"/>
        </w:rPr>
        <w:t>ARTICLE IV</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22"/>
        </w:rPr>
        <w:t>Officers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4.01 </w:t>
      </w:r>
      <w:r>
        <w:rPr>
          <w:rFonts w:ascii="Times New Roman" w:hAnsi="Times New Roman"/>
          <w:color w:val="000000"/>
          <w:sz w:val="22"/>
          <w:u w:val="single"/>
        </w:rPr>
        <w:t>Number and Qualifications</w:t>
      </w:r>
      <w:r>
        <w:rPr>
          <w:rFonts w:ascii="Times New Roman" w:hAnsi="Times New Roman"/>
          <w:color w:val="000000"/>
          <w:sz w:val="22"/>
        </w:rPr>
        <w:t>. The officers of the Corporation shall consist of a chairman of the Board, a chief executive officer, a president, a chief operating officer, a chief financial officer, a secretary and such other officers, including a vice-chairman or vice-chairmen of the Board, one or more vice-presidents, a treasurer and a controller, as may from time to time be elected or appointed by the Board. In addition, the Board or the chief executive officer of the Corporation may elect or appoint such assistant and other subordinate officers, including assistant vice-presidents, assistant secretaries and assistant treasurers, as it or he shall deem necessary or appropriate. Any number of offices of the Corporation may be held by the same person, except that no person may simultaneously hold the offices of president and secretary of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4.02 </w:t>
      </w:r>
      <w:r>
        <w:rPr>
          <w:rFonts w:ascii="Times New Roman" w:hAnsi="Times New Roman"/>
          <w:color w:val="000000"/>
          <w:sz w:val="22"/>
          <w:u w:val="single"/>
        </w:rPr>
        <w:t>Election and Term of Office</w:t>
      </w:r>
      <w:r>
        <w:rPr>
          <w:rFonts w:ascii="Times New Roman" w:hAnsi="Times New Roman"/>
          <w:color w:val="000000"/>
          <w:sz w:val="22"/>
        </w:rPr>
        <w:t>. Except as provided in the Certificate of Incorporation and Sections 4.01 and 4.06 of these Bylaws, the officers of the Corporation shall be elected by the Board. If such election shall not be held as provided herein, such election shall be held as soon thereafter as may be convenient. Each officer of the Corporation shall hold office until his or her successor shall be elected and shall qualify or until the expiration of his or her term in office if elected or appointed for a specified period of time, subject, however, to prior death, resignation, retirement or removal.</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4.03 </w:t>
      </w:r>
      <w:r>
        <w:rPr>
          <w:rFonts w:ascii="Times New Roman" w:hAnsi="Times New Roman"/>
          <w:color w:val="000000"/>
          <w:sz w:val="22"/>
          <w:u w:val="single"/>
        </w:rPr>
        <w:t>Compensation</w:t>
      </w:r>
      <w:r>
        <w:rPr>
          <w:rFonts w:ascii="Times New Roman" w:hAnsi="Times New Roman"/>
          <w:color w:val="000000"/>
          <w:sz w:val="22"/>
        </w:rPr>
        <w:t>. Officers of the Corporation shall receive such compensation for their services as may be authorized or ratified by the Board or a compensation committee of the Board, and no such officer shall be prevented from receiving compensation by reason of the fact that he or she is also a director of the Corporation. Election or appointment as an officer of the Corporation shall not of itself create a contract or other right to compensation for services performed by such officer.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4.04 </w:t>
      </w:r>
      <w:r>
        <w:rPr>
          <w:rFonts w:ascii="Times New Roman" w:hAnsi="Times New Roman"/>
          <w:color w:val="000000"/>
          <w:sz w:val="22"/>
          <w:u w:val="single"/>
        </w:rPr>
        <w:t>Resignation</w:t>
      </w:r>
      <w:r>
        <w:rPr>
          <w:rFonts w:ascii="Times New Roman" w:hAnsi="Times New Roman"/>
          <w:color w:val="000000"/>
          <w:sz w:val="22"/>
        </w:rPr>
        <w:t>. Any officer of the Corporation may resign at any time, subject to any rights or obligations under any existing contracts between such officer and the Corporation, by giving notice to the Corporation in writing or by electronic transmission. Such officer’s resignation shall take effect upon receipt or, if a different time of effectiveness is specified therein, at the time stated therein. Unless otherwise specified therein, the acceptance of such resignation shall not be necessary to make it effective.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4.05 </w:t>
      </w:r>
      <w:r>
        <w:rPr>
          <w:rFonts w:ascii="Times New Roman" w:hAnsi="Times New Roman"/>
          <w:color w:val="000000"/>
          <w:sz w:val="22"/>
          <w:u w:val="single"/>
        </w:rPr>
        <w:t>Removal</w:t>
      </w:r>
      <w:r>
        <w:rPr>
          <w:rFonts w:ascii="Times New Roman" w:hAnsi="Times New Roman"/>
          <w:color w:val="000000"/>
          <w:sz w:val="22"/>
        </w:rPr>
        <w:t>. Unless otherwise provided in the Certificate of Incorporation, any officer of the Corporation may be removed with or without cause at any time by the Board, or, in the case of assistant and other subordinate officers of the Corporation, by the chief executive officer of the Corporation, whenever in its, his or her judgment, as the case may be, the best interests of the Corporation will be served thereby, but such removal shall be without prejudice to the contract rights, if any, of the person so removed. Election or appointment of an officer of the Corporation shall not in itself create contract rights.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4.06 </w:t>
      </w:r>
      <w:r>
        <w:rPr>
          <w:rFonts w:ascii="Times New Roman" w:hAnsi="Times New Roman"/>
          <w:color w:val="000000"/>
          <w:sz w:val="22"/>
          <w:u w:val="single"/>
        </w:rPr>
        <w:t>Vacancies</w:t>
      </w:r>
      <w:r>
        <w:rPr>
          <w:rFonts w:ascii="Times New Roman" w:hAnsi="Times New Roman"/>
          <w:color w:val="000000"/>
          <w:sz w:val="22"/>
        </w:rPr>
        <w:t>. Except as otherwise provided in the Certificate of Incorporation, a vacancy occurring in any office of the Corporation by death, resignation, retirement, removal or otherwise may be filled by the Board.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4.07 </w:t>
      </w:r>
      <w:r>
        <w:rPr>
          <w:rFonts w:ascii="Times New Roman" w:hAnsi="Times New Roman"/>
          <w:color w:val="000000"/>
          <w:sz w:val="22"/>
          <w:u w:val="single"/>
        </w:rPr>
        <w:t>Authority and Duties</w:t>
      </w:r>
      <w:r>
        <w:rPr>
          <w:rFonts w:ascii="Times New Roman" w:hAnsi="Times New Roman"/>
          <w:color w:val="000000"/>
          <w:sz w:val="22"/>
        </w:rPr>
        <w:t>. The officers of the Corporation shall have the authority and shall exercise the powers and perform the duties specified below and as may be additionally specified by the chief executive officer of the Corporation, the Board or these Bylaws (and in all cases where the duties of</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any officer of the Corporation are not prescribed by these Bylaws or the Board, such officer shall follow the orders and instructions of the chief executive officer of the Corporation), except that in any event each such officer shall exercise such powers and perform such duties as may be required by law:</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Chairman of the Board</w:t>
      </w:r>
      <w:r>
        <w:rPr>
          <w:rFonts w:ascii="Times New Roman" w:hAnsi="Times New Roman"/>
          <w:color w:val="000000"/>
          <w:sz w:val="22"/>
        </w:rPr>
        <w:t>. The chairman of the Board of the Corporation, who shall be elected from among the directors of the Corporation, shall preside, when present, at all meetings of the Corporation’s stockholders and the Board and perform such other duties as may be assigned to him or her from time to time by the Board.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Chief Executive Officer</w:t>
      </w:r>
      <w:r>
        <w:rPr>
          <w:rFonts w:ascii="Times New Roman" w:hAnsi="Times New Roman"/>
          <w:color w:val="000000"/>
          <w:sz w:val="22"/>
        </w:rPr>
        <w:t>. The chief executive officer of the Corporation shall, subject to the direction and supervision of the Board, (i) have general and active control of the affairs of the Corporation and general supervision of its officers, agents and employees; (ii) in the absence of the chairman of the Board of the Corporation, preside, when present, at all meetings of the Corporation’s stockholders and the Board; (iii) see that all orders and resolutions of the Board are carried into effect; and (iv) perform all other duties incident to the office of chief executive officer and as from time to time may be assigned to him or her by the Board.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President</w:t>
      </w:r>
      <w:r>
        <w:rPr>
          <w:rFonts w:ascii="Times New Roman" w:hAnsi="Times New Roman"/>
          <w:color w:val="000000"/>
          <w:sz w:val="22"/>
        </w:rPr>
        <w:t>. The president of the Corporation shall, subject to the direction and supervision of the Board, perform all duties incident to the office of president and as from time to time may be assigned to him by the Board. At the request of the chief executive officer of the Corporation or in his or her absence or in the event of his or her inability or refusal to act, the president of the Corporation shall perform the duties of the chief executive officer of the Corporation, and when so acting shall have all the powers and be subject to all the restrictions of the chief executive officer of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Chief Operating Officer</w:t>
      </w:r>
      <w:r>
        <w:rPr>
          <w:rFonts w:ascii="Times New Roman" w:hAnsi="Times New Roman"/>
          <w:color w:val="000000"/>
          <w:sz w:val="22"/>
        </w:rPr>
        <w:t>. The chief operating officer of the Corporation shall, subject to the direction and supervision of the Board, supervise the day to day operations of the Corporation and perform all other duties incident to the office of chief operating officer as from time to time may be assigned to him or her by the chairman of the Board of the Corporation, the Board or the chief executive officer of the Corporation. At the request of the president of the Corporation, or in his or her absence or inability or refusal to act, the chief operating officer of the Corporation shall perform the duties of the president of the Corporation, and when so acting shall have all the power of and be subject to all the restrictions upon the president of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Chief Financial Officer</w:t>
      </w:r>
      <w:r>
        <w:rPr>
          <w:rFonts w:ascii="Times New Roman" w:hAnsi="Times New Roman"/>
          <w:color w:val="000000"/>
          <w:sz w:val="22"/>
        </w:rPr>
        <w:t>. The chief financial officer of the Corporation shall: (i) be the principal financial officer and treasurer of the Corporation and have the care and custody of all funds, securities, evidences of indebtedness and other personal property of the Corporation and deposit the same in accordance with the instructions of the Board; (ii) receive and give receipts and acquittances for moneys paid in on account of the Corporation, and pay out of the funds on hand all bills, payrolls and other just debts of the Corporation of whatever nature upon maturity; (iii) unless there is a controller of the Corporation, be the principal accounting officer of the Corporation and as such prescribe and maintain the methods and systems of accounting to be followed, keep complete books and records of account, prepare and file all local, state and federal tax returns, prescribe and maintain an adequate system of internal audit and prepare and furnish to the chief executive officer of the Corporation and the Board statements of account showing the financial position of the Corporation and the results of its operations; (iv) upon request of the Board, make such reports to it as may be required at any time; and (v) perform all other duties incident to the office of chief financial officer and treasurer and such other duties as from time to time may be assigned to him or her by the Board or by the chief executive officer of the Corporation. Assistant treasurers of the Corporation, if any, shall have the same powers and duties, subject to the supervision by the chief financial officer of the Corporation. If there is no chief financial officer of the Corporation, these duties shall be performed by the secretary or chief executive officer of the Corporation or other person appointed by the Board.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Vice-Presidents</w:t>
      </w:r>
      <w:r>
        <w:rPr>
          <w:rFonts w:ascii="Times New Roman" w:hAnsi="Times New Roman"/>
          <w:color w:val="000000"/>
          <w:sz w:val="22"/>
        </w:rPr>
        <w:t>. The vice-president of the Corporation, if any (or if there is more than one then each such vice-president), shall assist the chief executive officer of the Corporation and shall perform such duties as may be assigned to him or her by the chief executive officer of the Corporation or the Board. Assistant vice-presidents of the Corporation, if any, shall have such powers and perform such duties as may be assigned to them by the chief executive officer of the Corporation or by the Board.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Secretary</w:t>
      </w:r>
      <w:r>
        <w:rPr>
          <w:rFonts w:ascii="Times New Roman" w:hAnsi="Times New Roman"/>
          <w:color w:val="000000"/>
          <w:sz w:val="22"/>
        </w:rPr>
        <w:t>. The secretary of the Corporation shall: (i) keep the minutes of the proceedings of the stockholders of the Corporation, the Board and any committees of the Board; (ii) see that all notices are duly given in accordance with the provisions of these Bylaws or as required by law; (iii) be custodian of the corporate records and seal of the Corporation; (iv) keep at the Corporation’s registered office or principal place of business within or outside Delaware a record containing the names and addresses of all stockholders of the Corporation and the number and class of shares held by each, unless such a record shall be kept at the office of the Corporation’s transfer agent or registrar; (v) have general charge of the stock books of the Corporation, unless the Corporation has a transfer agent; and (vi) in general, perform all duties incident to the office of secretary and such other duties as from time to time may be assigned to him or her by the chief executive officer of the Corporation or the Board. Assistant secretaries of the Corporation, if any, shall have the same duties and powers, subject to supervision by the secretary of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4.08 </w:t>
      </w:r>
      <w:r>
        <w:rPr>
          <w:rFonts w:ascii="Times New Roman" w:hAnsi="Times New Roman"/>
          <w:color w:val="000000"/>
          <w:sz w:val="22"/>
          <w:u w:val="single"/>
        </w:rPr>
        <w:t>Surety Bonds</w:t>
      </w:r>
      <w:r>
        <w:rPr>
          <w:rFonts w:ascii="Times New Roman" w:hAnsi="Times New Roman"/>
          <w:color w:val="000000"/>
          <w:sz w:val="22"/>
        </w:rPr>
        <w:t>. The Board may require any officer or agent of the Corporation to execute to the Corporation a bond in such sums and with such sureties as shall be satisfactory to the Board, conditioned upon the faithful performance of his or her duties and for the restoration to the Corporation of all books, papers, vouchers, money and other property of whatever kind in his or her possession or under his or her control belonging to the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2"/>
        </w:rPr>
        <w:t>ARTICLE V</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22"/>
        </w:rPr>
        <w:t>Stock</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5.01 </w:t>
      </w:r>
      <w:r>
        <w:rPr>
          <w:rFonts w:ascii="Times New Roman" w:hAnsi="Times New Roman"/>
          <w:color w:val="000000"/>
          <w:sz w:val="22"/>
          <w:u w:val="single"/>
        </w:rPr>
        <w:t>Issuance of Shares</w:t>
      </w:r>
      <w:r>
        <w:rPr>
          <w:rFonts w:ascii="Times New Roman" w:hAnsi="Times New Roman"/>
          <w:color w:val="000000"/>
          <w:sz w:val="22"/>
        </w:rPr>
        <w:t>. Except as otherwise may be provided by law or in the Certificate of Incorporation, the issuance or sale by the Corporation of any shares of its authorized capital stock of any class, including treasury shares, shall be made only upon authorization by the Board. Every issuance of shares of authorized capital stock of the Corporation shall be recorded on the books of the Corporation maintained for such purpose by or on behalf of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5.02 </w:t>
      </w:r>
      <w:r>
        <w:rPr>
          <w:rFonts w:ascii="Times New Roman" w:hAnsi="Times New Roman"/>
          <w:color w:val="000000"/>
          <w:sz w:val="22"/>
          <w:u w:val="single"/>
        </w:rPr>
        <w:t>Transfer of Shares</w:t>
      </w:r>
      <w:r>
        <w:rPr>
          <w:rFonts w:ascii="Times New Roman" w:hAnsi="Times New Roman"/>
          <w:color w:val="000000"/>
          <w:sz w:val="22"/>
        </w:rPr>
        <w:t>. Upon presentation and surrender to the Corporation or to a transfer agent of the Corporation of a certificate of stock of the Corporation duly endorsed or accompanied by proper evidence of succession, assignment or authority to transfer, payment of all transfer taxes, if any, and the satisfaction of any other requirements of law, including inquiry into and discharge of any adverse claims of which the Corporation has notice, the Corporation or its transfer agent shall issue a new certificate to the person entitled thereto, cancel the old certificate and record the transaction on the books maintained for such purpose by or on behalf of the Corporation. No transfer of shares of authorized capital stock of the Corporation shall be effective until it has been entered on such books. The Corporation or its transfer agent may require a signature guaranty or other reasonable evidence that any signature is genuine and effective before making any transfer. Transfers of uncertificated shares of authorized capital stock of the Corporation shall be made in accordance with applicable provisions of law.</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5.03 </w:t>
      </w:r>
      <w:r>
        <w:rPr>
          <w:rFonts w:ascii="Times New Roman" w:hAnsi="Times New Roman"/>
          <w:color w:val="000000"/>
          <w:sz w:val="22"/>
          <w:u w:val="single"/>
        </w:rPr>
        <w:t>Registered Holders</w:t>
      </w:r>
      <w:r>
        <w:rPr>
          <w:rFonts w:ascii="Times New Roman" w:hAnsi="Times New Roman"/>
          <w:color w:val="000000"/>
          <w:sz w:val="22"/>
        </w:rPr>
        <w:t>. The Corporation shall be entitled to recognize the exclusive right of a person registered on its books as the owner of shares of authorized capital stock of the Corporation to inspect for any proper purpose the stock ledger and the other books and records, to receive dividends, and to vote as such owner, and to hold liable for calls and assessments a person registered on its books as the owner of such shares, and shall not be bound to recognize any equitable or other claim to or interest in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such shares on the part of any other person, whether or not it shall have express or other notice thereof, except as otherwise provided by applicable law.</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5.04 </w:t>
      </w:r>
      <w:r>
        <w:rPr>
          <w:rFonts w:ascii="Times New Roman" w:hAnsi="Times New Roman"/>
          <w:color w:val="000000"/>
          <w:sz w:val="22"/>
          <w:u w:val="single"/>
        </w:rPr>
        <w:t>Transfer Agents, Registrars and Paying Agents</w:t>
      </w:r>
      <w:r>
        <w:rPr>
          <w:rFonts w:ascii="Times New Roman" w:hAnsi="Times New Roman"/>
          <w:color w:val="000000"/>
          <w:sz w:val="22"/>
        </w:rPr>
        <w:t>. The Board may at its discretion appoint one or more transfer agents, registrars and agents for making payment upon any class of stock, bond, debenture or other security of the Corporation. Such agents and registrars may be located either within or outside Delaware. They shall have such rights and duties and shall be entitled to such compensation as may be agreed.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5.05 </w:t>
      </w:r>
      <w:r>
        <w:rPr>
          <w:rFonts w:ascii="Times New Roman" w:hAnsi="Times New Roman"/>
          <w:color w:val="000000"/>
          <w:sz w:val="22"/>
          <w:u w:val="single"/>
        </w:rPr>
        <w:t>Lost, Stolen or Destroyed Certificates</w:t>
      </w:r>
      <w:r>
        <w:rPr>
          <w:rFonts w:ascii="Times New Roman" w:hAnsi="Times New Roman"/>
          <w:color w:val="000000"/>
          <w:sz w:val="22"/>
        </w:rPr>
        <w:t>. Except as provided in this Section 5.05, no new certificate representing shares of the Corporation’s authorized capital stock shall be issued to replace a previously issued certificate representing such shares unless the previously issued certificate is surrendered to the Corporation and immediately cancelled. The Corporation may issue a new certificate representing shares of its authorized capital stock or uncertificated shares in the place of any certificate theretofore issued by it that is alleged by a stockholder to have been lost, stolen or destroyed, and the Corporation may require such stockholder, or such stockholder’s legal representative, to give the Corporation a bond sufficient to indemnify it against any claim that may be made against it on account of the alleged loss, theft or destruction of any such certificate or the issuance of such new certificate or uncertificated shares.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2"/>
        </w:rPr>
        <w:t>ARTICLE VI</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22"/>
        </w:rPr>
        <w:t>Indemnification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6.01 </w:t>
      </w:r>
      <w:r>
        <w:rPr>
          <w:rFonts w:ascii="Times New Roman" w:hAnsi="Times New Roman"/>
          <w:color w:val="000000"/>
          <w:sz w:val="22"/>
          <w:u w:val="single"/>
        </w:rPr>
        <w:t>Right to Indemnification</w:t>
      </w:r>
      <w:r>
        <w:rPr>
          <w:rFonts w:ascii="Times New Roman" w:hAnsi="Times New Roman"/>
          <w:color w:val="000000"/>
          <w:sz w:val="22"/>
        </w:rPr>
        <w:t>. The Corporation shall indemnify and pay the expenses of directors, officers and individuals who have agreed to serve as directors or officers of the Corporation as provided in the Certificate of Incorporation and, if applicable, in any indemnification agreement between the Corporation and such individuals. The Corporation has the right, but not the obligation, to indemnify and pay the expenses of other persons authorized by a majority of the Board as provided in the Certificate of Incorporation.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6.02 </w:t>
      </w:r>
      <w:r>
        <w:rPr>
          <w:rFonts w:ascii="Times New Roman" w:hAnsi="Times New Roman"/>
          <w:color w:val="000000"/>
          <w:sz w:val="22"/>
          <w:u w:val="single"/>
        </w:rPr>
        <w:t>Insurance</w:t>
      </w:r>
      <w:r>
        <w:rPr>
          <w:rFonts w:ascii="Times New Roman" w:hAnsi="Times New Roman"/>
          <w:color w:val="000000"/>
          <w:sz w:val="22"/>
        </w:rPr>
        <w:t>. The Corporation may purchase and maintain insurance on behalf of any person who is or was a director, officer, employee or agent of the Corporation, or is or was serving at the request of the Corporation as a director, officer, employee or agent of any of its affiliates or another corporation, partnership, limited liability company,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2"/>
        </w:rPr>
        <w:t>ARTICLE VII</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22"/>
        </w:rPr>
        <w:t>Miscellaneous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7.01 </w:t>
      </w:r>
      <w:r>
        <w:rPr>
          <w:rFonts w:ascii="Times New Roman" w:hAnsi="Times New Roman"/>
          <w:color w:val="000000"/>
          <w:sz w:val="22"/>
          <w:u w:val="single"/>
        </w:rPr>
        <w:t>Notice by Electronic Transmission</w:t>
      </w:r>
      <w:r>
        <w:rPr>
          <w:rFonts w:ascii="Times New Roman" w:hAnsi="Times New Roman"/>
          <w:color w:val="000000"/>
          <w:sz w:val="22"/>
        </w:rPr>
        <w:t>. 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such notice is given. Any such consent shall be revocable by such stockholder by written notice to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(a) Any such consent shall be deemed revoked if:</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(i) the Corporation is unable to deliver by electronic transmission two consecutive notices given by the Corporation in accordance with such consent;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(ii) such inability becomes known to the secretary or an assistant secretary of the Corporation or to the transfer agent of the Corporation, or other person responsible for the giving of notice.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However, the inadvertent failure to treat such inability as a revocation shall not invalidate any meeting of the stockholders of the Corporation or other action by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(b) Any notice given pursuant to this Section 7.01 shall be deemed given: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 if by facsimile telecommunication, when directed to a number at which the stockholder of the Corporation has consented to receive notice;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(ii) if by electronic mail, when directed to an electronic mail address at which the stockholder of the Corporation has consented to receive notice;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(iii) if by a posting on an electronic network together with separate notice to the stockholder of the Corporation of such specific posting, upon the later of such posting and the giving of such separate notice;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(iv) if by any other form of electronic transmission, when directed to the stockholder of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An affidavit of the secretary or an assistant secretary of the Corporation or of the transfer agent or other agent of the Corporation that the notice has been given by a form of electronic transmission shall, in the absence of fraud, be prima facie evidence of the facts stated therein.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(c)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(d) Notice by a form of electronic transmission shall not apply to Sections 164, 296, 311, 312 or 324 of the DGCL.</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7.02 </w:t>
      </w:r>
      <w:r>
        <w:rPr>
          <w:rFonts w:ascii="Times New Roman" w:hAnsi="Times New Roman"/>
          <w:color w:val="000000"/>
          <w:sz w:val="22"/>
          <w:u w:val="single"/>
        </w:rPr>
        <w:t>Waivers of Notice</w:t>
      </w:r>
      <w:r>
        <w:rPr>
          <w:rFonts w:ascii="Times New Roman" w:hAnsi="Times New Roman"/>
          <w:color w:val="000000"/>
          <w:sz w:val="22"/>
        </w:rPr>
        <w:t>. Whenever notice is required to be given by law, by the Certificate of Incorporation or by these Bylaws, a written waiver thereof, signed by the person entitled to such notice or a waiver by electronic transmission by the person entitled to such notice, whether before or after the time stated therein, shall be deemed equivalent to notice. Attendance of a person at a meeting or (in the case of a stockholder of the Corporation) by proxy shall constitute a waiver of notice of such meeting, except when the person attends such meeting for the express purpose of objecting, at the beginning of such meeting, to the transaction of any business because such meeting was not lawfully called or convened. Neither the business to be transacted at, nor the purpose of, any meeting need be specified in any written waiver of notice or waiver of notice by electronic transmission unless required by these Bylaws to be included in the notice of such meeting.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7.03 </w:t>
      </w:r>
      <w:r>
        <w:rPr>
          <w:rFonts w:ascii="Times New Roman" w:hAnsi="Times New Roman"/>
          <w:color w:val="000000"/>
          <w:sz w:val="22"/>
          <w:u w:val="single"/>
        </w:rPr>
        <w:t>Presumption of Assent</w:t>
      </w:r>
      <w:r>
        <w:rPr>
          <w:rFonts w:ascii="Times New Roman" w:hAnsi="Times New Roman"/>
          <w:color w:val="000000"/>
          <w:sz w:val="22"/>
        </w:rPr>
        <w:t>. A director or stockholder of the Corporation who is present at a meeting of the Board or stockholders of the Corporation at which action on any corporate matter is taken shall be presumed to have assented to the action taken unless his or her dissent shall be entered in the minutes of such meeting or unless he or she shall file his or her written dissent to such action with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person acting as the secretary of such meeting before the adjournment thereof or shall forward such dissent by registered mail to the secretary of the Corporation immediately after the adjournment of such meeting. Such right to dissent shall not apply to a director or stockholder of the Corporation who voted in favor of such action.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7.04 </w:t>
      </w:r>
      <w:r>
        <w:rPr>
          <w:rFonts w:ascii="Times New Roman" w:hAnsi="Times New Roman"/>
          <w:color w:val="000000"/>
          <w:sz w:val="22"/>
          <w:u w:val="single"/>
        </w:rPr>
        <w:t>Voting of Securities by the Corporation</w:t>
      </w:r>
      <w:r>
        <w:rPr>
          <w:rFonts w:ascii="Times New Roman" w:hAnsi="Times New Roman"/>
          <w:color w:val="000000"/>
          <w:sz w:val="22"/>
        </w:rPr>
        <w:t>. Unless otherwise provided by resolution of the Board, on behalf of the Corporation the chairman of the Board, chief executive officer, chief operating officer, chief financial officer, president, secretary, treasurer or any vice-president of the Corporation shall attend in person or by substitute appointed by him or her, or shall execute written instruments appointing a proxy or proxies to represent the Corporation at, all meetings of the stockholders of any other corporation, association or other entity in which the Corporation holds any stock or other securities, and may execute written waivers of notice with respect to any such meetings. At all such meetings and otherwise, the chairman of the Board, chief executive officer, chief operating officer, chief financial officer, president, secretary, treasurer or any vice-president of the Corporation, in person or by substitute or proxy as aforesaid, may vote the stock or other securities so held by the Corporation and may execute written consents and any other instruments with respect to such stock or securities and may exercise any and all rights and powers incident to the ownership of said stock or securities, subject, however, to the instructions, if any, of the Board.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7.05 </w:t>
      </w:r>
      <w:r>
        <w:rPr>
          <w:rFonts w:ascii="Times New Roman" w:hAnsi="Times New Roman"/>
          <w:color w:val="000000"/>
          <w:sz w:val="22"/>
          <w:u w:val="single"/>
        </w:rPr>
        <w:t>Authorized Signatories</w:t>
      </w:r>
      <w:r>
        <w:rPr>
          <w:rFonts w:ascii="Times New Roman" w:hAnsi="Times New Roman"/>
          <w:color w:val="000000"/>
          <w:sz w:val="22"/>
        </w:rPr>
        <w:t>. The Board may authorize any officer or officers of the Corporation, or agent or agents, to enter into any contract or execute any instrument in the name of and on behalf of the Corporation; such authority may be general or restricted to specific instances. Unless so authorized or ratified by the Board or within the agency power of an officer of the Corporation, no officer, agent or employee of the Corporation shall have any power or authority to bind the Corporation by any contract or to pledge its credit or to render it liable for any purpose or for any amount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7.06 </w:t>
      </w:r>
      <w:r>
        <w:rPr>
          <w:rFonts w:ascii="Times New Roman" w:hAnsi="Times New Roman"/>
          <w:color w:val="000000"/>
          <w:sz w:val="22"/>
          <w:u w:val="single"/>
        </w:rPr>
        <w:t>Seal</w:t>
      </w:r>
      <w:r>
        <w:rPr>
          <w:rFonts w:ascii="Times New Roman" w:hAnsi="Times New Roman"/>
          <w:color w:val="000000"/>
          <w:sz w:val="22"/>
        </w:rPr>
        <w:t>. The corporate seal of the Corporation shall be in such form as adopted by the Board, and any officer of the Corporation may, when and as required, affix or impress the seal, or a facsimile thereof, to or on any instrument or document of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7.07 </w:t>
      </w:r>
      <w:r>
        <w:rPr>
          <w:rFonts w:ascii="Times New Roman" w:hAnsi="Times New Roman"/>
          <w:color w:val="000000"/>
          <w:sz w:val="22"/>
          <w:u w:val="single"/>
        </w:rPr>
        <w:t>Fiscal Year</w:t>
      </w:r>
      <w:r>
        <w:rPr>
          <w:rFonts w:ascii="Times New Roman" w:hAnsi="Times New Roman"/>
          <w:color w:val="000000"/>
          <w:sz w:val="22"/>
        </w:rPr>
        <w:t>. The fiscal year of the Corporation shall be as established by resolution of the Board.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7.08 </w:t>
      </w:r>
      <w:r>
        <w:rPr>
          <w:rFonts w:ascii="Times New Roman" w:hAnsi="Times New Roman"/>
          <w:color w:val="000000"/>
          <w:sz w:val="22"/>
          <w:u w:val="single"/>
        </w:rPr>
        <w:t>Amendments</w:t>
      </w:r>
      <w:r>
        <w:rPr>
          <w:rFonts w:ascii="Times New Roman" w:hAnsi="Times New Roman"/>
          <w:color w:val="000000"/>
          <w:sz w:val="22"/>
        </w:rPr>
        <w:t>. These Bylaws may be amended or repealed only in the manner set forth in the Certificate of Incorporation.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7" w:name="ncmi-ex4_1.htm"/>
      <w:bookmarkStart w:id="38" w:name="ksncmiex4_1"/>
      <w:bookmarkEnd w:id="37"/>
      <w:bookmarkEnd w:id="38"/>
      <w:r>
        <w:rPr>
          <w:rFonts w:ascii="Times New Roman" w:hAnsi="Times New Roman"/>
          <w:b/>
          <w:color w:val="000000"/>
          <w:sz w:val="20"/>
        </w:rPr>
        <w:t>Exhibit 4.1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DESCRIPTION OF NATIONAL CINEMEDIA, INC.'S SECURITIES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following is a description of National CineMedia, Inc.’s (the “Company,” “we,” “us” or “our”) securities that are registered under Section 12 of the Securities Exchange Act of 1934, as amended, and does not purport to be complete. For a complete description of the terms and provisions of such securities, refer to the Company’s Second Amended and Restated Certificate of Incorporation (the “Certificate”) and the Amended and Restated Bylaws, as amended February 1, 2024 (the “Bylaws”), each of which is included as an exhibit to the Annual Report on Form 10-K of which this exhibit is a part. This summary is qualified in its entirety by reference to these documents.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Authorized Capital Stock</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Under the Certificate of Incorporation, the Company’s authorized share capital consists of two hundred and sixty million (260,000,000) shares of common stock, par value $0.01 per share (“Common Stock”), and ten million (10,000,000) shares of preferred stock, par value $0.01 per share (“Preferred Stock”).</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Description of Common Stock and Preferred Stock</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Common Stock and Preferred Stock Voting Rights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Each holder of Common Stock is entitled to one vote per share.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Generally, all matters to be voted on by stockholders must be approved by a majority (or, in the case of election of directors, by a plurality) of our outstanding voting power. Except as otherwise required by the General Corporation Law of the State of Delaware (“DGCL”), the Certificate or the voting rights granted to any Preferred Stock we subsequently issue, the holders of outstanding shares of Common Stock and Preferred Stock entitled to vote thereon, if any, vote as one class with respect to all matters to be voted on by our stockholders. Holders of shares of common stock are not entitled to cumulate their votes in the election of directors.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The affirmative vote of the holders of at least 66-2/3% of our issued and outstanding Common Stock, voting as a single class, is required to amend or repeal our Bylaws. The affirmative vote of the holders of at least a majority of our issued and outstanding Common Stock, in addition to the supermajority board approval described under “-Special Approval Rights for Certain Matters” below, is required to amend or repeal our Certificate. In addition, under the DGCL, an amendment to our Certificate that would alter or change the powers, preferences or special rights of the common stock so as to affect them adversely also must be approved by a majority of the votes entitled to be cast by the holders of the shares affected by the amendment, voting as a separate class. Subject to our Bylaws, our board of directors may from time to time make, amend, supplement or repeal our Bylaws by vote of a majority of our board of directors.</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Holders of Common Stock share ratably (based on the number of shares of Common Stock held) in any dividend declared by our board of directors, subject to any preferential rights of any outstanding Preferred Stock.</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Other Rights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Upon our liquidation, dissolution or winding up, after payment in full of the amounts required to be paid to holders of Preferred Stock, if any, all holders of Common Stock, regardless of class, will be entitled to share ratably in any assets available for distribution to holders of shares of Common Stock. No shares of any class of Common Stock are subject to redemption or have preemptive rights to purchase additional shares of Common Stock.</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Anti-Takeover Effects of Certain Provisions of Delaware Law, the Certificate of Incorporation and the Bylaws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have elected in the Certificate not to be subject to Section 203 of the DGCL, an anti-takeover law. In general, Section 203 prohibits a publicly held Delaware corporation from engaging in a business combination, such as a merger, with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are not subject to any anti-takeover effects of Section 203.</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Certain other provisions of the Certificate and Bylaws may be considered to have an anti-takeover effect and may delay or prevent a tender offer or other corporate transaction that a stockholder might consider to be in its best interest, including those transactions that might result in payment of a premium over the market price for our shares. These provisions are designed to discourage certain types of transactions that may involve an actual or threatened change of control of us without prior approval of our board of directors. These provisions are meant to encourage persons interested in acquiring control of us to first consult with our board of directors to negotiate terms of a potential business combination or offer. We believe that these provisions protect against an unsolicited proposal for a takeover of us that might affect the long term value of our stock or that may be otherwise unfair to our stockholders. For example, our Certificate and Bylaws: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provide veto rights to the directors designated by Cinemark and Regal over certain actions specified in our Certificate, as described below under “-Special Approval Rights for Certain Matters”;</w:t>
      </w:r>
    </w:p>
    <w:p>
      <w:pPr>
        <w:pStyle w:val="TextBody"/>
        <w:bidi w:val="0"/>
        <w:spacing w:before="120" w:after="283"/>
        <w:jc w:val="left"/>
        <w:rPr>
          <w:color w:val="000000"/>
        </w:rPr>
      </w:pPr>
      <w:r>
        <w:rPr>
          <w:color w:val="000000"/>
        </w:rPr>
        <w:t>•</w:t>
      </w:r>
    </w:p>
    <w:p>
      <w:pPr>
        <w:pStyle w:val="TextBody"/>
        <w:bidi w:val="0"/>
        <w:spacing w:before="120" w:after="283"/>
        <w:jc w:val="left"/>
        <w:rPr>
          <w:rFonts w:ascii="Cambria;serif" w:hAnsi="Cambria;serif"/>
          <w:color w:val="000000"/>
          <w:sz w:val="20"/>
        </w:rPr>
      </w:pPr>
      <w:r>
        <w:rPr>
          <w:rFonts w:ascii="Cambria;serif" w:hAnsi="Cambria;serif"/>
          <w:color w:val="000000"/>
          <w:sz w:val="20"/>
        </w:rPr>
        <w:t>authorize the issuance of “blank check” preferred stock that could be issued by our board of directors to increase the number of outstanding shares, making a takeover more difficult and expensive;</w:t>
      </w:r>
    </w:p>
    <w:p>
      <w:pPr>
        <w:pStyle w:val="TextBody"/>
        <w:bidi w:val="0"/>
        <w:spacing w:before="120" w:after="283"/>
        <w:jc w:val="left"/>
        <w:rPr>
          <w:color w:val="000000"/>
        </w:rPr>
      </w:pPr>
      <w:r>
        <w:rPr>
          <w:color w:val="000000"/>
        </w:rPr>
        <w:t>•</w:t>
      </w:r>
    </w:p>
    <w:p>
      <w:pPr>
        <w:pStyle w:val="TextBody"/>
        <w:bidi w:val="0"/>
        <w:spacing w:before="120" w:after="283"/>
        <w:jc w:val="left"/>
        <w:rPr>
          <w:rFonts w:ascii="Cambria;serif" w:hAnsi="Cambria;serif"/>
          <w:color w:val="000000"/>
          <w:sz w:val="20"/>
        </w:rPr>
      </w:pPr>
      <w:r>
        <w:rPr>
          <w:rFonts w:ascii="Cambria;serif" w:hAnsi="Cambria;serif"/>
          <w:color w:val="000000"/>
          <w:sz w:val="20"/>
        </w:rPr>
        <w:t>prohibit stockholder action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Cambria;serif" w:hAnsi="Cambria;serif"/>
          <w:color w:val="000000"/>
          <w:sz w:val="20"/>
        </w:rPr>
      </w:pPr>
      <w:r>
        <w:rPr>
          <w:rFonts w:ascii="Cambria;serif" w:hAnsi="Cambria;serif"/>
          <w:color w:val="000000"/>
          <w:sz w:val="20"/>
        </w:rPr>
        <w:t>provide that special meetings of our stockholders may be called only by a majority of our directors;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Cambria;serif" w:hAnsi="Cambria;serif"/>
          <w:color w:val="000000"/>
          <w:sz w:val="20"/>
        </w:rPr>
      </w:pPr>
      <w:r>
        <w:rPr>
          <w:rFonts w:ascii="Cambria;serif" w:hAnsi="Cambria;serif"/>
          <w:color w:val="000000"/>
          <w:sz w:val="20"/>
        </w:rPr>
        <w:t>do not permit cumulative voting in the election of directors, which would otherwise allow less than a majority of stockholders to elect director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operating agreement of National CineMedia, LLC (“NCM LLC”) also provides that NCM LLC’s other members will be able to exercise a greater degree of influence over the operations of NCM LLC, which may discourage other nominations to our board of directors, if any director nominee designated by NCM LLC’s other members is not elected by our stockholders.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Special Approval Rights for Certain Matters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the Certificate, so long as either of Regal or Cinemark owns at least 5% of NCM LLC’s issued and outstanding common membership units, if the two directors appointed by Cinemark or the two directors appointed by Regal pursuant to the Director Designation Agreement dated February 13, 2007 (except that if either Cinemark or Regal has only appointed one director, and such director qualifies as an “independent director” under the applicable rules of the Nasdaq Stock Market LLC, then such director) vote against any of the corporate actions listed below, we and NCM LLC will be prohibited from taking any of the following actions: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Cambria;serif" w:hAnsi="Cambria;serif"/>
          <w:color w:val="000000"/>
          <w:sz w:val="20"/>
        </w:rPr>
      </w:pPr>
      <w:r>
        <w:rPr>
          <w:rFonts w:ascii="Cambria;serif" w:hAnsi="Cambria;serif"/>
          <w:color w:val="000000"/>
          <w:sz w:val="20"/>
        </w:rPr>
        <w:t>assign, transfer, sell or pledge all or a portion of the membership interests of NCM LLC beneficially owned by the Company;</w:t>
      </w:r>
    </w:p>
    <w:p>
      <w:pPr>
        <w:pStyle w:val="TextBody"/>
        <w:bidi w:val="0"/>
        <w:spacing w:before="120" w:after="283"/>
        <w:jc w:val="left"/>
        <w:rPr>
          <w:color w:val="000000"/>
        </w:rPr>
      </w:pPr>
      <w:r>
        <w:rPr>
          <w:color w:val="000000"/>
        </w:rPr>
        <w:t>•</w:t>
      </w:r>
    </w:p>
    <w:p>
      <w:pPr>
        <w:pStyle w:val="TextBody"/>
        <w:bidi w:val="0"/>
        <w:spacing w:before="120" w:after="283"/>
        <w:jc w:val="left"/>
        <w:rPr>
          <w:rFonts w:ascii="Cambria;serif" w:hAnsi="Cambria;serif"/>
          <w:color w:val="000000"/>
          <w:sz w:val="20"/>
        </w:rPr>
      </w:pPr>
      <w:r>
        <w:rPr>
          <w:rFonts w:ascii="Cambria;serif" w:hAnsi="Cambria;serif"/>
          <w:color w:val="000000"/>
          <w:sz w:val="20"/>
        </w:rPr>
        <w:t>acquire, dispose, lease or license assets with an aggregate value exceeding 20% of the fair market value of the business of NCM LLC operating as a going concern;</w:t>
      </w:r>
    </w:p>
    <w:p>
      <w:pPr>
        <w:pStyle w:val="TextBody"/>
        <w:bidi w:val="0"/>
        <w:spacing w:before="120" w:after="283"/>
        <w:jc w:val="left"/>
        <w:rPr>
          <w:color w:val="000000"/>
        </w:rPr>
      </w:pPr>
      <w:r>
        <w:rPr>
          <w:color w:val="000000"/>
        </w:rPr>
        <w:t>•</w:t>
      </w:r>
    </w:p>
    <w:p>
      <w:pPr>
        <w:pStyle w:val="TextBody"/>
        <w:bidi w:val="0"/>
        <w:spacing w:before="120" w:after="283"/>
        <w:jc w:val="left"/>
        <w:rPr>
          <w:rFonts w:ascii="Cambria;serif" w:hAnsi="Cambria;serif"/>
          <w:color w:val="000000"/>
          <w:sz w:val="20"/>
        </w:rPr>
      </w:pPr>
      <w:r>
        <w:rPr>
          <w:rFonts w:ascii="Cambria;serif" w:hAnsi="Cambria;serif"/>
          <w:color w:val="000000"/>
          <w:sz w:val="20"/>
        </w:rPr>
        <w:t>merge, reorganize, recapitalize, reclassify, consolidate, dissolve, liquidate or enter into a similar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Cambria;serif" w:hAnsi="Cambria;serif"/>
          <w:color w:val="000000"/>
          <w:sz w:val="20"/>
        </w:rPr>
      </w:pPr>
      <w:r>
        <w:rPr>
          <w:rFonts w:ascii="Cambria;serif" w:hAnsi="Cambria;serif"/>
          <w:color w:val="000000"/>
          <w:sz w:val="20"/>
        </w:rPr>
        <w:t>incur any funded indebtedness or repay, before due, any funded indebtedness with a fixed term in an aggregate amount in excess of $15.0 million per year;</w:t>
      </w:r>
    </w:p>
    <w:p>
      <w:pPr>
        <w:pStyle w:val="TextBody"/>
        <w:bidi w:val="0"/>
        <w:spacing w:before="120" w:after="283"/>
        <w:jc w:val="left"/>
        <w:rPr>
          <w:color w:val="000000"/>
        </w:rPr>
      </w:pPr>
      <w:r>
        <w:rPr>
          <w:color w:val="000000"/>
        </w:rPr>
        <w:t>•</w:t>
      </w:r>
    </w:p>
    <w:p>
      <w:pPr>
        <w:pStyle w:val="TextBody"/>
        <w:bidi w:val="0"/>
        <w:spacing w:before="120" w:after="283"/>
        <w:jc w:val="left"/>
        <w:rPr>
          <w:rFonts w:ascii="Cambria;serif" w:hAnsi="Cambria;serif"/>
          <w:color w:val="000000"/>
          <w:sz w:val="20"/>
        </w:rPr>
      </w:pPr>
      <w:r>
        <w:rPr>
          <w:rFonts w:ascii="Cambria;serif" w:hAnsi="Cambria;serif"/>
          <w:color w:val="000000"/>
          <w:sz w:val="20"/>
        </w:rPr>
        <w:t>issue, grant or sell shares of our Common Stock, Preferred Stock or rights with respect to Common Stock or Preferred Stock, or NCM LLC membership units or rights with respect to membership units, except under specified circumstances;</w:t>
      </w:r>
    </w:p>
    <w:p>
      <w:pPr>
        <w:pStyle w:val="TextBody"/>
        <w:bidi w:val="0"/>
        <w:spacing w:before="120" w:after="283"/>
        <w:jc w:val="left"/>
        <w:rPr>
          <w:color w:val="000000"/>
        </w:rPr>
      </w:pPr>
      <w:r>
        <w:rPr>
          <w:color w:val="000000"/>
        </w:rPr>
        <w:t>•</w:t>
      </w:r>
    </w:p>
    <w:p>
      <w:pPr>
        <w:pStyle w:val="TextBody"/>
        <w:bidi w:val="0"/>
        <w:spacing w:before="120" w:after="283"/>
        <w:jc w:val="left"/>
        <w:rPr>
          <w:rFonts w:ascii="Cambria;serif" w:hAnsi="Cambria;serif"/>
          <w:color w:val="000000"/>
          <w:sz w:val="20"/>
        </w:rPr>
      </w:pPr>
      <w:r>
        <w:rPr>
          <w:rFonts w:ascii="Cambria;serif" w:hAnsi="Cambria;serif"/>
          <w:color w:val="000000"/>
          <w:sz w:val="20"/>
        </w:rPr>
        <w:t>authorize, issue, grant or sell additional membership interests or rights with respect to membership interests of NCM LLC (with certain exceptions);</w:t>
      </w:r>
    </w:p>
    <w:p>
      <w:pPr>
        <w:pStyle w:val="TextBody"/>
        <w:bidi w:val="0"/>
        <w:spacing w:before="120" w:after="283"/>
        <w:jc w:val="left"/>
        <w:rPr>
          <w:color w:val="000000"/>
        </w:rPr>
      </w:pPr>
      <w:r>
        <w:rPr>
          <w:color w:val="000000"/>
        </w:rPr>
        <w:t>•</w:t>
      </w:r>
    </w:p>
    <w:p>
      <w:pPr>
        <w:pStyle w:val="TextBody"/>
        <w:bidi w:val="0"/>
        <w:spacing w:before="120" w:after="283"/>
        <w:jc w:val="left"/>
        <w:rPr>
          <w:rFonts w:ascii="Cambria;serif" w:hAnsi="Cambria;serif"/>
          <w:color w:val="000000"/>
          <w:sz w:val="20"/>
        </w:rPr>
      </w:pPr>
      <w:r>
        <w:rPr>
          <w:rFonts w:ascii="Cambria;serif" w:hAnsi="Cambria;serif"/>
          <w:color w:val="000000"/>
          <w:sz w:val="20"/>
        </w:rPr>
        <w:t>amend, modify, restate or repeal any provision of our Certificate or Bylaws or the NCM LLC operating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Cambria;serif" w:hAnsi="Cambria;serif"/>
          <w:color w:val="000000"/>
          <w:sz w:val="20"/>
        </w:rPr>
      </w:pPr>
      <w:r>
        <w:rPr>
          <w:rFonts w:ascii="Cambria;serif" w:hAnsi="Cambria;serif"/>
          <w:color w:val="000000"/>
          <w:sz w:val="20"/>
        </w:rPr>
        <w:t>enter into, modify or terminate certain material contracts not in the ordinary course of business as defined under applicable securities laws;</w:t>
      </w:r>
    </w:p>
    <w:p>
      <w:pPr>
        <w:pStyle w:val="TextBody"/>
        <w:bidi w:val="0"/>
        <w:spacing w:before="120" w:after="283"/>
        <w:jc w:val="left"/>
        <w:rPr>
          <w:color w:val="000000"/>
        </w:rPr>
      </w:pPr>
      <w:r>
        <w:rPr>
          <w:color w:val="000000"/>
        </w:rPr>
        <w:t>•</w:t>
      </w:r>
    </w:p>
    <w:p>
      <w:pPr>
        <w:pStyle w:val="TextBody"/>
        <w:bidi w:val="0"/>
        <w:spacing w:before="120" w:after="283"/>
        <w:jc w:val="left"/>
        <w:rPr>
          <w:rFonts w:ascii="Cambria;serif" w:hAnsi="Cambria;serif"/>
          <w:color w:val="000000"/>
          <w:sz w:val="20"/>
        </w:rPr>
      </w:pPr>
      <w:r>
        <w:rPr>
          <w:rFonts w:ascii="Cambria;serif" w:hAnsi="Cambria;serif"/>
          <w:color w:val="000000"/>
          <w:sz w:val="20"/>
        </w:rPr>
        <w:t>except as specifically set forth in the NCM LLC operating agreement, declare, set aside or pay any redemption of, or dividends with respect to membership interests;</w:t>
      </w:r>
    </w:p>
    <w:p>
      <w:pPr>
        <w:pStyle w:val="TextBody"/>
        <w:bidi w:val="0"/>
        <w:spacing w:before="120" w:after="283"/>
        <w:jc w:val="left"/>
        <w:rPr>
          <w:color w:val="000000"/>
        </w:rPr>
      </w:pPr>
      <w:r>
        <w:rPr>
          <w:color w:val="000000"/>
        </w:rPr>
        <w:t>•</w:t>
      </w:r>
    </w:p>
    <w:p>
      <w:pPr>
        <w:pStyle w:val="TextBody"/>
        <w:bidi w:val="0"/>
        <w:spacing w:before="120" w:after="283"/>
        <w:jc w:val="left"/>
        <w:rPr>
          <w:rFonts w:ascii="Cambria;serif" w:hAnsi="Cambria;serif"/>
          <w:color w:val="000000"/>
          <w:sz w:val="20"/>
        </w:rPr>
      </w:pPr>
      <w:r>
        <w:rPr>
          <w:rFonts w:ascii="Cambria;serif" w:hAnsi="Cambria;serif"/>
          <w:color w:val="000000"/>
          <w:sz w:val="20"/>
        </w:rPr>
        <w:t>amend any material terms or provisions (as defined in the Nasdaq rules) of our equity incentive plan or enter into any new equity incentive compensation plan;</w:t>
      </w:r>
    </w:p>
    <w:p>
      <w:pPr>
        <w:pStyle w:val="TextBody"/>
        <w:bidi w:val="0"/>
        <w:spacing w:before="120" w:after="283"/>
        <w:jc w:val="left"/>
        <w:rPr>
          <w:color w:val="000000"/>
        </w:rPr>
      </w:pPr>
      <w:r>
        <w:rPr>
          <w:color w:val="000000"/>
        </w:rPr>
        <w:t>•</w:t>
      </w:r>
    </w:p>
    <w:p>
      <w:pPr>
        <w:pStyle w:val="TextBody"/>
        <w:bidi w:val="0"/>
        <w:spacing w:before="120" w:after="283"/>
        <w:jc w:val="left"/>
        <w:rPr>
          <w:rFonts w:ascii="Cambria;serif" w:hAnsi="Cambria;serif"/>
          <w:color w:val="000000"/>
          <w:sz w:val="20"/>
        </w:rPr>
      </w:pPr>
      <w:r>
        <w:rPr>
          <w:rFonts w:ascii="Cambria;serif" w:hAnsi="Cambria;serif"/>
          <w:color w:val="000000"/>
          <w:sz w:val="20"/>
        </w:rPr>
        <w:t>make any change in the current business purpose of the Company to serve solely as the manager of NCM LLC or any change in the current business purpose of NCM LLC to provide the services as set forth in the exhibitor services agreements between NCM LLC and each of the founding members; and</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Cambria;serif" w:hAnsi="Cambria;serif"/>
          <w:color w:val="000000"/>
          <w:sz w:val="20"/>
        </w:rPr>
      </w:pPr>
      <w:r>
        <w:rPr>
          <w:rFonts w:ascii="Cambria;serif" w:hAnsi="Cambria;serif"/>
          <w:color w:val="000000"/>
          <w:sz w:val="20"/>
        </w:rPr>
        <w:t>approve any actions relating to NCM LLC that could reasonably be expected to have a material adverse tax effect on the founding members.</w:t>
      </w:r>
    </w:p>
    <w:p>
      <w:pPr>
        <w:pStyle w:val="TextBody"/>
        <w:bidi w:val="0"/>
        <w:jc w:val="left"/>
        <w:rPr/>
      </w:pPr>
      <w:r>
        <w:rPr/>
        <w:t> </w:t>
      </w:r>
    </w:p>
    <w:p>
      <w:pPr>
        <w:pStyle w:val="TextBody"/>
        <w:bidi w:val="0"/>
        <w:jc w:val="left"/>
        <w:rPr>
          <w:rFonts w:ascii="Cambria;serif" w:hAnsi="Cambria;serif"/>
          <w:b/>
          <w:i/>
          <w:color w:val="000000"/>
          <w:sz w:val="20"/>
        </w:rPr>
      </w:pPr>
      <w:r>
        <w:rPr>
          <w:rFonts w:ascii="Cambria;serif" w:hAnsi="Cambria;serif"/>
          <w:b/>
          <w:i/>
          <w:color w:val="000000"/>
          <w:sz w:val="20"/>
        </w:rPr>
        <w:t>Authorized but Unissued Shares</w:t>
      </w:r>
    </w:p>
    <w:p>
      <w:pPr>
        <w:pStyle w:val="TextBody"/>
        <w:bidi w:val="0"/>
        <w:jc w:val="left"/>
        <w:rPr/>
      </w:pPr>
      <w:r>
        <w:rPr/>
        <w:t> </w:t>
      </w:r>
    </w:p>
    <w:p>
      <w:pPr>
        <w:pStyle w:val="TextBody"/>
        <w:bidi w:val="0"/>
        <w:jc w:val="left"/>
        <w:rPr>
          <w:rFonts w:ascii="Cambria;serif" w:hAnsi="Cambria;serif"/>
          <w:color w:val="000000"/>
          <w:sz w:val="20"/>
        </w:rPr>
      </w:pPr>
      <w:r>
        <w:rPr>
          <w:rFonts w:ascii="Cambria;serif" w:hAnsi="Cambria;serif"/>
          <w:color w:val="000000"/>
          <w:sz w:val="20"/>
        </w:rPr>
        <w:t>The authorized but unissued shares of Common Stock and Preferred Stock are available for future issuance without stockholder approval. These additional shares may be used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us by means of a proxy contest, tender offer, merger or otherwise.</w:t>
      </w:r>
    </w:p>
    <w:p>
      <w:pPr>
        <w:pStyle w:val="TextBody"/>
        <w:bidi w:val="0"/>
        <w:jc w:val="left"/>
        <w:rPr/>
      </w:pPr>
      <w:r>
        <w:rPr/>
        <w:t> </w:t>
      </w:r>
    </w:p>
    <w:p>
      <w:pPr>
        <w:pStyle w:val="TextBody"/>
        <w:bidi w:val="0"/>
        <w:jc w:val="left"/>
        <w:rPr>
          <w:rFonts w:ascii="Cambria;serif" w:hAnsi="Cambria;serif"/>
          <w:b/>
          <w:i/>
          <w:color w:val="000000"/>
          <w:sz w:val="20"/>
        </w:rPr>
      </w:pPr>
      <w:r>
        <w:rPr>
          <w:rFonts w:ascii="Cambria;serif" w:hAnsi="Cambria;serif"/>
          <w:b/>
          <w:i/>
          <w:color w:val="000000"/>
          <w:sz w:val="20"/>
        </w:rPr>
        <w:t>Preferred Stock</w:t>
      </w:r>
    </w:p>
    <w:p>
      <w:pPr>
        <w:pStyle w:val="TextBody"/>
        <w:bidi w:val="0"/>
        <w:jc w:val="left"/>
        <w:rPr/>
      </w:pPr>
      <w:r>
        <w:rPr/>
        <w:t> </w:t>
      </w:r>
    </w:p>
    <w:p>
      <w:pPr>
        <w:pStyle w:val="TextBody"/>
        <w:bidi w:val="0"/>
        <w:jc w:val="left"/>
        <w:rPr>
          <w:rFonts w:ascii="Cambria;serif" w:hAnsi="Cambria;serif"/>
          <w:color w:val="000000"/>
          <w:sz w:val="20"/>
        </w:rPr>
      </w:pPr>
      <w:r>
        <w:rPr>
          <w:rFonts w:ascii="Cambria;serif" w:hAnsi="Cambria;serif"/>
          <w:color w:val="000000"/>
          <w:sz w:val="20"/>
        </w:rPr>
        <w:t>Our board of directors is authorized, without further stockholder approval, to issue from time to time up to an aggregate of 10 million shares of Preferred Stock in one or more series and to fix or alter the designations, preferences, rights and any qualifications, limitations or restrictions of the shares of each such series thereof, including the dividend rights, dividend rates, conversion rights, voting rights, terms of redemption (including sinking fund provisions), redemption price or prices, liquidation preferences and the number of shares constituting any series or designations of such series. The future issuance of shares of Preferred Stock with voting rights may adversely affect the voting power of the holders of our other classes of voting stock, either by diluting the voting power of our other classes of voting stock if they vote together as a single class, or by giving the holders of any such Preferred Stock the right to block an action on which they have a separate class vote even if the action were approved by the holders of our other classes of voting stock.</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9" w:name="ncmi-ex10_1.htm"/>
      <w:bookmarkStart w:id="40" w:name="ksncmiex10_1"/>
      <w:bookmarkEnd w:id="39"/>
      <w:bookmarkEnd w:id="40"/>
      <w:r>
        <w:rPr>
          <w:rFonts w:ascii="Times New Roman" w:hAnsi="Times New Roman"/>
          <w:b/>
          <w:color w:val="000000"/>
          <w:sz w:val="20"/>
        </w:rPr>
        <w:t>Exhibit 10.1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THIRD AMENDED AND RESTATED</w:t>
      </w:r>
    </w:p>
    <w:p>
      <w:pPr>
        <w:pStyle w:val="TextBody"/>
        <w:bidi w:val="0"/>
        <w:jc w:val="center"/>
        <w:rPr>
          <w:rFonts w:ascii="Times New Roman" w:hAnsi="Times New Roman"/>
          <w:b/>
          <w:color w:val="000000"/>
          <w:sz w:val="20"/>
        </w:rPr>
      </w:pPr>
      <w:r>
        <w:rPr>
          <w:rFonts w:ascii="Times New Roman" w:hAnsi="Times New Roman"/>
          <w:b/>
          <w:color w:val="000000"/>
          <w:sz w:val="20"/>
        </w:rPr>
        <w:t>LIMITED LIABILITY COMPANY OPERATING AGREEMENT*</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OF</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NATIONAL CINEMEDIA, LLC</w:t>
      </w:r>
    </w:p>
    <w:p>
      <w:pPr>
        <w:pStyle w:val="TextBody"/>
        <w:bidi w:val="0"/>
        <w:spacing w:before="180" w:after="283"/>
        <w:jc w:val="left"/>
        <w:rPr>
          <w:rFonts w:ascii="Times New Roman" w:hAnsi="Times New Roman"/>
          <w:sz w:val="20"/>
        </w:rPr>
      </w:pPr>
      <w:r>
        <w:rPr>
          <w:rFonts w:ascii="Times New Roman" w:hAnsi="Times New Roman"/>
          <w:b/>
          <w:color w:val="000000"/>
          <w:sz w:val="20"/>
        </w:rPr>
        <w:t>*Conformed to include:</w:t>
      </w:r>
      <w:r>
        <w:rPr>
          <w:rFonts w:ascii="Times New Roman" w:hAnsi="Times New Roman"/>
          <w:color w:val="000000"/>
          <w:sz w:val="20"/>
        </w:rPr>
        <w:t xml:space="preserve">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 xml:space="preserve">First Amendment to the Third Amended and Restated Limited Liability Company Operating Agreement, dated March 16, 2009 (“Amendment No. 1”),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 xml:space="preserve">Second Amendment to the Third Amended and Restated Limited Liability Company Operating Agreement, dated August 6, 2010 (“Amendment No. 2”),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 xml:space="preserve">Third Amendment to the Third Amended and Restated Limited Liability Company Operating Agreement, dated September 3, 2013 (“Amendment No. 3”),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 xml:space="preserve">Fourth Amendment to the Third Amended and Restated Limited Liability Company Operating Agreement, dated January 23, 2019 (“Amendment No. 4”), and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 xml:space="preserve">Fifth Amendment to the Third Amended and Restated Limited Liability Company Operating Agreement, dated August 7, 2023 </w:t>
      </w:r>
    </w:p>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Sixth Amendment to the Third Amended and Restated Limited Liability Company Operating Agreement, dated March 18, 2024 “Amendment No. 6” (“Amendment No. 6” and together with Amendment No. 1, Amendment No. 2, Amendment No. 3, Amendment No. 4, and Amendment No. 5 the “Amendments”)</w:t>
      </w:r>
    </w:p>
    <w:p>
      <w:pPr>
        <w:pStyle w:val="TextBody"/>
        <w:bidi w:val="0"/>
        <w:spacing w:before="180" w:after="283"/>
        <w:jc w:val="left"/>
        <w:rPr>
          <w:rFonts w:ascii="Times New Roman" w:hAnsi="Times New Roman"/>
          <w:sz w:val="20"/>
        </w:rPr>
      </w:pPr>
      <w:r>
        <w:rPr>
          <w:rFonts w:ascii="Times New Roman" w:hAnsi="Times New Roman"/>
          <w:color w:val="000000"/>
          <w:sz w:val="20"/>
        </w:rPr>
        <w:t>This Third Amended and Restated Limited Liability Company Operating Agreement (this “</w:t>
      </w:r>
      <w:r>
        <w:rPr>
          <w:rFonts w:ascii="Times New Roman" w:hAnsi="Times New Roman"/>
          <w:b/>
          <w:color w:val="000000"/>
          <w:sz w:val="20"/>
          <w:u w:val="single"/>
        </w:rPr>
        <w:t>Agreement</w:t>
      </w:r>
      <w:r>
        <w:rPr>
          <w:rFonts w:ascii="Times New Roman" w:hAnsi="Times New Roman"/>
          <w:color w:val="000000"/>
          <w:sz w:val="20"/>
        </w:rPr>
        <w:t>”) of National CineMedia, LLC, a Delaware limited liability company (the “</w:t>
      </w:r>
      <w:r>
        <w:rPr>
          <w:rFonts w:ascii="Times New Roman" w:hAnsi="Times New Roman"/>
          <w:b/>
          <w:color w:val="000000"/>
          <w:sz w:val="20"/>
          <w:u w:val="single"/>
        </w:rPr>
        <w:t>Company</w:t>
      </w:r>
      <w:r>
        <w:rPr>
          <w:rFonts w:ascii="Times New Roman" w:hAnsi="Times New Roman"/>
          <w:color w:val="000000"/>
          <w:sz w:val="20"/>
        </w:rPr>
        <w:t>”), is made and entered into as of February 13, 2007, by and among each of the parties hereto and amends and restates in full the Second Amended Agreement.</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RECITALS</w:t>
      </w:r>
    </w:p>
    <w:p>
      <w:pPr>
        <w:pStyle w:val="TextBody"/>
        <w:bidi w:val="0"/>
        <w:spacing w:before="180" w:after="283"/>
        <w:jc w:val="left"/>
        <w:rPr>
          <w:rFonts w:ascii="Times New Roman" w:hAnsi="Times New Roman"/>
          <w:sz w:val="20"/>
        </w:rPr>
      </w:pPr>
      <w:r>
        <w:rPr>
          <w:rFonts w:ascii="Times New Roman" w:hAnsi="Times New Roman"/>
          <w:color w:val="000000"/>
          <w:sz w:val="20"/>
        </w:rPr>
        <w:t>A. National Cinema Network, Inc., a Delaware corporation (“</w:t>
      </w:r>
      <w:r>
        <w:rPr>
          <w:rFonts w:ascii="Times New Roman" w:hAnsi="Times New Roman"/>
          <w:b/>
          <w:color w:val="000000"/>
          <w:sz w:val="20"/>
          <w:u w:val="single"/>
        </w:rPr>
        <w:t>NCN</w:t>
      </w:r>
      <w:r>
        <w:rPr>
          <w:rFonts w:ascii="Times New Roman" w:hAnsi="Times New Roman"/>
          <w:color w:val="000000"/>
          <w:sz w:val="20"/>
        </w:rPr>
        <w:t>”), and Regal CineMedia Holdings, LLC, a Delaware limited liability company (“</w:t>
      </w:r>
      <w:r>
        <w:rPr>
          <w:rFonts w:ascii="Times New Roman" w:hAnsi="Times New Roman"/>
          <w:b/>
          <w:color w:val="000000"/>
          <w:sz w:val="20"/>
          <w:u w:val="single"/>
        </w:rPr>
        <w:t>Regal</w:t>
      </w:r>
      <w:r>
        <w:rPr>
          <w:rFonts w:ascii="Times New Roman" w:hAnsi="Times New Roman"/>
          <w:color w:val="000000"/>
          <w:sz w:val="20"/>
        </w:rPr>
        <w:t>” or the “</w:t>
      </w:r>
      <w:r>
        <w:rPr>
          <w:rFonts w:ascii="Times New Roman" w:hAnsi="Times New Roman"/>
          <w:b/>
          <w:color w:val="000000"/>
          <w:sz w:val="20"/>
          <w:u w:val="single"/>
        </w:rPr>
        <w:t>Regal Founding Member</w:t>
      </w:r>
      <w:r>
        <w:rPr>
          <w:rFonts w:ascii="Times New Roman" w:hAnsi="Times New Roman"/>
          <w:color w:val="000000"/>
          <w:sz w:val="20"/>
        </w:rPr>
        <w:t>”), formed the Company and entered into the Limited Liability Company Operating Agreement of National CineMedia, LLC, dated as of March 29, 2005 (the “</w:t>
      </w:r>
      <w:r>
        <w:rPr>
          <w:rFonts w:ascii="Times New Roman" w:hAnsi="Times New Roman"/>
          <w:b/>
          <w:color w:val="000000"/>
          <w:sz w:val="20"/>
          <w:u w:val="single"/>
        </w:rPr>
        <w:t>Original Agreement</w:t>
      </w:r>
      <w:r>
        <w:rPr>
          <w:rFonts w:ascii="Times New Roman" w:hAnsi="Times New Roman"/>
          <w:color w:val="000000"/>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B. Cinemark Media, Inc., a Delaware corporation (“</w:t>
      </w:r>
      <w:r>
        <w:rPr>
          <w:rFonts w:ascii="Times New Roman" w:hAnsi="Times New Roman"/>
          <w:b/>
          <w:color w:val="000000"/>
          <w:sz w:val="20"/>
          <w:u w:val="single"/>
        </w:rPr>
        <w:t>Cinemark Media</w:t>
      </w:r>
      <w:r>
        <w:rPr>
          <w:rFonts w:ascii="Times New Roman" w:hAnsi="Times New Roman"/>
          <w:color w:val="000000"/>
          <w:sz w:val="20"/>
        </w:rPr>
        <w:t>” or the “</w:t>
      </w:r>
      <w:r>
        <w:rPr>
          <w:rFonts w:ascii="Times New Roman" w:hAnsi="Times New Roman"/>
          <w:b/>
          <w:color w:val="000000"/>
          <w:sz w:val="20"/>
          <w:u w:val="single"/>
        </w:rPr>
        <w:t>Cinemark Founding Member</w:t>
      </w:r>
      <w:r>
        <w:rPr>
          <w:rFonts w:ascii="Times New Roman" w:hAnsi="Times New Roman"/>
          <w:color w:val="000000"/>
          <w:sz w:val="20"/>
        </w:rPr>
        <w:t>”), was admitted as a Founding Member in the Company pursuant to that certain Contribution Agreement, dated as of July 15, 2005 (the “</w:t>
      </w:r>
      <w:r>
        <w:rPr>
          <w:rFonts w:ascii="Times New Roman" w:hAnsi="Times New Roman"/>
          <w:b/>
          <w:color w:val="000000"/>
          <w:sz w:val="20"/>
          <w:u w:val="single"/>
        </w:rPr>
        <w:t>Contribution Agreement</w:t>
      </w:r>
      <w:r>
        <w:rPr>
          <w:rFonts w:ascii="Times New Roman" w:hAnsi="Times New Roman"/>
          <w:color w:val="000000"/>
          <w:sz w:val="20"/>
        </w:rPr>
        <w:t>”), and that certain Amended and Restated Limited Liability Company Operating Agreement of National CineMedia, LLC, dated as of July 15, 2005 (the “</w:t>
      </w:r>
      <w:r>
        <w:rPr>
          <w:rFonts w:ascii="Times New Roman" w:hAnsi="Times New Roman"/>
          <w:b/>
          <w:color w:val="000000"/>
          <w:sz w:val="20"/>
          <w:u w:val="single"/>
        </w:rPr>
        <w:t>First Amended Agreement</w:t>
      </w:r>
      <w:r>
        <w:rPr>
          <w:rFonts w:ascii="Times New Roman" w:hAnsi="Times New Roman"/>
          <w:color w:val="000000"/>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C. NCN merged with and into American Multi-Cinema, Inc., a Missouri Corporation (“</w:t>
      </w:r>
      <w:r>
        <w:rPr>
          <w:rFonts w:ascii="Times New Roman" w:hAnsi="Times New Roman"/>
          <w:b/>
          <w:color w:val="000000"/>
          <w:sz w:val="20"/>
          <w:u w:val="single"/>
        </w:rPr>
        <w:t>AMC</w:t>
      </w:r>
      <w:r>
        <w:rPr>
          <w:rFonts w:ascii="Times New Roman" w:hAnsi="Times New Roman"/>
          <w:color w:val="000000"/>
          <w:sz w:val="20"/>
        </w:rPr>
        <w:t>” or the “</w:t>
      </w:r>
      <w:r>
        <w:rPr>
          <w:rFonts w:ascii="Times New Roman" w:hAnsi="Times New Roman"/>
          <w:b/>
          <w:color w:val="000000"/>
          <w:sz w:val="20"/>
          <w:u w:val="single"/>
        </w:rPr>
        <w:t>AMC Founding Member</w:t>
      </w:r>
      <w:r>
        <w:rPr>
          <w:rFonts w:ascii="Times New Roman" w:hAnsi="Times New Roman"/>
          <w:color w:val="000000"/>
          <w:sz w:val="20"/>
        </w:rPr>
        <w:t>”), with AMC as the surviving entity.</w:t>
      </w:r>
    </w:p>
    <w:p>
      <w:pPr>
        <w:pStyle w:val="TextBody"/>
        <w:bidi w:val="0"/>
        <w:spacing w:before="180" w:after="283"/>
        <w:jc w:val="left"/>
        <w:rPr>
          <w:rFonts w:ascii="Times New Roman" w:hAnsi="Times New Roman"/>
          <w:sz w:val="20"/>
        </w:rPr>
      </w:pPr>
      <w:r>
        <w:rPr>
          <w:rFonts w:ascii="Times New Roman" w:hAnsi="Times New Roman"/>
          <w:color w:val="000000"/>
          <w:sz w:val="20"/>
        </w:rPr>
        <w:t>D. The First Amended Agreement has been amended pursuant to the First Amendment to the Amended and Restated Limited Liability Company Operating Agreement of National CineMedia, LLC, dated as of December 12, 2006 (the “</w:t>
      </w:r>
      <w:r>
        <w:rPr>
          <w:rFonts w:ascii="Times New Roman" w:hAnsi="Times New Roman"/>
          <w:b/>
          <w:color w:val="000000"/>
          <w:sz w:val="20"/>
          <w:u w:val="single"/>
        </w:rPr>
        <w:t>First Amendment</w:t>
      </w:r>
      <w:r>
        <w:rPr>
          <w:rFonts w:ascii="Times New Roman" w:hAnsi="Times New Roman"/>
          <w:color w:val="000000"/>
          <w:sz w:val="20"/>
        </w:rPr>
        <w:t>”), the Second Amendment to the Amended and Restated Limited Liability Company Operating Agreement of National CineMedia, LLC, dated as of January 23, 2007 (the “</w:t>
      </w:r>
      <w:r>
        <w:rPr>
          <w:rFonts w:ascii="Times New Roman" w:hAnsi="Times New Roman"/>
          <w:b/>
          <w:color w:val="000000"/>
          <w:sz w:val="20"/>
          <w:u w:val="single"/>
        </w:rPr>
        <w:t>Second Amendment</w:t>
      </w:r>
      <w:r>
        <w:rPr>
          <w:rFonts w:ascii="Times New Roman" w:hAnsi="Times New Roman"/>
          <w:color w:val="000000"/>
          <w:sz w:val="20"/>
        </w:rPr>
        <w:t>”), and the Third Amendment to the Amended and Restated Limited Liability Company Operating Agreement of National CineMedia, LLC, dated as of February 7, 2007 (the “</w:t>
      </w:r>
      <w:r>
        <w:rPr>
          <w:rFonts w:ascii="Times New Roman" w:hAnsi="Times New Roman"/>
          <w:b/>
          <w:color w:val="000000"/>
          <w:sz w:val="20"/>
          <w:u w:val="single"/>
        </w:rPr>
        <w:t>Third Amendment</w:t>
      </w:r>
      <w:r>
        <w:rPr>
          <w:rFonts w:ascii="Times New Roman" w:hAnsi="Times New Roman"/>
          <w:color w:val="000000"/>
          <w:sz w:val="20"/>
        </w:rPr>
        <w:t>”, and together with the First Amended Agreement, the First Amendment, and the Second Amendment, the “</w:t>
      </w:r>
      <w:r>
        <w:rPr>
          <w:rFonts w:ascii="Times New Roman" w:hAnsi="Times New Roman"/>
          <w:b/>
          <w:color w:val="000000"/>
          <w:sz w:val="20"/>
          <w:u w:val="single"/>
        </w:rPr>
        <w:t>Second Amended Agreement</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spacing w:before="180" w:after="283"/>
        <w:jc w:val="left"/>
        <w:rPr>
          <w:rFonts w:ascii="Times New Roman" w:hAnsi="Times New Roman"/>
          <w:sz w:val="20"/>
        </w:rPr>
      </w:pPr>
      <w:r>
        <w:rPr>
          <w:rFonts w:ascii="Times New Roman" w:hAnsi="Times New Roman"/>
          <w:color w:val="000000"/>
          <w:sz w:val="20"/>
        </w:rPr>
        <w:t>E. The Company and National CineMedia, Inc., a Delaware corporation (“</w:t>
      </w:r>
      <w:r>
        <w:rPr>
          <w:rFonts w:ascii="Times New Roman" w:hAnsi="Times New Roman"/>
          <w:b/>
          <w:color w:val="000000"/>
          <w:sz w:val="20"/>
          <w:u w:val="single"/>
        </w:rPr>
        <w:t>NCM Inc.</w:t>
      </w:r>
      <w:r>
        <w:rPr>
          <w:rFonts w:ascii="Times New Roman" w:hAnsi="Times New Roman"/>
          <w:color w:val="000000"/>
          <w:sz w:val="20"/>
        </w:rPr>
        <w:t>”), have entered into a Common Unit Subscription Agreement, dated as of February 13, 2007 (the “</w:t>
      </w:r>
      <w:r>
        <w:rPr>
          <w:rFonts w:ascii="Times New Roman" w:hAnsi="Times New Roman"/>
          <w:b/>
          <w:color w:val="000000"/>
          <w:sz w:val="20"/>
          <w:u w:val="single"/>
        </w:rPr>
        <w:t>Subscription Agreement</w:t>
      </w:r>
      <w:r>
        <w:rPr>
          <w:rFonts w:ascii="Times New Roman" w:hAnsi="Times New Roman"/>
          <w:color w:val="000000"/>
          <w:sz w:val="20"/>
        </w:rPr>
        <w:t>”), pursuant to which the Company has agreed to issue Common Units to NCM Inc. as more fully provided therein.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 AMC, Regal and Cinemark Media desire to amend and restate the Second Amended Agreement to reflect the addition of NCM Inc. as a Member in the Company and its designation as sole Manager of the Company.</w:t>
      </w:r>
    </w:p>
    <w:p>
      <w:pPr>
        <w:pStyle w:val="TextBody"/>
        <w:bidi w:val="0"/>
        <w:jc w:val="left"/>
        <w:rPr>
          <w:rFonts w:ascii="Times New Roman" w:hAnsi="Times New Roman"/>
          <w:color w:val="000000"/>
          <w:sz w:val="20"/>
        </w:rPr>
      </w:pPr>
      <w:r>
        <w:rPr>
          <w:rFonts w:ascii="Times New Roman" w:hAnsi="Times New Roman"/>
          <w:color w:val="000000"/>
          <w:sz w:val="20"/>
        </w:rPr>
        <w:t>G. The respective board of directors and manager of each of AMC, Regal and Cinemark Media, respectively, and the board of directors of NCM Inc. have approved this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 Recitals from Amendment No. 5:</w:t>
      </w:r>
    </w:p>
    <w:p>
      <w:pPr>
        <w:pStyle w:val="TextBody"/>
        <w:bidi w:val="0"/>
        <w:spacing w:before="8"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WHEREAS, AMC ShowPlace Theatres, Inc., a Delaware corporation (“</w:t>
      </w:r>
      <w:r>
        <w:rPr>
          <w:rFonts w:ascii="Times New Roman" w:hAnsi="Times New Roman"/>
          <w:b/>
          <w:color w:val="000000"/>
          <w:sz w:val="20"/>
          <w:u w:val="single"/>
        </w:rPr>
        <w:t>AMC Showplace</w:t>
      </w:r>
      <w:r>
        <w:rPr>
          <w:rFonts w:ascii="Times New Roman" w:hAnsi="Times New Roman"/>
          <w:color w:val="000000"/>
          <w:sz w:val="20"/>
        </w:rPr>
        <w:t>”), American Multi-Cinema, Inc., a Missouri Corporation (together with AMC Showplace, “</w:t>
      </w:r>
      <w:r>
        <w:rPr>
          <w:rFonts w:ascii="Times New Roman" w:hAnsi="Times New Roman"/>
          <w:b/>
          <w:color w:val="000000"/>
          <w:sz w:val="20"/>
          <w:u w:val="single"/>
        </w:rPr>
        <w:t>AMC</w:t>
      </w:r>
      <w:r>
        <w:rPr>
          <w:rFonts w:ascii="Times New Roman" w:hAnsi="Times New Roman"/>
          <w:color w:val="000000"/>
          <w:sz w:val="20"/>
        </w:rPr>
        <w:t>”) Cinemark Media, Inc., a Delaware corporation (“</w:t>
      </w:r>
      <w:r>
        <w:rPr>
          <w:rFonts w:ascii="Times New Roman" w:hAnsi="Times New Roman"/>
          <w:b/>
          <w:color w:val="000000"/>
          <w:sz w:val="20"/>
          <w:u w:val="single"/>
        </w:rPr>
        <w:t>Cinemark Media</w:t>
      </w:r>
      <w:r>
        <w:rPr>
          <w:rFonts w:ascii="Times New Roman" w:hAnsi="Times New Roman"/>
          <w:color w:val="000000"/>
          <w:sz w:val="20"/>
        </w:rPr>
        <w:t>”), Cinemark USA, Inc., a Texas corporation (“Cinemark USA” and together with Cinemark Media, “</w:t>
      </w:r>
      <w:r>
        <w:rPr>
          <w:rFonts w:ascii="Times New Roman" w:hAnsi="Times New Roman"/>
          <w:b/>
          <w:color w:val="000000"/>
          <w:sz w:val="20"/>
          <w:u w:val="single"/>
        </w:rPr>
        <w:t>Cinemark</w:t>
      </w:r>
      <w:r>
        <w:rPr>
          <w:rFonts w:ascii="Times New Roman" w:hAnsi="Times New Roman"/>
          <w:color w:val="000000"/>
          <w:sz w:val="20"/>
        </w:rPr>
        <w:t>”), Regal Cinemedia Holdings, LLC, a Delaware limited liability company (“</w:t>
      </w:r>
      <w:r>
        <w:rPr>
          <w:rFonts w:ascii="Times New Roman" w:hAnsi="Times New Roman"/>
          <w:b/>
          <w:color w:val="000000"/>
          <w:sz w:val="20"/>
          <w:u w:val="single"/>
        </w:rPr>
        <w:t>Regal</w:t>
      </w:r>
      <w:r>
        <w:rPr>
          <w:rFonts w:ascii="Times New Roman" w:hAnsi="Times New Roman"/>
          <w:color w:val="000000"/>
          <w:sz w:val="20"/>
        </w:rPr>
        <w:t>”), Regal Cinemas, Inc., a Tennessee corporation (together with Regal, “</w:t>
      </w:r>
      <w:r>
        <w:rPr>
          <w:rFonts w:ascii="Times New Roman" w:hAnsi="Times New Roman"/>
          <w:b/>
          <w:color w:val="000000"/>
          <w:sz w:val="20"/>
          <w:u w:val="single"/>
        </w:rPr>
        <w:t>RCI</w:t>
      </w:r>
      <w:r>
        <w:rPr>
          <w:rFonts w:ascii="Times New Roman" w:hAnsi="Times New Roman"/>
          <w:color w:val="000000"/>
          <w:sz w:val="20"/>
        </w:rPr>
        <w:t>”), National CineMedia, Inc., a Delaware corporation (“</w:t>
      </w:r>
      <w:r>
        <w:rPr>
          <w:rFonts w:ascii="Times New Roman" w:hAnsi="Times New Roman"/>
          <w:b/>
          <w:color w:val="000000"/>
          <w:sz w:val="20"/>
          <w:u w:val="single"/>
        </w:rPr>
        <w:t>NCM Inc.</w:t>
      </w:r>
      <w:r>
        <w:rPr>
          <w:rFonts w:ascii="Times New Roman" w:hAnsi="Times New Roman"/>
          <w:color w:val="000000"/>
          <w:sz w:val="20"/>
        </w:rPr>
        <w:t>”), and NCMI II, LLC, a Delaware limited liability company (“</w:t>
      </w:r>
      <w:r>
        <w:rPr>
          <w:rFonts w:ascii="Times New Roman" w:hAnsi="Times New Roman"/>
          <w:b/>
          <w:color w:val="000000"/>
          <w:sz w:val="20"/>
          <w:u w:val="single"/>
        </w:rPr>
        <w:t>NCMI II</w:t>
      </w:r>
      <w:r>
        <w:rPr>
          <w:rFonts w:ascii="Times New Roman" w:hAnsi="Times New Roman"/>
          <w:color w:val="000000"/>
          <w:sz w:val="20"/>
        </w:rPr>
        <w:t>”) were parties to the LLC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WHEREAS, as of the consummation of the Plan (as defined below) on the date hereof (the “</w:t>
      </w:r>
      <w:r>
        <w:rPr>
          <w:rFonts w:ascii="Times New Roman" w:hAnsi="Times New Roman"/>
          <w:b/>
          <w:color w:val="000000"/>
          <w:sz w:val="20"/>
          <w:u w:val="single"/>
        </w:rPr>
        <w:t>Plan Effective Date</w:t>
      </w:r>
      <w:r>
        <w:rPr>
          <w:rFonts w:ascii="Times New Roman" w:hAnsi="Times New Roman"/>
          <w:color w:val="000000"/>
          <w:sz w:val="20"/>
        </w:rPr>
        <w:t xml:space="preserve">”), AMC, Cinemark, and Regal are no longer Founding Members or Members under the LLC Agreement, and NCM Inc., NCMI II, and the Company desire to amend the LLC Agreement pursuant to the terms and conditions hereof;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WHEREAS, (i) on June 27, 2023, the U.S. Bankruptcy Court for the Southern District of Texas entered an order confirming the Modified First Amended Plan of Reorganization of National CineMedia, LLC Pursuant to Chapter 11 of the Bankruptcy Code [Docket No. 428] (as it may be amended, modified, or supplemented, the “</w:t>
      </w:r>
      <w:r>
        <w:rPr>
          <w:rFonts w:ascii="Times New Roman" w:hAnsi="Times New Roman"/>
          <w:b/>
          <w:color w:val="000000"/>
          <w:sz w:val="20"/>
          <w:u w:val="single"/>
        </w:rPr>
        <w:t>Plan</w:t>
      </w:r>
      <w:r>
        <w:rPr>
          <w:rFonts w:ascii="Times New Roman" w:hAnsi="Times New Roman"/>
          <w:color w:val="000000"/>
          <w:sz w:val="20"/>
        </w:rPr>
        <w:t>”), (ii) pursuant to the Plan and prior to the Plan Effective Date, Blocked Holders, as defined in the Restructuring Transactions Memorandum, exchanged their Allowed Secured Debt Claims (as defined in the Plan) for shares of Blocker Parent (as defined in the Restructuring Transactions Memorandum), with Blocker Sub 2 (as defined in the Restructuring Transactions Memorandum), receiving such Allowed Secured Debt Claims and (iii) on the Plan Effective Date, the Company consummated the Plan pursuant to which (A) Allowed Secured Debt Claims then held by Blocker Sub 2 were exchanged for Common Units and, in connection with the receipt of such Common Units, the Company agreed to admit Blocker Sub 2 as a Member, and Blocker Sub 2 agreed be bound by all the terms and conditions of this Agreement (as amended, supplemented or otherwise modified from time to time) in accordance with Section 3.1(c), (B) Blocker Parent merged with and into Merger Sub (as defined in the Restructuring Transactions Memorandum), with Blocked Holders receiving shares of the common stock of NCM Inc. in exchange for their shares of Blocker Parent, such shares of common stock of NCM Inc. to be delivered to Blocked Holders on, or as soon as reasonably practicable after, the Plan Effective Date, (C) all other Holders of Allowed Secured Debt Claims received Common Units in exchange for their Allowed Secured Debt Claims and immediately contributed such Common Units to NCM Inc. in exchange for shares of the common stock of NCM Inc., such shares of common stock of NCM Inc. to be delivered to such Holders on, or as soon as reasonably practicable after, the Plan Effective Date, (D) NCM Inc. made a contribution to the Company of its cash on hand as of the time of such contribution, in exchange for certain Common Units and made a contribution to NCMI II of certain Common Units, and (E) NCM Inc. issued 50 shares of non-voting Series B Preferred Stock (each with liquidation value of $1,000) subject to and pursuant to the terms of that certain Certificate of Designation of Series B Non-Convertible Preferred Stock of NCM, Inc., dated as of the date hereof, and, correspondingly, in accordance with the Plan, the Company issued non-voting preferred equity interests in the Company to NCM Inc. with terms that are substantially the same as (as determined in good faith by NCM Inc., in its capacity as the sole manager of the Company, but including term, entitlement to distributions and absence of voting rights) the terms of the 50 shares of Series B Preferred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WHEREAS, the Holders of Allowed Secured Debt Claims (including Blocked Holders) will, in the aggregate, receive on, or as soon as reasonably practicable after, the Plan Effective Date 85,868,037 shares of NCM Inc. common stock pursuant to the transactions described in clauses (A)-(D) above;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WHEREAS, immediately prior to the completion of the transactions contemplated by the Plan and set forth in the Restructuring Transactions Memorandum, the total shares of NCM Inc. common stock outstanding will be 103,296,201 as of the Plan Effective Date; and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WHEREAS, upon the completion of the transactions contemplated by the Plan and set forth in the Restructuring Transactions Memorandum, the total shares outstanding of NCM Inc. common stock will be 96,779,983, with a total of 83,420,199 of such common stock held by Holders of Allowed Secured Debt Claims.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 Recitals from Amendment No. 6:</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WHEREAS, National CineMedia, Inc., a Delaware corporation (“</w:t>
      </w:r>
      <w:r>
        <w:rPr>
          <w:rFonts w:ascii="Times New Roman" w:hAnsi="Times New Roman"/>
          <w:b/>
          <w:color w:val="000000"/>
          <w:sz w:val="20"/>
        </w:rPr>
        <w:t>NCM Inc.</w:t>
      </w:r>
      <w:r>
        <w:rPr>
          <w:rFonts w:ascii="Times New Roman" w:hAnsi="Times New Roman"/>
          <w:color w:val="000000"/>
          <w:sz w:val="20"/>
        </w:rPr>
        <w:t>”), NCMI II, LLC, a Delaware limited liability company (“</w:t>
      </w:r>
      <w:r>
        <w:rPr>
          <w:rFonts w:ascii="Times New Roman" w:hAnsi="Times New Roman"/>
          <w:b/>
          <w:color w:val="000000"/>
          <w:sz w:val="20"/>
          <w:u w:val="single"/>
        </w:rPr>
        <w:t>NCMI II</w:t>
      </w:r>
      <w:r>
        <w:rPr>
          <w:rFonts w:ascii="Times New Roman" w:hAnsi="Times New Roman"/>
          <w:color w:val="000000"/>
          <w:sz w:val="20"/>
        </w:rPr>
        <w:t>”), and NCM Blocker Sub 2, LLC, a Delaware limited liability company (“</w:t>
      </w:r>
      <w:r>
        <w:rPr>
          <w:rFonts w:ascii="Times New Roman" w:hAnsi="Times New Roman"/>
          <w:b/>
          <w:color w:val="000000"/>
          <w:sz w:val="20"/>
          <w:u w:val="single"/>
        </w:rPr>
        <w:t>NCM Blocker</w:t>
      </w:r>
      <w:r>
        <w:rPr>
          <w:rFonts w:ascii="Times New Roman" w:hAnsi="Times New Roman"/>
          <w:color w:val="000000"/>
          <w:sz w:val="20"/>
        </w:rPr>
        <w:t>”) are the current members of the Company.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parties hereto agree as follows: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ARTICLE 1</w:t>
      </w:r>
    </w:p>
    <w:p>
      <w:pPr>
        <w:pStyle w:val="TextBody"/>
        <w:bidi w:val="0"/>
        <w:spacing w:before="180" w:after="283"/>
        <w:jc w:val="center"/>
        <w:rPr>
          <w:rFonts w:ascii="Times New Roman" w:hAnsi="Times New Roman"/>
          <w:b/>
          <w:color w:val="000000"/>
          <w:sz w:val="20"/>
          <w:u w:val="single"/>
        </w:rPr>
      </w:pPr>
      <w:r>
        <w:rPr>
          <w:rFonts w:ascii="Times New Roman" w:hAnsi="Times New Roman"/>
          <w:b/>
          <w:color w:val="000000"/>
          <w:sz w:val="20"/>
          <w:u w:val="single"/>
        </w:rPr>
        <w:t>DEFINITIONS</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1.1 </w:t>
      </w:r>
      <w:r>
        <w:rPr>
          <w:rFonts w:ascii="Times New Roman" w:hAnsi="Times New Roman"/>
          <w:b/>
          <w:color w:val="000000"/>
          <w:sz w:val="20"/>
          <w:u w:val="single"/>
        </w:rPr>
        <w:t>Defined Terms</w:t>
      </w:r>
      <w:r>
        <w:rPr>
          <w:rFonts w:ascii="Times New Roman" w:hAnsi="Times New Roman"/>
          <w:color w:val="000000"/>
          <w:sz w:val="20"/>
        </w:rPr>
        <w:t>. The following terms shall have the following meanings in this Agreement:</w:t>
      </w:r>
    </w:p>
    <w:p>
      <w:pPr>
        <w:pStyle w:val="TextBody"/>
        <w:bidi w:val="0"/>
        <w:spacing w:before="90" w:after="283"/>
        <w:jc w:val="left"/>
        <w:rPr/>
      </w:pPr>
      <w:r>
        <w:rPr>
          <w:color w:val="000000"/>
        </w:rPr>
        <w:t>“</w:t>
      </w:r>
      <w:r>
        <w:rPr>
          <w:rFonts w:ascii="Times New Roman" w:hAnsi="Times New Roman"/>
          <w:b/>
          <w:color w:val="000000"/>
          <w:sz w:val="20"/>
          <w:u w:val="single"/>
        </w:rPr>
        <w:t>2023 Credit Facility</w:t>
      </w:r>
      <w:r>
        <w:rPr>
          <w:rFonts w:ascii="Times New Roman" w:hAnsi="Times New Roman"/>
          <w:color w:val="000000"/>
          <w:sz w:val="20"/>
        </w:rPr>
        <w:t>” means the Loan, Security and Guarantee Agreement, dated as of August 7, 2023, by and among the Company, as a borrower, the other Obligors (as defined therein) party thereto from time to time, the financial institutions from time to time that are parties thereto as lenders and CIT Northbridge Credit LLC, a Delaware limited liability company, as agent for the Secured Parties (as defined therein), as amended, modified or supplemented from time to time and any extension, refunding, refinancing or replacement (in whole or in part) thereof.</w:t>
      </w:r>
    </w:p>
    <w:p>
      <w:pPr>
        <w:pStyle w:val="TextBody"/>
        <w:bidi w:val="0"/>
        <w:spacing w:before="90" w:after="283"/>
        <w:jc w:val="left"/>
        <w:rPr/>
      </w:pPr>
      <w:r>
        <w:rPr>
          <w:color w:val="000000"/>
        </w:rPr>
        <w:t>“</w:t>
      </w:r>
      <w:r>
        <w:rPr>
          <w:rFonts w:ascii="Times New Roman" w:hAnsi="Times New Roman"/>
          <w:b/>
          <w:color w:val="000000"/>
          <w:sz w:val="20"/>
          <w:u w:val="single"/>
        </w:rPr>
        <w:t>Adjusted Capital Account Balance</w:t>
      </w:r>
      <w:r>
        <w:rPr>
          <w:rFonts w:ascii="Times New Roman" w:hAnsi="Times New Roman"/>
          <w:color w:val="000000"/>
          <w:sz w:val="20"/>
        </w:rPr>
        <w:t>” means, with respect to any Member, the balance in such Member’s Capital Account after giving effect to the following adjustments: (a) debits to such Capital Account of the items described in Section l.704-1(b)(2)(ii)(d)(4-6) of the Treasury Regulations, and (b) credits to such Capital Account of such Member’s share of Partnership Minimum Gain or Partner Nonrecourse Debt Minimum Gain or of any amount which such Member would be required to restore under this Agreement or otherwise. The foregoing definition of Adjusted Capital Account Balance is intended to comply with the provisions of Section l.704-1(b)(2)(ii)(d) of the Treasury Regulations and shall be interpreted consistently therewith.</w:t>
      </w:r>
    </w:p>
    <w:p>
      <w:pPr>
        <w:pStyle w:val="TextBody"/>
        <w:bidi w:val="0"/>
        <w:spacing w:before="180" w:after="283"/>
        <w:jc w:val="left"/>
        <w:rPr/>
      </w:pPr>
      <w:r>
        <w:rPr>
          <w:color w:val="000000"/>
        </w:rPr>
        <w:t>“</w:t>
      </w:r>
      <w:r>
        <w:rPr>
          <w:rFonts w:ascii="Times New Roman" w:hAnsi="Times New Roman"/>
          <w:b/>
          <w:color w:val="000000"/>
          <w:sz w:val="20"/>
          <w:u w:val="single"/>
        </w:rPr>
        <w:t>Affiliate</w:t>
      </w:r>
      <w:r>
        <w:rPr>
          <w:rFonts w:ascii="Times New Roman" w:hAnsi="Times New Roman"/>
          <w:color w:val="000000"/>
          <w:sz w:val="20"/>
        </w:rPr>
        <w:t>” means with respect to any Person, any Person that directly or indirectly, through one or more intermediaries Controls, is Controlled by or is under common Control with such Person. Notwithstanding the foregoing, (i) no Member shall be deemed an Affiliate of the Company, (ii) the Company shall not be deemed an Affiliate of any Member, (iii) no stockholder of REG, or any of such stockholder’s Affiliates (other than REG and its Subsidiaries) shall be deemed an Affiliate of any Member or the Company, (iv) no stockholder of Marquee Holdings, or any of such stockholder’s Affiliates (other than Marquee Holdings and its Subsidiaries) shall be deemed an Affiliate of any Member or the Company, (v) no stockholder of Cinemark, or any of such stockholder’s Affiliates (other than Cinemark and its Subsidiaries) shall be deemed an Affiliate of any Member or the Company, (vi) no stockholder of NCM Inc. shall be deemed an Affiliate of NCM Inc., and (vii) NCM Inc. shall not be deemed an Affiliate of any stockholder of NCM Inc.</w:t>
      </w:r>
    </w:p>
    <w:p>
      <w:pPr>
        <w:pStyle w:val="TextBody"/>
        <w:bidi w:val="0"/>
        <w:spacing w:before="180" w:after="283"/>
        <w:jc w:val="left"/>
        <w:rPr/>
      </w:pPr>
      <w:r>
        <w:rPr>
          <w:color w:val="000000"/>
        </w:rPr>
        <w:t>“</w:t>
      </w:r>
      <w:r>
        <w:rPr>
          <w:rFonts w:ascii="Times New Roman" w:hAnsi="Times New Roman"/>
          <w:b/>
          <w:color w:val="000000"/>
          <w:sz w:val="20"/>
          <w:u w:val="single"/>
        </w:rPr>
        <w:t>Agreement</w:t>
      </w:r>
      <w:r>
        <w:rPr>
          <w:rFonts w:ascii="Times New Roman" w:hAnsi="Times New Roman"/>
          <w:color w:val="000000"/>
          <w:sz w:val="20"/>
        </w:rPr>
        <w:t>” has the meaning set forth in the preamble of this Agreement, as the same may be amended, supplemented or otherwise modified from time to time.</w:t>
      </w:r>
    </w:p>
    <w:p>
      <w:pPr>
        <w:pStyle w:val="TextBody"/>
        <w:bidi w:val="0"/>
        <w:spacing w:before="180" w:after="283"/>
        <w:jc w:val="left"/>
        <w:rPr/>
      </w:pPr>
      <w:r>
        <w:rPr>
          <w:color w:val="000000"/>
        </w:rPr>
        <w:t>“</w:t>
      </w:r>
      <w:r>
        <w:rPr>
          <w:rFonts w:ascii="Times New Roman" w:hAnsi="Times New Roman"/>
          <w:b/>
          <w:color w:val="000000"/>
          <w:sz w:val="20"/>
          <w:u w:val="single"/>
        </w:rPr>
        <w:t>AMC</w:t>
      </w:r>
      <w:r>
        <w:rPr>
          <w:rFonts w:ascii="Times New Roman" w:hAnsi="Times New Roman"/>
          <w:color w:val="000000"/>
          <w:sz w:val="20"/>
        </w:rPr>
        <w:t>” has the meaning set forth in the Recitals of this Agreement or its successor.</w:t>
      </w:r>
    </w:p>
    <w:p>
      <w:pPr>
        <w:pStyle w:val="TextBody"/>
        <w:bidi w:val="0"/>
        <w:spacing w:before="180" w:after="283"/>
        <w:jc w:val="left"/>
        <w:rPr/>
      </w:pPr>
      <w:r>
        <w:rPr>
          <w:color w:val="000000"/>
        </w:rPr>
        <w:t>“</w:t>
      </w:r>
      <w:r>
        <w:rPr>
          <w:rFonts w:ascii="Times New Roman" w:hAnsi="Times New Roman"/>
          <w:b/>
          <w:color w:val="000000"/>
          <w:sz w:val="20"/>
          <w:u w:val="single"/>
        </w:rPr>
        <w:t>AMC Founding Member</w:t>
      </w:r>
      <w:r>
        <w:rPr>
          <w:rFonts w:ascii="Times New Roman" w:hAnsi="Times New Roman"/>
          <w:color w:val="000000"/>
          <w:sz w:val="20"/>
        </w:rPr>
        <w:t>” has the meaning set forth in the Recitals of this Agreement.</w:t>
      </w:r>
    </w:p>
    <w:p>
      <w:pPr>
        <w:pStyle w:val="TextBody"/>
        <w:bidi w:val="0"/>
        <w:spacing w:before="180" w:after="283"/>
        <w:jc w:val="left"/>
        <w:rPr/>
      </w:pPr>
      <w:r>
        <w:rPr>
          <w:color w:val="000000"/>
        </w:rPr>
        <w:t>“</w:t>
      </w:r>
      <w:r>
        <w:rPr>
          <w:rFonts w:ascii="Times New Roman" w:hAnsi="Times New Roman"/>
          <w:b/>
          <w:color w:val="000000"/>
          <w:sz w:val="20"/>
          <w:u w:val="single"/>
        </w:rPr>
        <w:t>Applicable Tax Rate</w:t>
      </w:r>
      <w:r>
        <w:rPr>
          <w:rFonts w:ascii="Times New Roman" w:hAnsi="Times New Roman"/>
          <w:color w:val="000000"/>
          <w:sz w:val="20"/>
        </w:rPr>
        <w:t xml:space="preserve">” means (i) 40% or (ii) if, at the time of the relevant Permitted Tax Distribution (as defined in the 2023 Credit Facility), the highest combined federal, state and local marginal rate applicable to </w:t>
      </w:r>
    </w:p>
    <w:p>
      <w:pPr>
        <w:pStyle w:val="HorizontalLine"/>
        <w:pBdr>
          <w:bottom w:val="double" w:sz="2" w:space="0" w:color="808080"/>
        </w:pBdr>
        <w:bidi w:val="0"/>
        <w:spacing w:before="0" w:after="283"/>
        <w:jc w:val="left"/>
        <w:rPr/>
      </w:pPr>
      <w:r>
        <w:rPr/>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corporate taxpayers residing in New York City, New York, taking into account the deductibility of state and local income taxes for federal income tax purposes shall exceed 40%, such higher rate.</w:t>
      </w:r>
    </w:p>
    <w:p>
      <w:pPr>
        <w:pStyle w:val="TextBody"/>
        <w:bidi w:val="0"/>
        <w:jc w:val="left"/>
        <w:rPr/>
      </w:pPr>
      <w:r>
        <w:rPr>
          <w:color w:val="000000"/>
        </w:rPr>
        <w:t>“</w:t>
      </w:r>
      <w:r>
        <w:rPr>
          <w:rFonts w:ascii="Times New Roman" w:hAnsi="Times New Roman"/>
          <w:b/>
          <w:color w:val="000000"/>
          <w:sz w:val="20"/>
          <w:u w:val="single"/>
        </w:rPr>
        <w:t>Available Cash</w:t>
      </w:r>
      <w:r>
        <w:rPr>
          <w:rFonts w:ascii="Times New Roman" w:hAnsi="Times New Roman"/>
          <w:color w:val="000000"/>
          <w:sz w:val="20"/>
        </w:rPr>
        <w:t xml:space="preserve">” means for a particular period: (i) the Company’s earnings before interest, taxes, depreciation and amortization (as determined in accordance with GAAP); </w:t>
      </w:r>
      <w:r>
        <w:rPr>
          <w:rFonts w:ascii="Times New Roman" w:hAnsi="Times New Roman"/>
          <w:color w:val="000000"/>
          <w:sz w:val="20"/>
          <w:u w:val="single"/>
        </w:rPr>
        <w:t>plus</w:t>
      </w:r>
      <w:r>
        <w:rPr>
          <w:rFonts w:ascii="Times New Roman" w:hAnsi="Times New Roman"/>
          <w:color w:val="000000"/>
          <w:sz w:val="20"/>
        </w:rPr>
        <w:t xml:space="preserve"> (ii) non-cash items of deduction or loss (other than items related to barter transactions) subtracted in determining the Company’s earnings under clause (i); </w:t>
      </w:r>
      <w:r>
        <w:rPr>
          <w:rFonts w:ascii="Times New Roman" w:hAnsi="Times New Roman"/>
          <w:color w:val="000000"/>
          <w:sz w:val="20"/>
          <w:u w:val="single"/>
        </w:rPr>
        <w:t>plus</w:t>
      </w:r>
      <w:r>
        <w:rPr>
          <w:rFonts w:ascii="Times New Roman" w:hAnsi="Times New Roman"/>
          <w:color w:val="000000"/>
          <w:sz w:val="20"/>
        </w:rPr>
        <w:t xml:space="preserve"> (iii) interest income received by the Company to the extent such income is not otherwise included in determining the Company’s earnings under clause (i); </w:t>
      </w:r>
      <w:r>
        <w:rPr>
          <w:rFonts w:ascii="Times New Roman" w:hAnsi="Times New Roman"/>
          <w:color w:val="000000"/>
          <w:sz w:val="20"/>
          <w:u w:val="single"/>
        </w:rPr>
        <w:t>plus</w:t>
      </w:r>
      <w:r>
        <w:rPr>
          <w:rFonts w:ascii="Times New Roman" w:hAnsi="Times New Roman"/>
          <w:color w:val="000000"/>
          <w:sz w:val="20"/>
        </w:rPr>
        <w:t xml:space="preserve"> (iv) amounts received by the Company pursuant to the Loews Agreement or other similar agreements to the extent such amounts are not otherwise included in determining the Company’s earnings under clause (i); </w:t>
      </w:r>
      <w:r>
        <w:rPr>
          <w:rFonts w:ascii="Times New Roman" w:hAnsi="Times New Roman"/>
          <w:color w:val="000000"/>
          <w:sz w:val="20"/>
          <w:u w:val="single"/>
        </w:rPr>
        <w:t>plus</w:t>
      </w:r>
      <w:r>
        <w:rPr>
          <w:rFonts w:ascii="Times New Roman" w:hAnsi="Times New Roman"/>
          <w:color w:val="000000"/>
          <w:sz w:val="20"/>
        </w:rPr>
        <w:t xml:space="preserve"> (v) amounts received by the Company pursuant to the Common Unit Adjustment Agreement to the extent such amounts are not otherwise included in determining the Company’s earnings under clause (i); </w:t>
      </w:r>
      <w:r>
        <w:rPr>
          <w:rFonts w:ascii="Times New Roman" w:hAnsi="Times New Roman"/>
          <w:color w:val="000000"/>
          <w:sz w:val="20"/>
          <w:u w:val="single"/>
        </w:rPr>
        <w:t>plus</w:t>
      </w:r>
      <w:r>
        <w:rPr>
          <w:rFonts w:ascii="Times New Roman" w:hAnsi="Times New Roman"/>
          <w:color w:val="000000"/>
          <w:sz w:val="20"/>
        </w:rPr>
        <w:t xml:space="preserve"> (vi) amounts received by the Company pursuant to Section 3.5(c) to the extent such amounts are not otherwise included in determining the Company’s earnings under clause (i); </w:t>
      </w:r>
      <w:r>
        <w:rPr>
          <w:rFonts w:ascii="Times New Roman" w:hAnsi="Times New Roman"/>
          <w:color w:val="000000"/>
          <w:sz w:val="20"/>
          <w:u w:val="single"/>
        </w:rPr>
        <w:t>plus</w:t>
      </w:r>
      <w:r>
        <w:rPr>
          <w:rFonts w:ascii="Times New Roman" w:hAnsi="Times New Roman"/>
          <w:color w:val="000000"/>
          <w:sz w:val="20"/>
        </w:rPr>
        <w:t xml:space="preserve"> (vii) net proceeds (after expenses attributable to the sale) from the sale of Company assets to the extent such proceeds are not otherwise included in determining the Company’s earnings under clause (i); </w:t>
      </w:r>
      <w:r>
        <w:rPr>
          <w:rFonts w:ascii="Times New Roman" w:hAnsi="Times New Roman"/>
          <w:color w:val="000000"/>
          <w:sz w:val="20"/>
          <w:u w:val="single"/>
        </w:rPr>
        <w:t>plus</w:t>
      </w:r>
      <w:r>
        <w:rPr>
          <w:rFonts w:ascii="Times New Roman" w:hAnsi="Times New Roman"/>
          <w:color w:val="000000"/>
          <w:sz w:val="20"/>
        </w:rPr>
        <w:t xml:space="preserve"> (viii) for the second Fiscal Period of each Fiscal Year, the amount of any Distribution Increase attributable to the Distribution Year; </w:t>
      </w:r>
      <w:r>
        <w:rPr>
          <w:rFonts w:ascii="Times New Roman" w:hAnsi="Times New Roman"/>
          <w:color w:val="000000"/>
          <w:sz w:val="20"/>
          <w:u w:val="single"/>
        </w:rPr>
        <w:t>plus</w:t>
      </w:r>
      <w:r>
        <w:rPr>
          <w:rFonts w:ascii="Times New Roman" w:hAnsi="Times New Roman"/>
          <w:color w:val="000000"/>
          <w:sz w:val="20"/>
        </w:rPr>
        <w:t xml:space="preserve"> (ix) for the fourth Fiscal Period of each Fiscal Year, any amounts that the Company was not permitted to distribute to the Members for each of the immediately preceding three Fiscal Periods of such Fiscal Year as a result of the application of Section 10.2.4 of the 2023 Credit Facility (to the extent such amounts are not restricted under Section 10.2.4 of the 2023 Credit Facility as of the last day of the fourth Fiscal Period); </w:t>
      </w:r>
      <w:r>
        <w:rPr>
          <w:rFonts w:ascii="Times New Roman" w:hAnsi="Times New Roman"/>
          <w:color w:val="000000"/>
          <w:sz w:val="20"/>
          <w:u w:val="single"/>
        </w:rPr>
        <w:t>less</w:t>
      </w:r>
      <w:r>
        <w:rPr>
          <w:rFonts w:ascii="Times New Roman" w:hAnsi="Times New Roman"/>
          <w:color w:val="000000"/>
          <w:sz w:val="20"/>
        </w:rPr>
        <w:t xml:space="preserve"> (x) non-cash items of income or gain (other than items related to barter transactions) added in determining the Company’s earnings under clause (i); </w:t>
      </w:r>
      <w:r>
        <w:rPr>
          <w:rFonts w:ascii="Times New Roman" w:hAnsi="Times New Roman"/>
          <w:color w:val="000000"/>
          <w:sz w:val="20"/>
          <w:u w:val="single"/>
        </w:rPr>
        <w:t>less</w:t>
      </w:r>
      <w:r>
        <w:rPr>
          <w:rFonts w:ascii="Times New Roman" w:hAnsi="Times New Roman"/>
          <w:color w:val="000000"/>
          <w:sz w:val="20"/>
        </w:rPr>
        <w:t xml:space="preserve"> (xi) amounts paid by the Company pursuant to the Exhibitor Services Agreements, the Management Services Agreement or other similar agreements to the extent such amounts are not otherwise deducted in determining the Company’s earnings under clause (i); </w:t>
      </w:r>
      <w:r>
        <w:rPr>
          <w:rFonts w:ascii="Times New Roman" w:hAnsi="Times New Roman"/>
          <w:color w:val="000000"/>
          <w:sz w:val="20"/>
          <w:u w:val="single"/>
        </w:rPr>
        <w:t>less</w:t>
      </w:r>
      <w:r>
        <w:rPr>
          <w:rFonts w:ascii="Times New Roman" w:hAnsi="Times New Roman"/>
          <w:color w:val="000000"/>
          <w:sz w:val="20"/>
        </w:rPr>
        <w:t xml:space="preserve"> (xii) amounts paid by the Company pursuant to the Common Unit Adjustment Agreement to the extent such amounts are not otherwise deducted in determining the Company’s earnings under clause (i); </w:t>
      </w:r>
      <w:r>
        <w:rPr>
          <w:rFonts w:ascii="Times New Roman" w:hAnsi="Times New Roman"/>
          <w:color w:val="000000"/>
          <w:sz w:val="20"/>
          <w:u w:val="single"/>
        </w:rPr>
        <w:t>less</w:t>
      </w:r>
      <w:r>
        <w:rPr>
          <w:rFonts w:ascii="Times New Roman" w:hAnsi="Times New Roman"/>
          <w:color w:val="000000"/>
          <w:sz w:val="20"/>
        </w:rPr>
        <w:t xml:space="preserve"> (xiii) taxes paid by the Company; </w:t>
      </w:r>
      <w:r>
        <w:rPr>
          <w:rFonts w:ascii="Times New Roman" w:hAnsi="Times New Roman"/>
          <w:color w:val="000000"/>
          <w:sz w:val="20"/>
          <w:u w:val="single"/>
        </w:rPr>
        <w:t>less</w:t>
      </w:r>
      <w:r>
        <w:rPr>
          <w:rFonts w:ascii="Times New Roman" w:hAnsi="Times New Roman"/>
          <w:color w:val="000000"/>
          <w:sz w:val="20"/>
        </w:rPr>
        <w:t xml:space="preserve"> (xiv) Capital Expenditures made by the Company; </w:t>
      </w:r>
      <w:r>
        <w:rPr>
          <w:rFonts w:ascii="Times New Roman" w:hAnsi="Times New Roman"/>
          <w:color w:val="000000"/>
          <w:sz w:val="20"/>
          <w:u w:val="single"/>
        </w:rPr>
        <w:t>less</w:t>
      </w:r>
      <w:r>
        <w:rPr>
          <w:rFonts w:ascii="Times New Roman" w:hAnsi="Times New Roman"/>
          <w:color w:val="000000"/>
          <w:sz w:val="20"/>
        </w:rPr>
        <w:t xml:space="preserve"> (xv) for the second Fiscal Period of each Fiscal Year, the amount of any Distribution Decrease attributable to the Distribution Year; </w:t>
      </w:r>
      <w:r>
        <w:rPr>
          <w:rFonts w:ascii="Times New Roman" w:hAnsi="Times New Roman"/>
          <w:color w:val="000000"/>
          <w:sz w:val="20"/>
          <w:u w:val="single"/>
        </w:rPr>
        <w:t>less</w:t>
      </w:r>
      <w:r>
        <w:rPr>
          <w:rFonts w:ascii="Times New Roman" w:hAnsi="Times New Roman"/>
          <w:color w:val="000000"/>
          <w:sz w:val="20"/>
        </w:rPr>
        <w:t xml:space="preserve"> (xvi) interest paid by the Company on Funded Indebtedness; </w:t>
      </w:r>
      <w:r>
        <w:rPr>
          <w:rFonts w:ascii="Times New Roman" w:hAnsi="Times New Roman"/>
          <w:color w:val="000000"/>
          <w:sz w:val="20"/>
          <w:u w:val="single"/>
        </w:rPr>
        <w:t>less</w:t>
      </w:r>
      <w:r>
        <w:rPr>
          <w:rFonts w:ascii="Times New Roman" w:hAnsi="Times New Roman"/>
          <w:color w:val="000000"/>
          <w:sz w:val="20"/>
        </w:rPr>
        <w:t xml:space="preserve"> (xvii) mandatory principal payments made by the Company on Funded Indebtedness to the extent such principal payments are made from funds other than funds that were restricted pursuant to Section 10.2.4 of the 2023 Credit Facility; </w:t>
      </w:r>
      <w:r>
        <w:rPr>
          <w:rFonts w:ascii="Times New Roman" w:hAnsi="Times New Roman"/>
          <w:color w:val="000000"/>
          <w:sz w:val="20"/>
          <w:u w:val="single"/>
        </w:rPr>
        <w:t>less</w:t>
      </w:r>
      <w:r>
        <w:rPr>
          <w:rFonts w:ascii="Times New Roman" w:hAnsi="Times New Roman"/>
          <w:color w:val="000000"/>
          <w:sz w:val="20"/>
        </w:rPr>
        <w:t xml:space="preserve"> (xviii) amounts (other than interest and principal payments) paid by the Company with respect to Funded Indebtedness to the extent such amounts are not otherwise deducted in determining the Company’s earnings under clause (i);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(a) amounts borrowed under, and optional principal payments made on, the 2023 Credit Facility shall not be taken into account in determining Available Cash; (b) amounts received or paid by the Company pursuant to the terms of the Tax Receivable Agreement shall not be taken into account in determining Available Cash; and (c) for the Fiscal Period that includes the date of this Agreement, Available Cash shall be determined beginning on the day following the date of this Agreement through the last day of such Fiscal Period.</w:t>
      </w:r>
    </w:p>
    <w:p>
      <w:pPr>
        <w:pStyle w:val="TextBody"/>
        <w:bidi w:val="0"/>
        <w:spacing w:before="180" w:after="283"/>
        <w:jc w:val="left"/>
        <w:rPr/>
      </w:pPr>
      <w:r>
        <w:rPr>
          <w:color w:val="000000"/>
        </w:rPr>
        <w:t>“</w:t>
      </w:r>
      <w:r>
        <w:rPr>
          <w:rFonts w:ascii="Times New Roman" w:hAnsi="Times New Roman"/>
          <w:b/>
          <w:color w:val="000000"/>
          <w:sz w:val="20"/>
          <w:u w:val="single"/>
        </w:rPr>
        <w:t>Beneficial Owner</w:t>
      </w:r>
      <w:r>
        <w:rPr>
          <w:rFonts w:ascii="Times New Roman" w:hAnsi="Times New Roman"/>
          <w:color w:val="000000"/>
          <w:sz w:val="20"/>
        </w:rPr>
        <w:t>” or “</w:t>
      </w:r>
      <w:r>
        <w:rPr>
          <w:rFonts w:ascii="Times New Roman" w:hAnsi="Times New Roman"/>
          <w:b/>
          <w:color w:val="000000"/>
          <w:sz w:val="20"/>
        </w:rPr>
        <w:t>beneficial owner</w:t>
      </w:r>
      <w:r>
        <w:rPr>
          <w:rFonts w:ascii="Times New Roman" w:hAnsi="Times New Roman"/>
          <w:color w:val="000000"/>
          <w:sz w:val="20"/>
        </w:rPr>
        <w:t>” (including, with correlative meanings, the terms “</w:t>
      </w:r>
      <w:r>
        <w:rPr>
          <w:rFonts w:ascii="Times New Roman" w:hAnsi="Times New Roman"/>
          <w:b/>
          <w:color w:val="000000"/>
          <w:sz w:val="20"/>
        </w:rPr>
        <w:t>beneficial ownership</w:t>
      </w:r>
      <w:r>
        <w:rPr>
          <w:rFonts w:ascii="Times New Roman" w:hAnsi="Times New Roman"/>
          <w:color w:val="000000"/>
          <w:sz w:val="20"/>
        </w:rPr>
        <w:t>” and “</w:t>
      </w:r>
      <w:r>
        <w:rPr>
          <w:rFonts w:ascii="Times New Roman" w:hAnsi="Times New Roman"/>
          <w:b/>
          <w:color w:val="000000"/>
          <w:sz w:val="20"/>
        </w:rPr>
        <w:t>beneficially owns</w:t>
      </w:r>
      <w:r>
        <w:rPr>
          <w:rFonts w:ascii="Times New Roman" w:hAnsi="Times New Roman"/>
          <w:color w:val="000000"/>
          <w:sz w:val="20"/>
        </w:rPr>
        <w:t>”) has the meaning attributed to it in Rules 13d-3 and 13d-5 under the Exchange Act, whether or not applicable, except that a Person shall be deemed to have Beneficial Ownership of all Units that any such Person has the right to acquire, whether such right is exercisable immediately or only after the passage of time or is exercisable only upon the occurrence of a subsequent condition.</w:t>
      </w:r>
    </w:p>
    <w:p>
      <w:pPr>
        <w:pStyle w:val="TextBody"/>
        <w:bidi w:val="0"/>
        <w:spacing w:before="180" w:after="283"/>
        <w:jc w:val="left"/>
        <w:rPr/>
      </w:pPr>
      <w:r>
        <w:rPr>
          <w:color w:val="000000"/>
        </w:rPr>
        <w:t>“</w:t>
      </w:r>
      <w:r>
        <w:rPr>
          <w:rFonts w:ascii="Times New Roman" w:hAnsi="Times New Roman"/>
          <w:b/>
          <w:color w:val="000000"/>
          <w:sz w:val="20"/>
          <w:u w:val="single"/>
        </w:rPr>
        <w:t>Board</w:t>
      </w:r>
      <w:r>
        <w:rPr>
          <w:rFonts w:ascii="Times New Roman" w:hAnsi="Times New Roman"/>
          <w:color w:val="000000"/>
          <w:sz w:val="20"/>
        </w:rPr>
        <w:t>” has the meaning set forth in Section 1.1 of the First Amended Agreement.</w:t>
      </w:r>
    </w:p>
    <w:p>
      <w:pPr>
        <w:pStyle w:val="TextBody"/>
        <w:bidi w:val="0"/>
        <w:spacing w:before="180" w:after="283"/>
        <w:jc w:val="left"/>
        <w:rPr/>
      </w:pPr>
      <w:r>
        <w:rPr>
          <w:color w:val="000000"/>
        </w:rPr>
        <w:t>“</w:t>
      </w:r>
      <w:r>
        <w:rPr>
          <w:rFonts w:ascii="Times New Roman" w:hAnsi="Times New Roman"/>
          <w:b/>
          <w:color w:val="000000"/>
          <w:sz w:val="20"/>
          <w:u w:val="single"/>
        </w:rPr>
        <w:t>Budget</w:t>
      </w:r>
      <w:r>
        <w:rPr>
          <w:rFonts w:ascii="Times New Roman" w:hAnsi="Times New Roman"/>
          <w:color w:val="000000"/>
          <w:sz w:val="20"/>
        </w:rPr>
        <w:t>” means an annual operating and capital budget of the Company, including, among other things, anticipated revenues, expenditures (capital and operating), and cash and capital requirements (including any additional capital contributions) of the Company for the following year.</w:t>
      </w:r>
    </w:p>
    <w:p>
      <w:pPr>
        <w:pStyle w:val="TextBody"/>
        <w:bidi w:val="0"/>
        <w:spacing w:before="180" w:after="283"/>
        <w:jc w:val="left"/>
        <w:rPr/>
      </w:pPr>
      <w:r>
        <w:rPr>
          <w:color w:val="000000"/>
        </w:rPr>
        <w:t>“</w:t>
      </w:r>
      <w:r>
        <w:rPr>
          <w:rFonts w:ascii="Times New Roman" w:hAnsi="Times New Roman"/>
          <w:b/>
          <w:color w:val="000000"/>
          <w:sz w:val="20"/>
          <w:u w:val="single"/>
        </w:rPr>
        <w:t>Business Day</w:t>
      </w:r>
      <w:r>
        <w:rPr>
          <w:rFonts w:ascii="Times New Roman" w:hAnsi="Times New Roman"/>
          <w:color w:val="000000"/>
          <w:sz w:val="20"/>
        </w:rPr>
        <w:t>” means a day other than a Saturday, Sunday, federal holiday or other day on which commercial banks in New York, New York are authorized or required by law to close.</w:t>
      </w:r>
    </w:p>
    <w:p>
      <w:pPr>
        <w:pStyle w:val="TextBody"/>
        <w:bidi w:val="0"/>
        <w:spacing w:before="180" w:after="283"/>
        <w:jc w:val="left"/>
        <w:rPr/>
      </w:pPr>
      <w:r>
        <w:rPr>
          <w:color w:val="000000"/>
        </w:rPr>
        <w:t>“</w:t>
      </w:r>
      <w:r>
        <w:rPr>
          <w:rFonts w:ascii="Times New Roman" w:hAnsi="Times New Roman"/>
          <w:b/>
          <w:color w:val="000000"/>
          <w:sz w:val="20"/>
          <w:u w:val="single"/>
        </w:rPr>
        <w:t>Capital Account</w:t>
      </w:r>
      <w:r>
        <w:rPr>
          <w:rFonts w:ascii="Times New Roman" w:hAnsi="Times New Roman"/>
          <w:color w:val="000000"/>
          <w:sz w:val="20"/>
        </w:rPr>
        <w:t>” has the meaning set forth in Section 6.3(a) of this Agreement.</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color w:val="000000"/>
        </w:rPr>
        <w:t>“</w:t>
      </w:r>
      <w:r>
        <w:rPr>
          <w:rFonts w:ascii="Times New Roman" w:hAnsi="Times New Roman"/>
          <w:b/>
          <w:color w:val="000000"/>
          <w:sz w:val="20"/>
          <w:u w:val="single"/>
        </w:rPr>
        <w:t>Capital Contribution</w:t>
      </w:r>
      <w:r>
        <w:rPr>
          <w:rFonts w:ascii="Times New Roman" w:hAnsi="Times New Roman"/>
          <w:color w:val="000000"/>
          <w:sz w:val="20"/>
        </w:rPr>
        <w:t>” means the total amount of cash and the agreed fair market value (net of all liabilities secured by such assets that the Company is considered to assume or take subject to under Section 752 of the Code) of all other assets contributed to the Company by a Member.</w:t>
      </w:r>
    </w:p>
    <w:p>
      <w:pPr>
        <w:pStyle w:val="TextBody"/>
        <w:bidi w:val="0"/>
        <w:spacing w:before="180" w:after="283"/>
        <w:jc w:val="left"/>
        <w:rPr/>
      </w:pPr>
      <w:r>
        <w:rPr>
          <w:color w:val="000000"/>
        </w:rPr>
        <w:t>“</w:t>
      </w:r>
      <w:r>
        <w:rPr>
          <w:rFonts w:ascii="Times New Roman" w:hAnsi="Times New Roman"/>
          <w:b/>
          <w:color w:val="000000"/>
          <w:sz w:val="20"/>
          <w:u w:val="single"/>
        </w:rPr>
        <w:t>Capital Expenditures</w:t>
      </w:r>
      <w:r>
        <w:rPr>
          <w:rFonts w:ascii="Times New Roman" w:hAnsi="Times New Roman"/>
          <w:color w:val="000000"/>
          <w:sz w:val="20"/>
        </w:rPr>
        <w:t>” means all expenditures by the Company for the acquisition or leasing (pursuant to a capital lease) of fixed or capital assets or additions to equipment (including replacements, capitalized repairs and improvements) that the Company is required to capitalize for financial reporting purposes in accordance with GAAP.</w:t>
      </w:r>
    </w:p>
    <w:p>
      <w:pPr>
        <w:pStyle w:val="TextBody"/>
        <w:bidi w:val="0"/>
        <w:spacing w:before="180" w:after="283"/>
        <w:jc w:val="left"/>
        <w:rPr/>
      </w:pPr>
      <w:r>
        <w:rPr>
          <w:color w:val="000000"/>
        </w:rPr>
        <w:t>“</w:t>
      </w:r>
      <w:r>
        <w:rPr>
          <w:rFonts w:ascii="Times New Roman" w:hAnsi="Times New Roman"/>
          <w:b/>
          <w:color w:val="000000"/>
          <w:sz w:val="20"/>
          <w:u w:val="single"/>
        </w:rPr>
        <w:t>Carrying Value</w:t>
      </w:r>
      <w:r>
        <w:rPr>
          <w:rFonts w:ascii="Times New Roman" w:hAnsi="Times New Roman"/>
          <w:color w:val="000000"/>
          <w:sz w:val="20"/>
        </w:rPr>
        <w:t xml:space="preserve">” means, with respect to any asset of the Company, the asset’s adjusted basis for federal income tax purposes, except that the Carrying Values of all assets of the Company shall be adjusted to equal their respective fair market values, in accordance with the rules, events, and times, set forth in Treasury Regulations Section l.704-l(b)(2)(iv)(f) and otherwise provided for in the rules governing maintenance of Capital Accounts under Treasury Regulations, except as otherwise provided herein;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such adjustments shall be made only if the Manager reasonably determines that such adjustments are necessary or appropriate to reflect the relative economic interests of the Members. The Carrying Value of any asset of the Company distributed to any Member shall be adjusted immediately prior to such distribution to equal its fair market value and depreciation shall be calculated by reference to Carrying Value, instead of tax basis, once Carrying Value differs from tax basis. The Carrying Value of any asset contributed (or deemed contributed under Treasury Regulations Section l.704-1(b)(1)(iv)) by a Member to the Company will be the fair market value of the asset at the date of its contribution thereto.</w:t>
      </w:r>
    </w:p>
    <w:p>
      <w:pPr>
        <w:pStyle w:val="TextBody"/>
        <w:bidi w:val="0"/>
        <w:spacing w:before="180" w:after="283"/>
        <w:jc w:val="left"/>
        <w:rPr/>
      </w:pPr>
      <w:r>
        <w:rPr>
          <w:color w:val="000000"/>
        </w:rPr>
        <w:t>“</w:t>
      </w:r>
      <w:r>
        <w:rPr>
          <w:rFonts w:ascii="Times New Roman" w:hAnsi="Times New Roman"/>
          <w:b/>
          <w:color w:val="000000"/>
          <w:sz w:val="20"/>
          <w:u w:val="single"/>
        </w:rPr>
        <w:t>Cash Equivalents</w:t>
      </w:r>
      <w:r>
        <w:rPr>
          <w:rFonts w:ascii="Times New Roman" w:hAnsi="Times New Roman"/>
          <w:color w:val="000000"/>
          <w:sz w:val="20"/>
        </w:rPr>
        <w:t>” means any of the following denominated in U.S. Dollars: (i) marketable direct obligations issued or unconditionally guaranteed by the government of the United States or issued by any agency thereof and backed by the full faith and credit of the United States maturing within one year from the date of acquisition thereof; (ii) marketable direct obligations issued by any state of the United States or any political subdivision of any such state or any public instrumentality thereof maturing within one year from the date of acquisition thereof and, at the time of acquisition, having the highest rating obtainable from any of Standard &amp; Poor’s Corporation or any successor rating agency (“</w:t>
      </w:r>
      <w:r>
        <w:rPr>
          <w:rFonts w:ascii="Times New Roman" w:hAnsi="Times New Roman"/>
          <w:b/>
          <w:color w:val="000000"/>
          <w:sz w:val="20"/>
          <w:u w:val="single"/>
        </w:rPr>
        <w:t>S&amp;P</w:t>
      </w:r>
      <w:r>
        <w:rPr>
          <w:rFonts w:ascii="Times New Roman" w:hAnsi="Times New Roman"/>
          <w:color w:val="000000"/>
          <w:sz w:val="20"/>
        </w:rPr>
        <w:t>”) or Moody’s Investors Service, Inc. or any successor rating agency (“</w:t>
      </w:r>
      <w:r>
        <w:rPr>
          <w:rFonts w:ascii="Times New Roman" w:hAnsi="Times New Roman"/>
          <w:b/>
          <w:color w:val="000000"/>
          <w:sz w:val="20"/>
          <w:u w:val="single"/>
        </w:rPr>
        <w:t>Moody’s</w:t>
      </w:r>
      <w:r>
        <w:rPr>
          <w:rFonts w:ascii="Times New Roman" w:hAnsi="Times New Roman"/>
          <w:color w:val="000000"/>
          <w:sz w:val="20"/>
        </w:rPr>
        <w:t>”); (iii) commercial paper maturing not more than one year from the date of issuance thereof and, at the time of acquisition, having the highest rating obtainable from either S&amp;P or Moody’s; (iv) time deposits, certificates of deposit or bankers’ acceptances, maturing not more than one year from the date of issuance thereof, of any commercial bank or trust company having capital and surplus in excess of $500,000,000 and the commercial paper of the holding company of which has the highest rating obtainable from either S&amp;P or Moody’s; or (v) investments in money market funds complying with the risk limiting conditions of Rule 2a-7 or any successor rule of the Securities and Exchange Commission under the Investment Company Act of 1940, in each case provided in clauses (i), (ii), (iii) and (iv) above, maturing within one year from the date of acquisition.</w:t>
      </w:r>
    </w:p>
    <w:p>
      <w:pPr>
        <w:pStyle w:val="TextBody"/>
        <w:bidi w:val="0"/>
        <w:spacing w:before="180" w:after="283"/>
        <w:jc w:val="left"/>
        <w:rPr/>
      </w:pPr>
      <w:r>
        <w:rPr>
          <w:color w:val="000000"/>
        </w:rPr>
        <w:t>“</w:t>
      </w:r>
      <w:r>
        <w:rPr>
          <w:rFonts w:ascii="Times New Roman" w:hAnsi="Times New Roman"/>
          <w:b/>
          <w:color w:val="000000"/>
          <w:sz w:val="20"/>
          <w:u w:val="single"/>
        </w:rPr>
        <w:t>Cash Settlement</w:t>
      </w:r>
      <w:r>
        <w:rPr>
          <w:rFonts w:ascii="Times New Roman" w:hAnsi="Times New Roman"/>
          <w:color w:val="000000"/>
          <w:sz w:val="20"/>
        </w:rPr>
        <w:t>” means immediately available funds in an amount equal to the Redeemed Units Equivalent.</w:t>
      </w:r>
    </w:p>
    <w:p>
      <w:pPr>
        <w:pStyle w:val="TextBody"/>
        <w:bidi w:val="0"/>
        <w:spacing w:before="180" w:after="283"/>
        <w:jc w:val="left"/>
        <w:rPr/>
      </w:pPr>
      <w:r>
        <w:rPr>
          <w:color w:val="000000"/>
        </w:rPr>
        <w:t>“</w:t>
      </w:r>
      <w:r>
        <w:rPr>
          <w:rFonts w:ascii="Times New Roman" w:hAnsi="Times New Roman"/>
          <w:b/>
          <w:color w:val="000000"/>
          <w:sz w:val="20"/>
          <w:u w:val="single"/>
        </w:rPr>
        <w:t>Certificate</w:t>
      </w:r>
      <w:r>
        <w:rPr>
          <w:rFonts w:ascii="Times New Roman" w:hAnsi="Times New Roman"/>
          <w:color w:val="000000"/>
          <w:sz w:val="20"/>
        </w:rPr>
        <w:t>” has the meaning set forth in Section 2.1(a) of this Agreement.</w:t>
      </w:r>
    </w:p>
    <w:p>
      <w:pPr>
        <w:pStyle w:val="TextBody"/>
        <w:bidi w:val="0"/>
        <w:spacing w:before="180" w:after="283"/>
        <w:jc w:val="left"/>
        <w:rPr/>
      </w:pPr>
      <w:r>
        <w:rPr>
          <w:color w:val="000000"/>
        </w:rPr>
        <w:t>“</w:t>
      </w:r>
      <w:r>
        <w:rPr>
          <w:rFonts w:ascii="Times New Roman" w:hAnsi="Times New Roman"/>
          <w:b/>
          <w:color w:val="000000"/>
          <w:sz w:val="20"/>
          <w:u w:val="single"/>
        </w:rPr>
        <w:t>Change of Control</w:t>
      </w:r>
      <w:r>
        <w:rPr>
          <w:rFonts w:ascii="Times New Roman" w:hAnsi="Times New Roman"/>
          <w:color w:val="000000"/>
          <w:sz w:val="20"/>
        </w:rPr>
        <w:t>” with respect to any Person that is not an individual, means (i) any merger or consolidation with or into any other entity or any other similar transaction, whether in a single transaction or series of related transactions, where (A) the members or stockholders of such Person immediately prior to such transaction in the aggregate cease to own more than 50% of the general voting power of the entity surviving or resulting from such transaction (or its stockholders or the Ultimate Parent thereof) or (B) any Person or Group becomes the beneficial owner of more than 50% of the general voting power of the entity surviving or resulting from such transaction (or its stockholders or the Ultimate Parent thereof), (ii) any transaction or series of related transactions in which in excess of 50% of such Person’s general voting power is Transferred to any other Person or Group or (iii) the sale or Transfer by such Person of all or substantially all of its assets.</w:t>
      </w:r>
    </w:p>
    <w:p>
      <w:pPr>
        <w:pStyle w:val="TextBody"/>
        <w:bidi w:val="0"/>
        <w:spacing w:before="180" w:after="283"/>
        <w:jc w:val="left"/>
        <w:rPr/>
      </w:pPr>
      <w:r>
        <w:rPr>
          <w:color w:val="000000"/>
        </w:rPr>
        <w:t>“</w:t>
      </w:r>
      <w:r>
        <w:rPr>
          <w:rFonts w:ascii="Times New Roman" w:hAnsi="Times New Roman"/>
          <w:b/>
          <w:color w:val="000000"/>
          <w:sz w:val="20"/>
          <w:u w:val="single"/>
        </w:rPr>
        <w:t>Cinemark</w:t>
      </w:r>
      <w:r>
        <w:rPr>
          <w:rFonts w:ascii="Times New Roman" w:hAnsi="Times New Roman"/>
          <w:color w:val="000000"/>
          <w:sz w:val="20"/>
        </w:rPr>
        <w:t>” means Cinemark Holdings, Inc. or its successor or any Person that wholly-owns Cinemark, directly or indirectly, in the future.</w:t>
      </w:r>
    </w:p>
    <w:p>
      <w:pPr>
        <w:pStyle w:val="TextBody"/>
        <w:bidi w:val="0"/>
        <w:spacing w:before="180" w:after="283"/>
        <w:jc w:val="left"/>
        <w:rPr/>
      </w:pPr>
      <w:r>
        <w:rPr>
          <w:color w:val="000000"/>
        </w:rPr>
        <w:t>“</w:t>
      </w:r>
      <w:r>
        <w:rPr>
          <w:rFonts w:ascii="Times New Roman" w:hAnsi="Times New Roman"/>
          <w:b/>
          <w:color w:val="000000"/>
          <w:sz w:val="20"/>
          <w:u w:val="single"/>
        </w:rPr>
        <w:t>Cinemark Founding Member</w:t>
      </w:r>
      <w:r>
        <w:rPr>
          <w:rFonts w:ascii="Times New Roman" w:hAnsi="Times New Roman"/>
          <w:color w:val="000000"/>
          <w:sz w:val="20"/>
        </w:rPr>
        <w:t>” has the meaning set forth in the Recitals of this Agreement.</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color w:val="000000"/>
        </w:rPr>
        <w:t>“</w:t>
      </w:r>
      <w:r>
        <w:rPr>
          <w:rFonts w:ascii="Times New Roman" w:hAnsi="Times New Roman"/>
          <w:b/>
          <w:color w:val="000000"/>
          <w:sz w:val="20"/>
          <w:u w:val="single"/>
        </w:rPr>
        <w:t>Cinemark Media</w:t>
      </w:r>
      <w:r>
        <w:rPr>
          <w:rFonts w:ascii="Times New Roman" w:hAnsi="Times New Roman"/>
          <w:color w:val="000000"/>
          <w:sz w:val="20"/>
        </w:rPr>
        <w:t>” has the meaning set forth in the Recitals of this Agreement or its successor.</w:t>
      </w:r>
    </w:p>
    <w:p>
      <w:pPr>
        <w:pStyle w:val="TextBody"/>
        <w:bidi w:val="0"/>
        <w:spacing w:before="180" w:after="283"/>
        <w:jc w:val="left"/>
        <w:rPr/>
      </w:pPr>
      <w:r>
        <w:rPr>
          <w:color w:val="000000"/>
        </w:rPr>
        <w:t>“</w:t>
      </w:r>
      <w:r>
        <w:rPr>
          <w:rFonts w:ascii="Times New Roman" w:hAnsi="Times New Roman"/>
          <w:b/>
          <w:color w:val="000000"/>
          <w:sz w:val="20"/>
          <w:u w:val="single"/>
        </w:rPr>
        <w:t>Cinemark USA</w:t>
      </w:r>
      <w:r>
        <w:rPr>
          <w:rFonts w:ascii="Times New Roman" w:hAnsi="Times New Roman"/>
          <w:color w:val="000000"/>
          <w:sz w:val="20"/>
        </w:rPr>
        <w:t>” means Cinemark USA, Inc., a Texas corporation, or its successor.</w:t>
      </w:r>
    </w:p>
    <w:p>
      <w:pPr>
        <w:pStyle w:val="TextBody"/>
        <w:bidi w:val="0"/>
        <w:spacing w:before="180" w:after="283"/>
        <w:jc w:val="left"/>
        <w:rPr/>
      </w:pPr>
      <w:r>
        <w:rPr>
          <w:color w:val="000000"/>
        </w:rPr>
        <w:t>“</w:t>
      </w:r>
      <w:r>
        <w:rPr>
          <w:rFonts w:ascii="Times New Roman" w:hAnsi="Times New Roman"/>
          <w:b/>
          <w:color w:val="000000"/>
          <w:sz w:val="20"/>
          <w:u w:val="single"/>
        </w:rPr>
        <w:t>Class A Units</w:t>
      </w:r>
      <w:r>
        <w:rPr>
          <w:rFonts w:ascii="Times New Roman" w:hAnsi="Times New Roman"/>
          <w:color w:val="000000"/>
          <w:sz w:val="20"/>
        </w:rPr>
        <w:t>” has the meaning set forth in Section 1.1 of the First Amended Agreement.</w:t>
      </w:r>
    </w:p>
    <w:p>
      <w:pPr>
        <w:pStyle w:val="TextBody"/>
        <w:bidi w:val="0"/>
        <w:jc w:val="left"/>
        <w:rPr/>
      </w:pPr>
      <w:r>
        <w:rPr>
          <w:color w:val="000000"/>
        </w:rPr>
        <w:t>“</w:t>
      </w:r>
      <w:r>
        <w:rPr>
          <w:rFonts w:ascii="Times New Roman" w:hAnsi="Times New Roman"/>
          <w:b/>
          <w:color w:val="000000"/>
          <w:sz w:val="20"/>
          <w:u w:val="single"/>
        </w:rPr>
        <w:t>Code</w:t>
      </w:r>
      <w:r>
        <w:rPr>
          <w:rFonts w:ascii="Times New Roman" w:hAnsi="Times New Roman"/>
          <w:color w:val="000000"/>
          <w:sz w:val="20"/>
        </w:rPr>
        <w:t>” means the Internal Revenue Code of 1986, as amended from time to time, or any successor statute and the rules and regulations thereunder in effect from time to time. Any reference herein to a specific provision of the Code shall mean, where appropriate, the corresponding provision in any successor statute.</w:t>
      </w:r>
    </w:p>
    <w:p>
      <w:pPr>
        <w:pStyle w:val="TextBody"/>
        <w:bidi w:val="0"/>
        <w:spacing w:before="180" w:after="283"/>
        <w:jc w:val="left"/>
        <w:rPr/>
      </w:pPr>
      <w:r>
        <w:rPr>
          <w:color w:val="000000"/>
        </w:rPr>
        <w:t>“</w:t>
      </w:r>
      <w:r>
        <w:rPr>
          <w:rFonts w:ascii="Times New Roman" w:hAnsi="Times New Roman"/>
          <w:b/>
          <w:color w:val="000000"/>
          <w:sz w:val="20"/>
          <w:u w:val="single"/>
        </w:rPr>
        <w:t>Common Unit</w:t>
      </w:r>
      <w:r>
        <w:rPr>
          <w:rFonts w:ascii="Times New Roman" w:hAnsi="Times New Roman"/>
          <w:color w:val="000000"/>
          <w:sz w:val="20"/>
        </w:rPr>
        <w:t>” means a Unit having the rights described in Section 3.4(d) of this Agreement.</w:t>
      </w:r>
    </w:p>
    <w:p>
      <w:pPr>
        <w:pStyle w:val="TextBody"/>
        <w:bidi w:val="0"/>
        <w:spacing w:before="180" w:after="283"/>
        <w:jc w:val="left"/>
        <w:rPr/>
      </w:pPr>
      <w:r>
        <w:rPr>
          <w:color w:val="000000"/>
        </w:rPr>
        <w:t>“</w:t>
      </w:r>
      <w:r>
        <w:rPr>
          <w:rFonts w:ascii="Times New Roman" w:hAnsi="Times New Roman"/>
          <w:b/>
          <w:color w:val="000000"/>
          <w:sz w:val="20"/>
          <w:u w:val="single"/>
        </w:rPr>
        <w:t>Common Unit Adjustment Agreement</w:t>
      </w:r>
      <w:r>
        <w:rPr>
          <w:rFonts w:ascii="Times New Roman" w:hAnsi="Times New Roman"/>
          <w:color w:val="000000"/>
          <w:sz w:val="20"/>
        </w:rPr>
        <w:t>” means the Common Unit Adjustment Agreement, dated as of February 13, 2007, by and among the AMC Founding Member, the Regal Founding Member, Regal Cinemas, the Cinemark Founding Member, Cinemark USA, NCM Inc. and the Company, as the same may be amended, supplemented or otherwise modified from time to time.</w:t>
      </w:r>
    </w:p>
    <w:p>
      <w:pPr>
        <w:pStyle w:val="TextBody"/>
        <w:bidi w:val="0"/>
        <w:spacing w:before="180" w:after="283"/>
        <w:jc w:val="left"/>
        <w:rPr/>
      </w:pPr>
      <w:r>
        <w:rPr>
          <w:color w:val="000000"/>
        </w:rPr>
        <w:t>“</w:t>
      </w:r>
      <w:r>
        <w:rPr>
          <w:rFonts w:ascii="Times New Roman" w:hAnsi="Times New Roman"/>
          <w:b/>
          <w:color w:val="000000"/>
          <w:sz w:val="20"/>
          <w:u w:val="single"/>
        </w:rPr>
        <w:t>Common Unit Purchase</w:t>
      </w:r>
      <w:r>
        <w:rPr>
          <w:rFonts w:ascii="Times New Roman" w:hAnsi="Times New Roman"/>
          <w:color w:val="000000"/>
          <w:sz w:val="20"/>
        </w:rPr>
        <w:t>” has the meaning set forth in Section 3.4(b) of this Agreement.</w:t>
      </w:r>
    </w:p>
    <w:p>
      <w:pPr>
        <w:pStyle w:val="TextBody"/>
        <w:bidi w:val="0"/>
        <w:spacing w:before="180" w:after="283"/>
        <w:jc w:val="left"/>
        <w:rPr/>
      </w:pPr>
      <w:r>
        <w:rPr>
          <w:color w:val="000000"/>
        </w:rPr>
        <w:t>“</w:t>
      </w:r>
      <w:r>
        <w:rPr>
          <w:rFonts w:ascii="Times New Roman" w:hAnsi="Times New Roman"/>
          <w:b/>
          <w:color w:val="000000"/>
          <w:sz w:val="20"/>
          <w:u w:val="single"/>
        </w:rPr>
        <w:t>Company</w:t>
      </w:r>
      <w:r>
        <w:rPr>
          <w:rFonts w:ascii="Times New Roman" w:hAnsi="Times New Roman"/>
          <w:color w:val="000000"/>
          <w:sz w:val="20"/>
        </w:rPr>
        <w:t>” has the meaning set forth in the preamble of this Agreement.</w:t>
      </w:r>
    </w:p>
    <w:p>
      <w:pPr>
        <w:pStyle w:val="TextBody"/>
        <w:bidi w:val="0"/>
        <w:spacing w:before="180" w:after="283"/>
        <w:jc w:val="left"/>
        <w:rPr/>
      </w:pPr>
      <w:r>
        <w:rPr>
          <w:color w:val="000000"/>
        </w:rPr>
        <w:t>“</w:t>
      </w:r>
      <w:r>
        <w:rPr>
          <w:rFonts w:ascii="Times New Roman" w:hAnsi="Times New Roman"/>
          <w:b/>
          <w:color w:val="000000"/>
          <w:sz w:val="20"/>
          <w:u w:val="single"/>
        </w:rPr>
        <w:t>Confidential Information</w:t>
      </w:r>
      <w:r>
        <w:rPr>
          <w:rFonts w:ascii="Times New Roman" w:hAnsi="Times New Roman"/>
          <w:color w:val="000000"/>
          <w:sz w:val="20"/>
        </w:rPr>
        <w:t>” has the meaning set forth in Section 10.3(a) of this Agreement.</w:t>
      </w:r>
    </w:p>
    <w:p>
      <w:pPr>
        <w:pStyle w:val="TextBody"/>
        <w:bidi w:val="0"/>
        <w:spacing w:before="180" w:after="283"/>
        <w:jc w:val="left"/>
        <w:rPr/>
      </w:pPr>
      <w:r>
        <w:rPr>
          <w:color w:val="000000"/>
        </w:rPr>
        <w:t>“</w:t>
      </w:r>
      <w:r>
        <w:rPr>
          <w:rFonts w:ascii="Times New Roman" w:hAnsi="Times New Roman"/>
          <w:b/>
          <w:color w:val="000000"/>
          <w:sz w:val="20"/>
          <w:u w:val="single"/>
        </w:rPr>
        <w:t>Contribution Agreement</w:t>
      </w:r>
      <w:r>
        <w:rPr>
          <w:rFonts w:ascii="Times New Roman" w:hAnsi="Times New Roman"/>
          <w:color w:val="000000"/>
          <w:sz w:val="20"/>
        </w:rPr>
        <w:t>” has the meaning set forth in the Recitals of this Agreement, as the same may be amended, supplemented or otherwise modified from time to time.</w:t>
      </w:r>
    </w:p>
    <w:p>
      <w:pPr>
        <w:pStyle w:val="TextBody"/>
        <w:bidi w:val="0"/>
        <w:spacing w:before="180" w:after="283"/>
        <w:jc w:val="left"/>
        <w:rPr/>
      </w:pPr>
      <w:r>
        <w:rPr>
          <w:color w:val="000000"/>
        </w:rPr>
        <w:t>“</w:t>
      </w:r>
      <w:r>
        <w:rPr>
          <w:rFonts w:ascii="Times New Roman" w:hAnsi="Times New Roman"/>
          <w:b/>
          <w:color w:val="000000"/>
          <w:sz w:val="20"/>
          <w:u w:val="single"/>
        </w:rPr>
        <w:t>Contribution and Unit Holders Agreement</w:t>
      </w:r>
      <w:r>
        <w:rPr>
          <w:rFonts w:ascii="Times New Roman" w:hAnsi="Times New Roman"/>
          <w:color w:val="000000"/>
          <w:sz w:val="20"/>
        </w:rPr>
        <w:t>” means the Contribution and Unit Holders Agreement, dated as of March 29, 2005, by and among the Company, RCM and AMC, as the successor to NCN, as the same may be amended, supplemented or otherwise modified from time to time.</w:t>
      </w:r>
    </w:p>
    <w:p>
      <w:pPr>
        <w:pStyle w:val="TextBody"/>
        <w:bidi w:val="0"/>
        <w:spacing w:before="180" w:after="283"/>
        <w:jc w:val="left"/>
        <w:rPr/>
      </w:pPr>
      <w:r>
        <w:rPr>
          <w:color w:val="000000"/>
        </w:rPr>
        <w:t>“</w:t>
      </w:r>
      <w:r>
        <w:rPr>
          <w:rFonts w:ascii="Times New Roman" w:hAnsi="Times New Roman"/>
          <w:b/>
          <w:color w:val="000000"/>
          <w:sz w:val="20"/>
          <w:u w:val="single"/>
        </w:rPr>
        <w:t>Contribution Notice</w:t>
      </w:r>
      <w:r>
        <w:rPr>
          <w:rFonts w:ascii="Times New Roman" w:hAnsi="Times New Roman"/>
          <w:color w:val="000000"/>
          <w:sz w:val="20"/>
        </w:rPr>
        <w:t>” has the meaning set forth in Section 9.1(b) of this Agreement.</w:t>
      </w:r>
    </w:p>
    <w:p>
      <w:pPr>
        <w:pStyle w:val="TextBody"/>
        <w:bidi w:val="0"/>
        <w:spacing w:before="180" w:after="283"/>
        <w:jc w:val="left"/>
        <w:rPr/>
      </w:pPr>
      <w:r>
        <w:rPr>
          <w:color w:val="000000"/>
        </w:rPr>
        <w:t>“</w:t>
      </w:r>
      <w:r>
        <w:rPr>
          <w:rFonts w:ascii="Times New Roman" w:hAnsi="Times New Roman"/>
          <w:b/>
          <w:color w:val="000000"/>
          <w:sz w:val="20"/>
          <w:u w:val="single"/>
        </w:rPr>
        <w:t>Control</w:t>
      </w:r>
      <w:r>
        <w:rPr>
          <w:rFonts w:ascii="Times New Roman" w:hAnsi="Times New Roman"/>
          <w:color w:val="000000"/>
          <w:sz w:val="20"/>
        </w:rPr>
        <w:t>” (including the terms “</w:t>
      </w:r>
      <w:r>
        <w:rPr>
          <w:rFonts w:ascii="Times New Roman" w:hAnsi="Times New Roman"/>
          <w:b/>
          <w:color w:val="000000"/>
          <w:sz w:val="20"/>
        </w:rPr>
        <w:t>Controlled by</w:t>
      </w:r>
      <w:r>
        <w:rPr>
          <w:rFonts w:ascii="Times New Roman" w:hAnsi="Times New Roman"/>
          <w:color w:val="000000"/>
          <w:sz w:val="20"/>
        </w:rPr>
        <w:t>” and “</w:t>
      </w:r>
      <w:r>
        <w:rPr>
          <w:rFonts w:ascii="Times New Roman" w:hAnsi="Times New Roman"/>
          <w:b/>
          <w:color w:val="000000"/>
          <w:sz w:val="20"/>
        </w:rPr>
        <w:t>under common Control with</w:t>
      </w:r>
      <w:r>
        <w:rPr>
          <w:rFonts w:ascii="Times New Roman" w:hAnsi="Times New Roman"/>
          <w:color w:val="000000"/>
          <w:sz w:val="20"/>
        </w:rPr>
        <w:t>”), with respect to the relationship between or among two or more Persons, means the possession, directly or indirectly, of the power to direct or cause the direction of the affairs or management of a Person, whether through the ownership of voting Equity Interests, as trustee or executor, by contract or otherwise.</w:t>
      </w:r>
    </w:p>
    <w:p>
      <w:pPr>
        <w:pStyle w:val="TextBody"/>
        <w:bidi w:val="0"/>
        <w:spacing w:before="180" w:after="283"/>
        <w:jc w:val="left"/>
        <w:rPr/>
      </w:pPr>
      <w:r>
        <w:rPr>
          <w:color w:val="000000"/>
        </w:rPr>
        <w:t>“</w:t>
      </w:r>
      <w:r>
        <w:rPr>
          <w:rFonts w:ascii="Times New Roman" w:hAnsi="Times New Roman"/>
          <w:b/>
          <w:color w:val="000000"/>
          <w:sz w:val="20"/>
          <w:u w:val="single"/>
        </w:rPr>
        <w:t>CPI</w:t>
      </w:r>
      <w:r>
        <w:rPr>
          <w:rFonts w:ascii="Times New Roman" w:hAnsi="Times New Roman"/>
          <w:color w:val="000000"/>
          <w:sz w:val="20"/>
        </w:rPr>
        <w:t>” means the monthly index of the U.S. City Average Consumer Price Index for Urban Wage Earners and Clerical Workers (All Items; 1982-84 equals 100) published by the United States Department of Labor, Bureau of Labor Statistics or any successor agency that shall issue such index. In the event that the CPI is discontinued for any reason, the Manager shall use such other index, or comparable statistics, on the cost of living for urban areas of the United States, as shall be computed and published by any agency of the United States or, if no such index is published by any agency of the United States, by a responsible financial periodical of recognized authority.</w:t>
      </w:r>
    </w:p>
    <w:p>
      <w:pPr>
        <w:pStyle w:val="TextBody"/>
        <w:bidi w:val="0"/>
        <w:jc w:val="left"/>
        <w:rPr/>
      </w:pPr>
      <w:r>
        <w:rPr>
          <w:color w:val="000000"/>
        </w:rPr>
        <w:t>“</w:t>
      </w:r>
      <w:r>
        <w:rPr>
          <w:rFonts w:ascii="Times New Roman" w:hAnsi="Times New Roman"/>
          <w:b/>
          <w:color w:val="000000"/>
          <w:sz w:val="20"/>
          <w:u w:val="single"/>
        </w:rPr>
        <w:t>CPI Adjustment</w:t>
      </w:r>
      <w:r>
        <w:rPr>
          <w:rFonts w:ascii="Times New Roman" w:hAnsi="Times New Roman"/>
          <w:color w:val="000000"/>
          <w:sz w:val="20"/>
        </w:rPr>
        <w:t>” means the quotient of (i) the CPI for the month of January in the calendar year for which the CPI Adjustment is being determined, divided by (ii) the CPI for January of 2007.</w:t>
      </w:r>
    </w:p>
    <w:p>
      <w:pPr>
        <w:pStyle w:val="TextBody"/>
        <w:bidi w:val="0"/>
        <w:spacing w:before="180" w:after="283"/>
        <w:jc w:val="left"/>
        <w:rPr/>
      </w:pPr>
      <w:r>
        <w:rPr>
          <w:color w:val="000000"/>
        </w:rPr>
        <w:t>“</w:t>
      </w:r>
      <w:r>
        <w:rPr>
          <w:rFonts w:ascii="Times New Roman" w:hAnsi="Times New Roman"/>
          <w:b/>
          <w:color w:val="000000"/>
          <w:sz w:val="20"/>
          <w:u w:val="single"/>
        </w:rPr>
        <w:t>DCN</w:t>
      </w:r>
      <w:r>
        <w:rPr>
          <w:rFonts w:ascii="Times New Roman" w:hAnsi="Times New Roman"/>
          <w:color w:val="000000"/>
          <w:sz w:val="20"/>
        </w:rPr>
        <w:t>” has the meaning set forth in Section 2.6(a) of this Agreement.</w:t>
      </w:r>
    </w:p>
    <w:p>
      <w:pPr>
        <w:pStyle w:val="TextBody"/>
        <w:bidi w:val="0"/>
        <w:spacing w:before="180" w:after="283"/>
        <w:jc w:val="left"/>
        <w:rPr/>
      </w:pPr>
      <w:r>
        <w:rPr>
          <w:color w:val="000000"/>
        </w:rPr>
        <w:t>“</w:t>
      </w:r>
      <w:r>
        <w:rPr>
          <w:rFonts w:ascii="Times New Roman" w:hAnsi="Times New Roman"/>
          <w:b/>
          <w:color w:val="000000"/>
          <w:sz w:val="20"/>
          <w:u w:val="single"/>
        </w:rPr>
        <w:t>Deferring Member</w:t>
      </w:r>
      <w:r>
        <w:rPr>
          <w:rFonts w:ascii="Times New Roman" w:hAnsi="Times New Roman"/>
          <w:color w:val="000000"/>
          <w:sz w:val="20"/>
        </w:rPr>
        <w:t>” has the meaning set forth in Section 5.4(a)(i)(A) of this Agreement.</w:t>
      </w:r>
    </w:p>
    <w:p>
      <w:pPr>
        <w:pStyle w:val="TextBody"/>
        <w:bidi w:val="0"/>
        <w:spacing w:before="180" w:after="283"/>
        <w:jc w:val="left"/>
        <w:rPr/>
      </w:pPr>
      <w:r>
        <w:rPr>
          <w:color w:val="000000"/>
        </w:rPr>
        <w:t>“</w:t>
      </w:r>
      <w:r>
        <w:rPr>
          <w:rFonts w:ascii="Times New Roman" w:hAnsi="Times New Roman"/>
          <w:b/>
          <w:color w:val="000000"/>
          <w:sz w:val="20"/>
          <w:u w:val="single"/>
        </w:rPr>
        <w:t>Deferred Distribution Amount</w:t>
      </w:r>
      <w:r>
        <w:rPr>
          <w:rFonts w:ascii="Times New Roman" w:hAnsi="Times New Roman"/>
          <w:color w:val="000000"/>
          <w:sz w:val="20"/>
        </w:rPr>
        <w:t>” has the meaning set forth in Section 5.4(a)(i)(A) of this Agreement.</w:t>
      </w:r>
    </w:p>
    <w:p>
      <w:pPr>
        <w:pStyle w:val="TextBody"/>
        <w:bidi w:val="0"/>
        <w:spacing w:before="180" w:after="283"/>
        <w:jc w:val="left"/>
        <w:rPr/>
      </w:pPr>
      <w:r>
        <w:rPr>
          <w:color w:val="000000"/>
        </w:rPr>
        <w:t>“</w:t>
      </w:r>
      <w:r>
        <w:rPr>
          <w:rFonts w:ascii="Times New Roman" w:hAnsi="Times New Roman"/>
          <w:b/>
          <w:color w:val="000000"/>
          <w:sz w:val="20"/>
          <w:u w:val="single"/>
        </w:rPr>
        <w:t>Director Designation Agreement</w:t>
      </w:r>
      <w:r>
        <w:rPr>
          <w:rFonts w:ascii="Times New Roman" w:hAnsi="Times New Roman"/>
          <w:color w:val="000000"/>
          <w:sz w:val="20"/>
        </w:rPr>
        <w:t>” means the Director Designation Agreement, dated as of February 13, 2007, by and among NCM Inc. and all of the Founding Members, as the same may be amended, supplemented or otherwise modified from time to time.</w:t>
      </w:r>
    </w:p>
    <w:p>
      <w:pPr>
        <w:pStyle w:val="TextBody"/>
        <w:bidi w:val="0"/>
        <w:spacing w:before="180" w:after="283"/>
        <w:jc w:val="left"/>
        <w:rPr/>
      </w:pPr>
      <w:r>
        <w:rPr>
          <w:color w:val="000000"/>
        </w:rPr>
        <w:t>“</w:t>
      </w:r>
      <w:r>
        <w:rPr>
          <w:rFonts w:ascii="Times New Roman" w:hAnsi="Times New Roman"/>
          <w:b/>
          <w:color w:val="000000"/>
          <w:sz w:val="20"/>
          <w:u w:val="single"/>
        </w:rPr>
        <w:t>Distribution Amount</w:t>
      </w:r>
      <w:r>
        <w:rPr>
          <w:rFonts w:ascii="Times New Roman" w:hAnsi="Times New Roman"/>
          <w:color w:val="000000"/>
          <w:sz w:val="20"/>
        </w:rPr>
        <w:t xml:space="preserve">” means, with respect to a Fiscal Period, the lesser of (i) the Company’s Available Cash as of the last day of such Fiscal Period (reduced by any amounts distributed by the Company to </w:t>
      </w:r>
    </w:p>
    <w:p>
      <w:pPr>
        <w:pStyle w:val="HorizontalLine"/>
        <w:pBdr>
          <w:bottom w:val="double" w:sz="2" w:space="0" w:color="808080"/>
        </w:pBdr>
        <w:bidi w:val="0"/>
        <w:spacing w:before="0" w:after="283"/>
        <w:jc w:val="left"/>
        <w:rPr/>
      </w:pPr>
      <w:r>
        <w:rPr/>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NCM Inc. under Section 3.5(c)(ii)), or (ii) the amount that may be distributed with respect to such Fiscal Period under Section 10.2.4 of the 2023 Credit Facility.</w:t>
      </w:r>
    </w:p>
    <w:p>
      <w:pPr>
        <w:pStyle w:val="TextBody"/>
        <w:bidi w:val="0"/>
        <w:spacing w:before="180" w:after="283"/>
        <w:jc w:val="left"/>
        <w:rPr/>
      </w:pPr>
      <w:r>
        <w:rPr>
          <w:color w:val="000000"/>
        </w:rPr>
        <w:t>“</w:t>
      </w:r>
      <w:r>
        <w:rPr>
          <w:rFonts w:ascii="Times New Roman" w:hAnsi="Times New Roman"/>
          <w:b/>
          <w:color w:val="000000"/>
          <w:sz w:val="20"/>
          <w:u w:val="single"/>
        </w:rPr>
        <w:t>Distribution Decrease</w:t>
      </w:r>
      <w:r>
        <w:rPr>
          <w:rFonts w:ascii="Times New Roman" w:hAnsi="Times New Roman"/>
          <w:color w:val="000000"/>
          <w:sz w:val="20"/>
        </w:rPr>
        <w:t>” has the meaning set forth in Section 5.4(a)(iii) of this Agreement.</w:t>
      </w:r>
    </w:p>
    <w:p>
      <w:pPr>
        <w:pStyle w:val="TextBody"/>
        <w:bidi w:val="0"/>
        <w:spacing w:before="180" w:after="283"/>
        <w:jc w:val="left"/>
        <w:rPr/>
      </w:pPr>
      <w:r>
        <w:rPr>
          <w:color w:val="000000"/>
        </w:rPr>
        <w:t>“</w:t>
      </w:r>
      <w:r>
        <w:rPr>
          <w:rFonts w:ascii="Times New Roman" w:hAnsi="Times New Roman"/>
          <w:b/>
          <w:color w:val="000000"/>
          <w:sz w:val="20"/>
          <w:u w:val="single"/>
        </w:rPr>
        <w:t>Distribution Increase</w:t>
      </w:r>
      <w:r>
        <w:rPr>
          <w:rFonts w:ascii="Times New Roman" w:hAnsi="Times New Roman"/>
          <w:color w:val="000000"/>
          <w:sz w:val="20"/>
        </w:rPr>
        <w:t>” has the meaning set forth in Section 5.4(a)(iii) of this Agreement.</w:t>
      </w:r>
    </w:p>
    <w:p>
      <w:pPr>
        <w:pStyle w:val="TextBody"/>
        <w:bidi w:val="0"/>
        <w:spacing w:before="180" w:after="283"/>
        <w:jc w:val="left"/>
        <w:rPr/>
      </w:pPr>
      <w:r>
        <w:rPr>
          <w:color w:val="000000"/>
        </w:rPr>
        <w:t>“</w:t>
      </w:r>
      <w:r>
        <w:rPr>
          <w:rFonts w:ascii="Times New Roman" w:hAnsi="Times New Roman"/>
          <w:b/>
          <w:color w:val="000000"/>
          <w:sz w:val="20"/>
          <w:u w:val="single"/>
        </w:rPr>
        <w:t>Distribution Year</w:t>
      </w:r>
      <w:r>
        <w:rPr>
          <w:rFonts w:ascii="Times New Roman" w:hAnsi="Times New Roman"/>
          <w:color w:val="000000"/>
          <w:sz w:val="20"/>
        </w:rPr>
        <w:t>” has the meaning set forth in Section 5.4(a)(iii) of this Agreement.</w:t>
      </w:r>
    </w:p>
    <w:p>
      <w:pPr>
        <w:pStyle w:val="TextBody"/>
        <w:bidi w:val="0"/>
        <w:spacing w:before="180" w:after="283"/>
        <w:jc w:val="left"/>
        <w:rPr/>
      </w:pPr>
      <w:r>
        <w:rPr>
          <w:color w:val="000000"/>
        </w:rPr>
        <w:t>“</w:t>
      </w:r>
      <w:r>
        <w:rPr>
          <w:rFonts w:ascii="Times New Roman" w:hAnsi="Times New Roman"/>
          <w:b/>
          <w:color w:val="000000"/>
          <w:sz w:val="20"/>
          <w:u w:val="single"/>
        </w:rPr>
        <w:t>Equity Compensation Notice</w:t>
      </w:r>
      <w:r>
        <w:rPr>
          <w:rFonts w:ascii="Times New Roman" w:hAnsi="Times New Roman"/>
          <w:color w:val="000000"/>
          <w:sz w:val="20"/>
        </w:rPr>
        <w:t>” has the meaning set forth in Section 3.5(c)(i) of this Agreement.</w:t>
      </w:r>
    </w:p>
    <w:p>
      <w:pPr>
        <w:pStyle w:val="TextBody"/>
        <w:bidi w:val="0"/>
        <w:spacing w:before="180" w:after="283"/>
        <w:jc w:val="left"/>
        <w:rPr/>
      </w:pPr>
      <w:r>
        <w:rPr>
          <w:color w:val="000000"/>
        </w:rPr>
        <w:t>“</w:t>
      </w:r>
      <w:r>
        <w:rPr>
          <w:rFonts w:ascii="Times New Roman" w:hAnsi="Times New Roman"/>
          <w:b/>
          <w:color w:val="000000"/>
          <w:sz w:val="20"/>
          <w:u w:val="single"/>
        </w:rPr>
        <w:t>Equity Incentive Plan</w:t>
      </w:r>
      <w:r>
        <w:rPr>
          <w:rFonts w:ascii="Times New Roman" w:hAnsi="Times New Roman"/>
          <w:color w:val="000000"/>
          <w:sz w:val="20"/>
        </w:rPr>
        <w:t>” means the National CineMedia, Inc. 2007 Equity Incentive Plan, as the same may be amended, supplemented or otherwise modified from time to time.</w:t>
      </w:r>
    </w:p>
    <w:p>
      <w:pPr>
        <w:pStyle w:val="TextBody"/>
        <w:bidi w:val="0"/>
        <w:spacing w:before="180" w:after="283"/>
        <w:jc w:val="left"/>
        <w:rPr/>
      </w:pPr>
      <w:r>
        <w:rPr>
          <w:color w:val="000000"/>
        </w:rPr>
        <w:t>“</w:t>
      </w:r>
      <w:r>
        <w:rPr>
          <w:rFonts w:ascii="Times New Roman" w:hAnsi="Times New Roman"/>
          <w:b/>
          <w:color w:val="000000"/>
          <w:sz w:val="20"/>
          <w:u w:val="single"/>
        </w:rPr>
        <w:t>Equity Interests</w:t>
      </w:r>
      <w:r>
        <w:rPr>
          <w:rFonts w:ascii="Times New Roman" w:hAnsi="Times New Roman"/>
          <w:color w:val="000000"/>
          <w:sz w:val="20"/>
        </w:rPr>
        <w:t xml:space="preserve">” means, with respect to any Person, any and all shares, interests, participations or other equivalents (however designated, whether voting or non-voting) of capital stock, partnership interests (whether general or limited), limited liability company interests or equivalent ownership interests in or issued by, or interests, participations or other equivalents to share in the revenues or earnings of (except as provided in any service agreement that includes a revenue sharing component entered into in the ordinary course of business), such Person or securities convertible into, or exchangeable or exercisable for, such shares, interests, participations or other equivalents and options, warrants or other rights to acquire such shares, interests, participations or other equivalents; </w:t>
      </w:r>
      <w:r>
        <w:rPr>
          <w:rFonts w:ascii="Times New Roman" w:hAnsi="Times New Roman"/>
          <w:color w:val="000000"/>
          <w:sz w:val="20"/>
          <w:u w:val="single"/>
        </w:rPr>
        <w:t>provided</w:t>
      </w:r>
      <w:r>
        <w:rPr>
          <w:rFonts w:ascii="Times New Roman" w:hAnsi="Times New Roman"/>
          <w:color w:val="000000"/>
          <w:sz w:val="20"/>
        </w:rPr>
        <w:t xml:space="preserve"> that discounts and rebates granted in the ordinary course of business shall not in any event constitute an Equity Interest.</w:t>
      </w:r>
    </w:p>
    <w:p>
      <w:pPr>
        <w:pStyle w:val="TextBody"/>
        <w:bidi w:val="0"/>
        <w:spacing w:before="180" w:after="283"/>
        <w:jc w:val="left"/>
        <w:rPr/>
      </w:pPr>
      <w:r>
        <w:rPr>
          <w:color w:val="000000"/>
        </w:rPr>
        <w:t>“</w:t>
      </w:r>
      <w:r>
        <w:rPr>
          <w:rFonts w:ascii="Times New Roman" w:hAnsi="Times New Roman"/>
          <w:b/>
          <w:color w:val="000000"/>
          <w:sz w:val="20"/>
          <w:u w:val="single"/>
        </w:rPr>
        <w:t>ERISA</w:t>
      </w:r>
      <w:r>
        <w:rPr>
          <w:rFonts w:ascii="Times New Roman" w:hAnsi="Times New Roman"/>
          <w:color w:val="000000"/>
          <w:sz w:val="20"/>
        </w:rPr>
        <w:t>” means the Employee Retirement Income Security Act of 1974, as amended and the rules and regulations promulgated thereunder, as the same may be amended from time to time.</w:t>
      </w:r>
    </w:p>
    <w:p>
      <w:pPr>
        <w:pStyle w:val="TextBody"/>
        <w:bidi w:val="0"/>
        <w:jc w:val="left"/>
        <w:rPr/>
      </w:pPr>
      <w:r>
        <w:rPr>
          <w:color w:val="000000"/>
        </w:rPr>
        <w:t>“</w:t>
      </w:r>
      <w:r>
        <w:rPr>
          <w:rFonts w:ascii="Times New Roman" w:hAnsi="Times New Roman"/>
          <w:b/>
          <w:color w:val="000000"/>
          <w:sz w:val="20"/>
          <w:u w:val="single"/>
        </w:rPr>
        <w:t>ESA Party</w:t>
      </w:r>
      <w:r>
        <w:rPr>
          <w:rFonts w:ascii="Times New Roman" w:hAnsi="Times New Roman"/>
          <w:color w:val="000000"/>
          <w:sz w:val="20"/>
        </w:rPr>
        <w:t>” means (i) AMC in the case of AMC, (ii) Cinemark USA in the case of Cinemark Media, and (iii) Regal Cinemas in the case of Regal.</w:t>
      </w:r>
    </w:p>
    <w:p>
      <w:pPr>
        <w:pStyle w:val="TextBody"/>
        <w:bidi w:val="0"/>
        <w:spacing w:before="180" w:after="283"/>
        <w:jc w:val="left"/>
        <w:rPr/>
      </w:pPr>
      <w:r>
        <w:rPr>
          <w:color w:val="000000"/>
        </w:rPr>
        <w:t>“</w:t>
      </w:r>
      <w:r>
        <w:rPr>
          <w:rFonts w:ascii="Times New Roman" w:hAnsi="Times New Roman"/>
          <w:b/>
          <w:color w:val="000000"/>
          <w:sz w:val="20"/>
          <w:u w:val="single"/>
        </w:rPr>
        <w:t>ESA-Related Tax Benefit Payment</w:t>
      </w:r>
      <w:r>
        <w:rPr>
          <w:rFonts w:ascii="Times New Roman" w:hAnsi="Times New Roman"/>
          <w:color w:val="000000"/>
          <w:sz w:val="20"/>
        </w:rPr>
        <w:t>” has the meaning set forth in Section 1.01 of the Tax Receivable Agreement.</w:t>
      </w:r>
    </w:p>
    <w:p>
      <w:pPr>
        <w:pStyle w:val="TextBody"/>
        <w:bidi w:val="0"/>
        <w:spacing w:before="180" w:after="283"/>
        <w:jc w:val="left"/>
        <w:rPr/>
      </w:pPr>
      <w:r>
        <w:rPr>
          <w:color w:val="000000"/>
        </w:rPr>
        <w:t>“</w:t>
      </w:r>
      <w:r>
        <w:rPr>
          <w:rFonts w:ascii="Times New Roman" w:hAnsi="Times New Roman"/>
          <w:b/>
          <w:color w:val="000000"/>
          <w:sz w:val="20"/>
          <w:u w:val="single"/>
        </w:rPr>
        <w:t>ESA-Related Payment</w:t>
      </w:r>
      <w:r>
        <w:rPr>
          <w:rFonts w:ascii="Times New Roman" w:hAnsi="Times New Roman"/>
          <w:color w:val="000000"/>
          <w:sz w:val="20"/>
        </w:rPr>
        <w:t>” has the meaning set forth in Section 1.01 of the Tax Receivable Agreement.</w:t>
      </w:r>
    </w:p>
    <w:p>
      <w:pPr>
        <w:pStyle w:val="TextBody"/>
        <w:bidi w:val="0"/>
        <w:spacing w:before="180" w:after="283"/>
        <w:jc w:val="left"/>
        <w:rPr/>
      </w:pPr>
      <w:r>
        <w:rPr>
          <w:color w:val="000000"/>
        </w:rPr>
        <w:t>“</w:t>
      </w:r>
      <w:r>
        <w:rPr>
          <w:rFonts w:ascii="Times New Roman" w:hAnsi="Times New Roman"/>
          <w:b/>
          <w:color w:val="000000"/>
          <w:sz w:val="20"/>
          <w:u w:val="single"/>
        </w:rPr>
        <w:t>Excess Nonrecourse Liability</w:t>
      </w:r>
      <w:r>
        <w:rPr>
          <w:rFonts w:ascii="Times New Roman" w:hAnsi="Times New Roman"/>
          <w:color w:val="000000"/>
          <w:sz w:val="20"/>
        </w:rPr>
        <w:t>” has the meaning set forth in Section 1.752-3(a)(3) of the Treasury Regulations.</w:t>
      </w:r>
    </w:p>
    <w:p>
      <w:pPr>
        <w:pStyle w:val="TextBody"/>
        <w:bidi w:val="0"/>
        <w:spacing w:before="180" w:after="283"/>
        <w:jc w:val="left"/>
        <w:rPr/>
      </w:pPr>
      <w:r>
        <w:rPr>
          <w:color w:val="000000"/>
        </w:rPr>
        <w:t>“</w:t>
      </w:r>
      <w:r>
        <w:rPr>
          <w:rFonts w:ascii="Times New Roman" w:hAnsi="Times New Roman"/>
          <w:b/>
          <w:color w:val="000000"/>
          <w:sz w:val="20"/>
          <w:u w:val="single"/>
        </w:rPr>
        <w:t>Exchange Act</w:t>
      </w:r>
      <w:r>
        <w:rPr>
          <w:rFonts w:ascii="Times New Roman" w:hAnsi="Times New Roman"/>
          <w:color w:val="000000"/>
          <w:sz w:val="20"/>
        </w:rPr>
        <w:t>” means the Securities and Exchange Act of 1934, as amended, and the rules and regulations promulgated thereunder, as the same may be amended from time to time.</w:t>
      </w:r>
    </w:p>
    <w:p>
      <w:pPr>
        <w:pStyle w:val="TextBody"/>
        <w:bidi w:val="0"/>
        <w:spacing w:before="180" w:after="283"/>
        <w:jc w:val="left"/>
        <w:rPr/>
      </w:pPr>
      <w:r>
        <w:rPr>
          <w:color w:val="000000"/>
        </w:rPr>
        <w:t>“</w:t>
      </w:r>
      <w:r>
        <w:rPr>
          <w:rFonts w:ascii="Times New Roman" w:hAnsi="Times New Roman"/>
          <w:b/>
          <w:color w:val="000000"/>
          <w:sz w:val="20"/>
          <w:u w:val="single"/>
        </w:rPr>
        <w:t>Exhibitor Services Agreement</w:t>
      </w:r>
      <w:r>
        <w:rPr>
          <w:rFonts w:ascii="Times New Roman" w:hAnsi="Times New Roman"/>
          <w:color w:val="000000"/>
          <w:sz w:val="20"/>
        </w:rPr>
        <w:t>” means each separate Exhibitor Services Agreement, dated as of February 13, 2007, (i) by and between the Company and AMC, (ii) by and between the Company and Regal Cinemas, and (iii) by and between the Company and Cinemark USA, all as may be amended, supplemented or otherwise modified from time to time.</w:t>
      </w:r>
    </w:p>
    <w:p>
      <w:pPr>
        <w:pStyle w:val="TextBody"/>
        <w:bidi w:val="0"/>
        <w:spacing w:before="180" w:after="283"/>
        <w:jc w:val="left"/>
        <w:rPr/>
      </w:pPr>
      <w:r>
        <w:rPr>
          <w:color w:val="000000"/>
        </w:rPr>
        <w:t>“</w:t>
      </w:r>
      <w:r>
        <w:rPr>
          <w:rFonts w:ascii="Times New Roman" w:hAnsi="Times New Roman"/>
          <w:b/>
          <w:color w:val="000000"/>
          <w:sz w:val="20"/>
          <w:u w:val="single"/>
        </w:rPr>
        <w:t>Final Circuit Share Payments</w:t>
      </w:r>
      <w:r>
        <w:rPr>
          <w:rFonts w:ascii="Times New Roman" w:hAnsi="Times New Roman"/>
          <w:color w:val="000000"/>
          <w:sz w:val="20"/>
        </w:rPr>
        <w:t>” means the payments to be made by the Company pursuant to the terms of that certain letter agreement, dated as of February 13, 2007, by and among the Company, AMC, Cinemark USA and Regal Cinemas.</w:t>
      </w:r>
    </w:p>
    <w:p>
      <w:pPr>
        <w:pStyle w:val="TextBody"/>
        <w:bidi w:val="0"/>
        <w:spacing w:before="180" w:after="283"/>
        <w:jc w:val="left"/>
        <w:rPr/>
      </w:pPr>
      <w:r>
        <w:rPr>
          <w:color w:val="000000"/>
        </w:rPr>
        <w:t>“</w:t>
      </w:r>
      <w:r>
        <w:rPr>
          <w:rFonts w:ascii="Times New Roman" w:hAnsi="Times New Roman"/>
          <w:b/>
          <w:color w:val="000000"/>
          <w:sz w:val="20"/>
          <w:u w:val="single"/>
        </w:rPr>
        <w:t>First Amended Agreement</w:t>
      </w:r>
      <w:r>
        <w:rPr>
          <w:rFonts w:ascii="Times New Roman" w:hAnsi="Times New Roman"/>
          <w:color w:val="000000"/>
          <w:sz w:val="20"/>
        </w:rPr>
        <w:t>” has the meaning set forth in the Recitals of this Agreement.</w:t>
      </w:r>
    </w:p>
    <w:p>
      <w:pPr>
        <w:pStyle w:val="TextBody"/>
        <w:bidi w:val="0"/>
        <w:spacing w:before="180" w:after="283"/>
        <w:jc w:val="left"/>
        <w:rPr/>
      </w:pPr>
      <w:r>
        <w:rPr>
          <w:color w:val="000000"/>
        </w:rPr>
        <w:t>“</w:t>
      </w:r>
      <w:r>
        <w:rPr>
          <w:rFonts w:ascii="Times New Roman" w:hAnsi="Times New Roman"/>
          <w:b/>
          <w:color w:val="000000"/>
          <w:sz w:val="20"/>
          <w:u w:val="single"/>
        </w:rPr>
        <w:t>First Amendment</w:t>
      </w:r>
      <w:r>
        <w:rPr>
          <w:rFonts w:ascii="Times New Roman" w:hAnsi="Times New Roman"/>
          <w:color w:val="000000"/>
          <w:sz w:val="20"/>
        </w:rPr>
        <w:t>” has the meaning set forth in the Recitals of this Agreement.</w:t>
      </w:r>
    </w:p>
    <w:p>
      <w:pPr>
        <w:pStyle w:val="TextBody"/>
        <w:bidi w:val="0"/>
        <w:spacing w:before="180" w:after="283"/>
        <w:jc w:val="left"/>
        <w:rPr/>
      </w:pPr>
      <w:r>
        <w:rPr>
          <w:color w:val="000000"/>
        </w:rPr>
        <w:t>“</w:t>
      </w:r>
      <w:r>
        <w:rPr>
          <w:rFonts w:ascii="Times New Roman" w:hAnsi="Times New Roman"/>
          <w:b/>
          <w:color w:val="000000"/>
          <w:sz w:val="20"/>
          <w:u w:val="single"/>
        </w:rPr>
        <w:t>Fiscal Month</w:t>
      </w:r>
      <w:r>
        <w:rPr>
          <w:rFonts w:ascii="Times New Roman" w:hAnsi="Times New Roman"/>
          <w:color w:val="000000"/>
          <w:sz w:val="20"/>
        </w:rPr>
        <w:t>” means each fiscal month within the Company’s Fiscal Year, as determined by the Manager.</w:t>
      </w:r>
    </w:p>
    <w:p>
      <w:pPr>
        <w:pStyle w:val="TextBody"/>
        <w:bidi w:val="0"/>
        <w:spacing w:before="180" w:after="283"/>
        <w:jc w:val="left"/>
        <w:rPr/>
      </w:pPr>
      <w:r>
        <w:rPr>
          <w:color w:val="000000"/>
        </w:rPr>
        <w:t>“</w:t>
      </w:r>
      <w:r>
        <w:rPr>
          <w:rFonts w:ascii="Times New Roman" w:hAnsi="Times New Roman"/>
          <w:b/>
          <w:color w:val="000000"/>
          <w:sz w:val="20"/>
          <w:u w:val="single"/>
        </w:rPr>
        <w:t>Fiscal Period</w:t>
      </w:r>
      <w:r>
        <w:rPr>
          <w:rFonts w:ascii="Times New Roman" w:hAnsi="Times New Roman"/>
          <w:color w:val="000000"/>
          <w:sz w:val="20"/>
        </w:rPr>
        <w:t>” means each fiscal quarter which shall consist of three Fiscal Months.</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color w:val="000000"/>
        </w:rPr>
        <w:t>“</w:t>
      </w:r>
      <w:r>
        <w:rPr>
          <w:rFonts w:ascii="Times New Roman" w:hAnsi="Times New Roman"/>
          <w:b/>
          <w:color w:val="000000"/>
          <w:sz w:val="20"/>
          <w:u w:val="single"/>
        </w:rPr>
        <w:t>Fiscal Year</w:t>
      </w:r>
      <w:r>
        <w:rPr>
          <w:rFonts w:ascii="Times New Roman" w:hAnsi="Times New Roman"/>
          <w:color w:val="000000"/>
          <w:sz w:val="20"/>
        </w:rPr>
        <w:t>” means the fiscal year of the Company ending on the first Thursday after December 25th of each year.</w:t>
      </w:r>
    </w:p>
    <w:p>
      <w:pPr>
        <w:pStyle w:val="TextBody"/>
        <w:bidi w:val="0"/>
        <w:spacing w:before="180" w:after="283"/>
        <w:jc w:val="left"/>
        <w:rPr/>
      </w:pPr>
      <w:r>
        <w:rPr>
          <w:color w:val="000000"/>
        </w:rPr>
        <w:t>“</w:t>
      </w:r>
      <w:r>
        <w:rPr>
          <w:rFonts w:ascii="Times New Roman" w:hAnsi="Times New Roman"/>
          <w:b/>
          <w:color w:val="000000"/>
          <w:sz w:val="20"/>
          <w:u w:val="single"/>
        </w:rPr>
        <w:t>Founding Member(s)</w:t>
      </w:r>
      <w:r>
        <w:rPr>
          <w:rFonts w:ascii="Times New Roman" w:hAnsi="Times New Roman"/>
          <w:color w:val="000000"/>
          <w:sz w:val="20"/>
        </w:rPr>
        <w:t xml:space="preserve">” means each of the AMC Founding Member, the Cinemark Founding Member and the Regal Founding Member, and which shall include each of such Founding Member’s Permitted Transferees so long as Section 8.2(c) is satisfied; </w:t>
      </w:r>
      <w:r>
        <w:rPr>
          <w:rFonts w:ascii="Times New Roman" w:hAnsi="Times New Roman"/>
          <w:color w:val="000000"/>
          <w:sz w:val="20"/>
          <w:u w:val="single"/>
        </w:rPr>
        <w:t>provided</w:t>
      </w:r>
      <w:r>
        <w:rPr>
          <w:rFonts w:ascii="Times New Roman" w:hAnsi="Times New Roman"/>
          <w:color w:val="000000"/>
          <w:sz w:val="20"/>
        </w:rPr>
        <w:t xml:space="preserve"> that if a Founding Member and all of its Permitted Transferees cease to own Common Units (e.g., as a result of the surrender of Common Units pursuant to the Common Unit Adjustment Agreement or the redemption of Common Units pursuant to the exercise of the Redemption Right) the Founding Member and its Permitted Transferees shall no longer be treated as a Founding Member under this Agreement notwithstanding that the Founding Member or its Permitted Transferees may subsequently acquire additional Common Units in the Company (e.g., pursuant to the Common Unit Adjustment Agreement, in which event the Founding Member or its Permitted Transferee will be treated as a Member under this Agreement).</w:t>
      </w:r>
    </w:p>
    <w:p>
      <w:pPr>
        <w:pStyle w:val="TextBody"/>
        <w:bidi w:val="0"/>
        <w:jc w:val="left"/>
        <w:rPr/>
      </w:pPr>
      <w:r>
        <w:rPr>
          <w:color w:val="000000"/>
        </w:rPr>
        <w:t>“</w:t>
      </w:r>
      <w:r>
        <w:rPr>
          <w:rFonts w:ascii="Times New Roman" w:hAnsi="Times New Roman"/>
          <w:b/>
          <w:color w:val="000000"/>
          <w:sz w:val="20"/>
          <w:u w:val="single"/>
        </w:rPr>
        <w:t>Founding Member Approval</w:t>
      </w:r>
      <w:r>
        <w:rPr>
          <w:rFonts w:ascii="Times New Roman" w:hAnsi="Times New Roman"/>
          <w:color w:val="000000"/>
          <w:sz w:val="20"/>
        </w:rPr>
        <w:t xml:space="preserve">” means the approval of each Founding Member (in each Founding Member’s sole discretion); </w:t>
      </w:r>
      <w:r>
        <w:rPr>
          <w:rFonts w:ascii="Times New Roman" w:hAnsi="Times New Roman"/>
          <w:color w:val="000000"/>
          <w:sz w:val="20"/>
          <w:u w:val="single"/>
        </w:rPr>
        <w:t>provided</w:t>
      </w:r>
      <w:r>
        <w:rPr>
          <w:rFonts w:ascii="Times New Roman" w:hAnsi="Times New Roman"/>
          <w:color w:val="000000"/>
          <w:sz w:val="20"/>
        </w:rPr>
        <w:t xml:space="preserve"> that a Founding Member shall not be entitled to participate in giving Founding Member Approval as provided in Section 4.3(c) and if all Founding Members are no longer entitled to participate in giving Founding Member Approval then the Founding Member Approval shall not be required for any action that would otherwise require such Founding Member Approval.</w:t>
      </w:r>
    </w:p>
    <w:p>
      <w:pPr>
        <w:pStyle w:val="TextBody"/>
        <w:bidi w:val="0"/>
        <w:spacing w:before="180" w:after="283"/>
        <w:jc w:val="left"/>
        <w:rPr/>
      </w:pPr>
      <w:r>
        <w:rPr>
          <w:color w:val="000000"/>
        </w:rPr>
        <w:t>“</w:t>
      </w:r>
      <w:r>
        <w:rPr>
          <w:rFonts w:ascii="Times New Roman" w:hAnsi="Times New Roman"/>
          <w:b/>
          <w:color w:val="000000"/>
          <w:sz w:val="20"/>
          <w:u w:val="single"/>
        </w:rPr>
        <w:t>Founding Member Approval Rights</w:t>
      </w:r>
      <w:r>
        <w:rPr>
          <w:rFonts w:ascii="Times New Roman" w:hAnsi="Times New Roman"/>
          <w:color w:val="000000"/>
          <w:sz w:val="20"/>
        </w:rPr>
        <w:t>” has the meaning set forth in Section 4.3(a) of this Agreement.</w:t>
      </w:r>
    </w:p>
    <w:p>
      <w:pPr>
        <w:pStyle w:val="TextBody"/>
        <w:bidi w:val="0"/>
        <w:spacing w:before="180" w:after="283"/>
        <w:jc w:val="left"/>
        <w:rPr/>
      </w:pPr>
      <w:r>
        <w:rPr>
          <w:color w:val="000000"/>
        </w:rPr>
        <w:t>“</w:t>
      </w:r>
      <w:r>
        <w:rPr>
          <w:rFonts w:ascii="Times New Roman" w:hAnsi="Times New Roman"/>
          <w:b/>
          <w:color w:val="000000"/>
          <w:sz w:val="20"/>
          <w:u w:val="single"/>
        </w:rPr>
        <w:t>Founding Member Representation Letter</w:t>
      </w:r>
      <w:r>
        <w:rPr>
          <w:rFonts w:ascii="Times New Roman" w:hAnsi="Times New Roman"/>
          <w:color w:val="000000"/>
          <w:sz w:val="20"/>
        </w:rPr>
        <w:t>” has the meaning set forth in Section 4.1(i) of the Contribution and Unit Holders Agreement.</w:t>
      </w:r>
    </w:p>
    <w:p>
      <w:pPr>
        <w:pStyle w:val="TextBody"/>
        <w:bidi w:val="0"/>
        <w:spacing w:before="180" w:after="283"/>
        <w:jc w:val="left"/>
        <w:rPr/>
      </w:pPr>
      <w:r>
        <w:rPr>
          <w:color w:val="000000"/>
        </w:rPr>
        <w:t>“</w:t>
      </w:r>
      <w:r>
        <w:rPr>
          <w:rFonts w:ascii="Times New Roman" w:hAnsi="Times New Roman"/>
          <w:b/>
          <w:color w:val="000000"/>
          <w:sz w:val="20"/>
          <w:u w:val="single"/>
        </w:rPr>
        <w:t>Funded Indebtedness</w:t>
      </w:r>
      <w:r>
        <w:rPr>
          <w:rFonts w:ascii="Times New Roman" w:hAnsi="Times New Roman"/>
          <w:color w:val="000000"/>
          <w:sz w:val="20"/>
        </w:rPr>
        <w:t xml:space="preserve">” means the sum of (i) Indebtedness of the Company under the 2023 Credit Facility, or any refinancing thereof, </w:t>
      </w:r>
      <w:r>
        <w:rPr>
          <w:rFonts w:ascii="Times New Roman" w:hAnsi="Times New Roman"/>
          <w:color w:val="000000"/>
          <w:sz w:val="20"/>
          <w:u w:val="single"/>
        </w:rPr>
        <w:t>plus</w:t>
      </w:r>
      <w:r>
        <w:rPr>
          <w:rFonts w:ascii="Times New Roman" w:hAnsi="Times New Roman"/>
          <w:color w:val="000000"/>
          <w:sz w:val="20"/>
        </w:rPr>
        <w:t xml:space="preserve"> (ii) additional Indebtedness, or any refinancing thereof, of the Company as permitted under the terms of the 2023 Credit Facility.</w:t>
      </w:r>
    </w:p>
    <w:p>
      <w:pPr>
        <w:pStyle w:val="TextBody"/>
        <w:bidi w:val="0"/>
        <w:spacing w:before="180" w:after="283"/>
        <w:jc w:val="left"/>
        <w:rPr/>
      </w:pPr>
      <w:r>
        <w:rPr>
          <w:color w:val="000000"/>
        </w:rPr>
        <w:t>“</w:t>
      </w:r>
      <w:r>
        <w:rPr>
          <w:rFonts w:ascii="Times New Roman" w:hAnsi="Times New Roman"/>
          <w:b/>
          <w:color w:val="000000"/>
          <w:sz w:val="20"/>
          <w:u w:val="single"/>
        </w:rPr>
        <w:t>GAAP</w:t>
      </w:r>
      <w:r>
        <w:rPr>
          <w:rFonts w:ascii="Times New Roman" w:hAnsi="Times New Roman"/>
          <w:color w:val="000000"/>
          <w:sz w:val="20"/>
        </w:rPr>
        <w:t>” means generally accepted accounting principles in the United States in effect as of the relevant date on which GAAP is to be determined.</w:t>
      </w:r>
    </w:p>
    <w:p>
      <w:pPr>
        <w:pStyle w:val="TextBody"/>
        <w:bidi w:val="0"/>
        <w:spacing w:before="180" w:after="283"/>
        <w:jc w:val="left"/>
        <w:rPr/>
      </w:pPr>
      <w:r>
        <w:rPr>
          <w:color w:val="000000"/>
        </w:rPr>
        <w:t>“</w:t>
      </w:r>
      <w:r>
        <w:rPr>
          <w:rFonts w:ascii="Times New Roman" w:hAnsi="Times New Roman"/>
          <w:b/>
          <w:color w:val="000000"/>
          <w:sz w:val="20"/>
          <w:u w:val="single"/>
        </w:rPr>
        <w:t>Governmental Authority</w:t>
      </w:r>
      <w:r>
        <w:rPr>
          <w:rFonts w:ascii="Times New Roman" w:hAnsi="Times New Roman"/>
          <w:color w:val="000000"/>
          <w:sz w:val="20"/>
        </w:rPr>
        <w:t>” means any nation or government, any state or other political subdivision thereof, and any entity exercising executive, legislative, judicial, regulatory or administrative functions of or pertaining to government.</w:t>
      </w:r>
    </w:p>
    <w:p>
      <w:pPr>
        <w:pStyle w:val="TextBody"/>
        <w:bidi w:val="0"/>
        <w:spacing w:before="180" w:after="283"/>
        <w:jc w:val="left"/>
        <w:rPr/>
      </w:pPr>
      <w:r>
        <w:rPr>
          <w:color w:val="000000"/>
        </w:rPr>
        <w:t>“</w:t>
      </w:r>
      <w:r>
        <w:rPr>
          <w:rFonts w:ascii="Times New Roman" w:hAnsi="Times New Roman"/>
          <w:b/>
          <w:color w:val="000000"/>
          <w:sz w:val="20"/>
          <w:u w:val="single"/>
        </w:rPr>
        <w:t>Group</w:t>
      </w:r>
      <w:r>
        <w:rPr>
          <w:rFonts w:ascii="Times New Roman" w:hAnsi="Times New Roman"/>
          <w:color w:val="000000"/>
          <w:sz w:val="20"/>
        </w:rPr>
        <w:t>” has the meaning set forth in Section 13(d)(3) and Rule 13d-5 of the Exchange Act.</w:t>
      </w:r>
    </w:p>
    <w:p>
      <w:pPr>
        <w:pStyle w:val="TextBody"/>
        <w:bidi w:val="0"/>
        <w:spacing w:before="180" w:after="283"/>
        <w:jc w:val="left"/>
        <w:rPr/>
      </w:pPr>
      <w:r>
        <w:rPr>
          <w:color w:val="000000"/>
        </w:rPr>
        <w:t>“</w:t>
      </w:r>
      <w:r>
        <w:rPr>
          <w:rFonts w:ascii="Times New Roman" w:hAnsi="Times New Roman"/>
          <w:b/>
          <w:color w:val="000000"/>
          <w:sz w:val="20"/>
          <w:u w:val="single"/>
        </w:rPr>
        <w:t>Indebtedness</w:t>
      </w:r>
      <w:r>
        <w:rPr>
          <w:rFonts w:ascii="Times New Roman" w:hAnsi="Times New Roman"/>
          <w:color w:val="000000"/>
          <w:sz w:val="20"/>
        </w:rPr>
        <w:t>” means, with respect to any Person, at any date, without duplication, (i) all obligations of such Person for borrowed money, (ii) all obligations of such Person evidenced by bonds, debentures, notes or other similar instruments issued by such Person, (iii) all obligations of such Person to pay the deferred purchase price for property or services, except trade accounts payable arising in the ordinary course of business and consistent with past practice, (iv) all reimbursement obligations of such Person in respect of letters of credit or other similar instruments, (v) all Indebtedness of others secured by any lien, encumbrance or mortgage on any asset of such Person, and (vi) all Indebtedness of others guaranteed (whether by virtue of partnership arrangements, by agreement to keep well, to purchase assets, goods, securities or services, to take-or-pay, or to maintain a minimum net worth, financial ratio or similar requirements, or otherwise) by such Person.</w:t>
      </w:r>
    </w:p>
    <w:p>
      <w:pPr>
        <w:pStyle w:val="TextBody"/>
        <w:bidi w:val="0"/>
        <w:spacing w:before="180" w:after="283"/>
        <w:jc w:val="left"/>
        <w:rPr/>
      </w:pPr>
      <w:r>
        <w:rPr>
          <w:color w:val="000000"/>
        </w:rPr>
        <w:t>“</w:t>
      </w:r>
      <w:r>
        <w:rPr>
          <w:rFonts w:ascii="Times New Roman" w:hAnsi="Times New Roman"/>
          <w:b/>
          <w:color w:val="000000"/>
          <w:sz w:val="20"/>
          <w:u w:val="single"/>
        </w:rPr>
        <w:t>Indemnitee</w:t>
      </w:r>
      <w:r>
        <w:rPr>
          <w:rFonts w:ascii="Times New Roman" w:hAnsi="Times New Roman"/>
          <w:color w:val="000000"/>
          <w:sz w:val="20"/>
        </w:rPr>
        <w:t>” has the meaning set forth in Section 4.14(a) of this Agreement.</w:t>
      </w:r>
    </w:p>
    <w:p>
      <w:pPr>
        <w:pStyle w:val="TextBody"/>
        <w:bidi w:val="0"/>
        <w:spacing w:before="180" w:after="283"/>
        <w:jc w:val="left"/>
        <w:rPr/>
      </w:pPr>
      <w:r>
        <w:rPr>
          <w:color w:val="000000"/>
        </w:rPr>
        <w:t>“</w:t>
      </w:r>
      <w:r>
        <w:rPr>
          <w:rFonts w:ascii="Times New Roman" w:hAnsi="Times New Roman"/>
          <w:b/>
          <w:color w:val="000000"/>
          <w:sz w:val="20"/>
          <w:u w:val="single"/>
        </w:rPr>
        <w:t>Independent Directors</w:t>
      </w:r>
      <w:r>
        <w:rPr>
          <w:rFonts w:ascii="Times New Roman" w:hAnsi="Times New Roman"/>
          <w:color w:val="000000"/>
          <w:sz w:val="20"/>
        </w:rPr>
        <w:t>” means any director of NCM Inc. that, if the NCM Inc. common stock is traded on the NASDAQ Stock Market, satisfies the definition of an “independent director” set forth in the applicable rules in the Marketplace Rules of the NASDAQ Stock Market, Inc., as such rules may be amended from time to time, or, if the NCM Inc. common stock is then traded on a different exchange, such term shall mean any director of NCM Inc. that satisfies the definition of independent director according to the rules of such exchange.</w:t>
      </w:r>
    </w:p>
    <w:p>
      <w:pPr>
        <w:pStyle w:val="TextBody"/>
        <w:bidi w:val="0"/>
        <w:jc w:val="left"/>
        <w:rPr/>
      </w:pPr>
      <w:r>
        <w:rPr>
          <w:color w:val="000000"/>
        </w:rPr>
        <w:t>“</w:t>
      </w:r>
      <w:r>
        <w:rPr>
          <w:rFonts w:ascii="Times New Roman" w:hAnsi="Times New Roman"/>
          <w:b/>
          <w:color w:val="000000"/>
          <w:sz w:val="20"/>
          <w:u w:val="single"/>
        </w:rPr>
        <w:t>Initial ESA Modification Payment</w:t>
      </w:r>
      <w:r>
        <w:rPr>
          <w:rFonts w:ascii="Times New Roman" w:hAnsi="Times New Roman"/>
          <w:color w:val="000000"/>
          <w:sz w:val="20"/>
        </w:rPr>
        <w:t>” means the payments made by the Company under Section 2.05(a)(i) of the Exhibitor Services Agreements.</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color w:val="000000"/>
        </w:rPr>
        <w:t>“</w:t>
      </w:r>
      <w:r>
        <w:rPr>
          <w:rFonts w:ascii="Times New Roman" w:hAnsi="Times New Roman"/>
          <w:b/>
          <w:color w:val="000000"/>
          <w:sz w:val="20"/>
          <w:u w:val="single"/>
        </w:rPr>
        <w:t>Intellectual Property</w:t>
      </w:r>
      <w:r>
        <w:rPr>
          <w:rFonts w:ascii="Times New Roman" w:hAnsi="Times New Roman"/>
          <w:color w:val="000000"/>
          <w:sz w:val="20"/>
        </w:rPr>
        <w:t>” means all U.S., state and foreign intellectual property, including but not limited to all (i) (a) patents, inventions, discoveries, processes and designs; (b) copyrights and works of authorship in any media; (c) trademarks, service marks, trade names, trade dress and other source indicators and the goodwill of the business symbolized thereby; (d) software; and (e) trade secrets and other confidential or proprietary documents, ideas, plans and information; (ii) registrations, applications and recordings related thereto; (iii) rights to obtain renewals, extensions, continuations or similar legal protections related thereto; and (iv) rights to bring an action at law or in equity for the infringement or other impairment thereof</w:t>
      </w:r>
    </w:p>
    <w:p>
      <w:pPr>
        <w:pStyle w:val="TextBody"/>
        <w:bidi w:val="0"/>
        <w:spacing w:before="180" w:after="283"/>
        <w:jc w:val="left"/>
        <w:rPr/>
      </w:pPr>
      <w:r>
        <w:rPr>
          <w:color w:val="000000"/>
        </w:rPr>
        <w:t>“</w:t>
      </w:r>
      <w:r>
        <w:rPr>
          <w:rFonts w:ascii="Times New Roman" w:hAnsi="Times New Roman"/>
          <w:b/>
          <w:color w:val="000000"/>
          <w:sz w:val="20"/>
          <w:u w:val="single"/>
        </w:rPr>
        <w:t>Interest</w:t>
      </w:r>
      <w:r>
        <w:rPr>
          <w:rFonts w:ascii="Times New Roman" w:hAnsi="Times New Roman"/>
          <w:color w:val="000000"/>
          <w:sz w:val="20"/>
        </w:rPr>
        <w:t>” means a limited liability company interest (other than Preferred Units) in the Company as provided in this Agreement and under the LLC Act and, in addition, any and all rights and benefits to which a Member is entitled under this Agreement, together with all obligations of such Person to comply with, and rights to benefit from, the terms and provisions of this Agreement.</w:t>
      </w:r>
    </w:p>
    <w:p>
      <w:pPr>
        <w:pStyle w:val="TextBody"/>
        <w:bidi w:val="0"/>
        <w:spacing w:before="180" w:after="283"/>
        <w:jc w:val="left"/>
        <w:rPr/>
      </w:pPr>
      <w:r>
        <w:rPr>
          <w:color w:val="000000"/>
        </w:rPr>
        <w:t>“</w:t>
      </w:r>
      <w:r>
        <w:rPr>
          <w:rFonts w:ascii="Times New Roman" w:hAnsi="Times New Roman"/>
          <w:b/>
          <w:color w:val="000000"/>
          <w:sz w:val="20"/>
          <w:u w:val="single"/>
        </w:rPr>
        <w:t>Joint Venture Agreements</w:t>
      </w:r>
      <w:r>
        <w:rPr>
          <w:rFonts w:ascii="Times New Roman" w:hAnsi="Times New Roman"/>
          <w:color w:val="000000"/>
          <w:sz w:val="20"/>
        </w:rPr>
        <w:t>” means, collectively, this Agreement, the Common Unit Adjustment Agreement, the Contribution Agreement, the Contribution and Unit Holders Agreement (and various related agreements executed simultaneously therewith), the Director Designation Agreement, the Exhibitor Services Agreements, the Founding Member Representation Letter, the Loews Agreement, the Management Services Agreement, the Software License Agreement, the Subscription Agreement and the Tax Receivable Agreement.</w:t>
      </w:r>
    </w:p>
    <w:p>
      <w:pPr>
        <w:pStyle w:val="TextBody"/>
        <w:bidi w:val="0"/>
        <w:spacing w:before="180" w:after="283"/>
        <w:jc w:val="left"/>
        <w:rPr/>
      </w:pPr>
      <w:r>
        <w:rPr>
          <w:color w:val="000000"/>
        </w:rPr>
        <w:t>“</w:t>
      </w:r>
      <w:r>
        <w:rPr>
          <w:rFonts w:ascii="Times New Roman" w:hAnsi="Times New Roman"/>
          <w:b/>
          <w:color w:val="000000"/>
          <w:sz w:val="20"/>
          <w:u w:val="single"/>
        </w:rPr>
        <w:t>Joint Venture Purposes</w:t>
      </w:r>
      <w:r>
        <w:rPr>
          <w:rFonts w:ascii="Times New Roman" w:hAnsi="Times New Roman"/>
          <w:color w:val="000000"/>
          <w:sz w:val="20"/>
        </w:rPr>
        <w:t>” has the meaning set forth in Section 2.6(c) of this Agreement.</w:t>
      </w:r>
    </w:p>
    <w:p>
      <w:pPr>
        <w:pStyle w:val="TextBody"/>
        <w:bidi w:val="0"/>
        <w:spacing w:before="180" w:after="283"/>
        <w:jc w:val="left"/>
        <w:rPr/>
      </w:pPr>
      <w:r>
        <w:rPr>
          <w:color w:val="000000"/>
        </w:rPr>
        <w:t>“</w:t>
      </w:r>
      <w:r>
        <w:rPr>
          <w:rFonts w:ascii="Times New Roman" w:hAnsi="Times New Roman"/>
          <w:b/>
          <w:color w:val="000000"/>
          <w:sz w:val="20"/>
          <w:u w:val="single"/>
        </w:rPr>
        <w:t>Liabilities</w:t>
      </w:r>
      <w:r>
        <w:rPr>
          <w:rFonts w:ascii="Times New Roman" w:hAnsi="Times New Roman"/>
          <w:color w:val="000000"/>
          <w:sz w:val="20"/>
        </w:rPr>
        <w:t>” has the meaning set forth in Section 4.15(a) of this Agreement.</w:t>
      </w:r>
    </w:p>
    <w:p>
      <w:pPr>
        <w:pStyle w:val="TextBody"/>
        <w:bidi w:val="0"/>
        <w:spacing w:before="180" w:after="283"/>
        <w:jc w:val="left"/>
        <w:rPr/>
      </w:pPr>
      <w:r>
        <w:rPr>
          <w:color w:val="000000"/>
        </w:rPr>
        <w:t>“</w:t>
      </w:r>
      <w:r>
        <w:rPr>
          <w:rFonts w:ascii="Times New Roman" w:hAnsi="Times New Roman"/>
          <w:b/>
          <w:color w:val="000000"/>
          <w:sz w:val="20"/>
          <w:u w:val="single"/>
        </w:rPr>
        <w:t>Liquidator</w:t>
      </w:r>
      <w:r>
        <w:rPr>
          <w:rFonts w:ascii="Times New Roman" w:hAnsi="Times New Roman"/>
          <w:color w:val="000000"/>
          <w:sz w:val="20"/>
        </w:rPr>
        <w:t>” has the meaning set forth in Section 7.2 of this Agreement.</w:t>
      </w:r>
    </w:p>
    <w:p>
      <w:pPr>
        <w:pStyle w:val="TextBody"/>
        <w:bidi w:val="0"/>
        <w:spacing w:before="180" w:after="283"/>
        <w:jc w:val="left"/>
        <w:rPr/>
      </w:pPr>
      <w:r>
        <w:rPr>
          <w:color w:val="000000"/>
        </w:rPr>
        <w:t>“</w:t>
      </w:r>
      <w:r>
        <w:rPr>
          <w:rFonts w:ascii="Times New Roman" w:hAnsi="Times New Roman"/>
          <w:b/>
          <w:color w:val="000000"/>
          <w:sz w:val="20"/>
          <w:u w:val="single"/>
        </w:rPr>
        <w:t>LLC Act</w:t>
      </w:r>
      <w:r>
        <w:rPr>
          <w:rFonts w:ascii="Times New Roman" w:hAnsi="Times New Roman"/>
          <w:color w:val="000000"/>
          <w:sz w:val="20"/>
        </w:rPr>
        <w:t xml:space="preserve">” means the Delaware Limited Liability Company Act, 6 </w:t>
      </w:r>
      <w:r>
        <w:rPr>
          <w:rFonts w:ascii="Times New Roman" w:hAnsi="Times New Roman"/>
          <w:color w:val="000000"/>
          <w:sz w:val="20"/>
          <w:u w:val="single"/>
        </w:rPr>
        <w:t>Del.C.</w:t>
      </w:r>
      <w:r>
        <w:rPr>
          <w:rFonts w:ascii="Times New Roman" w:hAnsi="Times New Roman"/>
          <w:color w:val="000000"/>
          <w:sz w:val="20"/>
        </w:rPr>
        <w:t xml:space="preserve"> §§ 18-101, </w:t>
      </w:r>
      <w:r>
        <w:rPr>
          <w:rFonts w:ascii="Times New Roman" w:hAnsi="Times New Roman"/>
          <w:color w:val="000000"/>
          <w:sz w:val="20"/>
          <w:u w:val="single"/>
        </w:rPr>
        <w:t>et seq.</w:t>
      </w:r>
      <w:r>
        <w:rPr>
          <w:rFonts w:ascii="Times New Roman" w:hAnsi="Times New Roman"/>
          <w:color w:val="000000"/>
          <w:sz w:val="20"/>
        </w:rPr>
        <w:t>, as it may be amended from time to time, and any successor to such statute.</w:t>
      </w:r>
    </w:p>
    <w:p>
      <w:pPr>
        <w:pStyle w:val="TextBody"/>
        <w:bidi w:val="0"/>
        <w:spacing w:before="180" w:after="283"/>
        <w:jc w:val="left"/>
        <w:rPr/>
      </w:pPr>
      <w:r>
        <w:rPr>
          <w:color w:val="000000"/>
        </w:rPr>
        <w:t>“</w:t>
      </w:r>
      <w:r>
        <w:rPr>
          <w:rFonts w:ascii="Times New Roman" w:hAnsi="Times New Roman"/>
          <w:b/>
          <w:color w:val="000000"/>
          <w:sz w:val="20"/>
          <w:u w:val="single"/>
        </w:rPr>
        <w:t>Loews Agreement</w:t>
      </w:r>
      <w:r>
        <w:rPr>
          <w:rFonts w:ascii="Times New Roman" w:hAnsi="Times New Roman"/>
          <w:color w:val="000000"/>
          <w:sz w:val="20"/>
        </w:rPr>
        <w:t>” means the First Amended and Restated Loews Screen Integration Agreement, dated as of February 13, 2007, by and among AMC and the Company, as the same may be amended, supplemented or otherwise modified from time to time.</w:t>
      </w:r>
    </w:p>
    <w:p>
      <w:pPr>
        <w:pStyle w:val="TextBody"/>
        <w:bidi w:val="0"/>
        <w:spacing w:before="180" w:after="283"/>
        <w:jc w:val="left"/>
        <w:rPr/>
      </w:pPr>
      <w:r>
        <w:rPr>
          <w:color w:val="000000"/>
        </w:rPr>
        <w:t>“</w:t>
      </w:r>
      <w:r>
        <w:rPr>
          <w:rFonts w:ascii="Times New Roman" w:hAnsi="Times New Roman"/>
          <w:b/>
          <w:color w:val="000000"/>
          <w:sz w:val="20"/>
          <w:u w:val="single"/>
        </w:rPr>
        <w:t>Majority Member Vote</w:t>
      </w:r>
      <w:r>
        <w:rPr>
          <w:rFonts w:ascii="Times New Roman" w:hAnsi="Times New Roman"/>
          <w:color w:val="000000"/>
          <w:sz w:val="20"/>
        </w:rPr>
        <w:t>” means the affirmative vote by both: (a) holders of Common Units representing a majority of all the Common Units then issued and outstanding and (b) if there are any remaining Founding Members, each Founding Member.</w:t>
      </w:r>
    </w:p>
    <w:p>
      <w:pPr>
        <w:pStyle w:val="TextBody"/>
        <w:bidi w:val="0"/>
        <w:spacing w:before="180" w:after="283"/>
        <w:jc w:val="left"/>
        <w:rPr/>
      </w:pPr>
      <w:r>
        <w:rPr>
          <w:color w:val="000000"/>
        </w:rPr>
        <w:t>“</w:t>
      </w:r>
      <w:r>
        <w:rPr>
          <w:rFonts w:ascii="Times New Roman" w:hAnsi="Times New Roman"/>
          <w:b/>
          <w:color w:val="000000"/>
          <w:sz w:val="20"/>
          <w:u w:val="single"/>
        </w:rPr>
        <w:t>Management Services Agreement</w:t>
      </w:r>
      <w:r>
        <w:rPr>
          <w:rFonts w:ascii="Times New Roman" w:hAnsi="Times New Roman"/>
          <w:color w:val="000000"/>
          <w:sz w:val="20"/>
        </w:rPr>
        <w:t>” means the Management Services Agreement, dated as of February 13, 2007, by and between the Company and NCM Inc., as the same may be amended, supplemented or otherwise modified from time to time.</w:t>
      </w:r>
    </w:p>
    <w:p>
      <w:pPr>
        <w:pStyle w:val="TextBody"/>
        <w:bidi w:val="0"/>
        <w:spacing w:before="180" w:after="283"/>
        <w:jc w:val="left"/>
        <w:rPr/>
      </w:pPr>
      <w:r>
        <w:rPr>
          <w:color w:val="000000"/>
        </w:rPr>
        <w:t>“</w:t>
      </w:r>
      <w:r>
        <w:rPr>
          <w:rFonts w:ascii="Times New Roman" w:hAnsi="Times New Roman"/>
          <w:b/>
          <w:color w:val="000000"/>
          <w:sz w:val="20"/>
          <w:u w:val="single"/>
        </w:rPr>
        <w:t>Manager</w:t>
      </w:r>
      <w:r>
        <w:rPr>
          <w:rFonts w:ascii="Times New Roman" w:hAnsi="Times New Roman"/>
          <w:color w:val="000000"/>
          <w:sz w:val="20"/>
        </w:rPr>
        <w:t>” has the meaning set forth in Section 4.1 of this Agreement.</w:t>
      </w:r>
    </w:p>
    <w:p>
      <w:pPr>
        <w:pStyle w:val="TextBody"/>
        <w:bidi w:val="0"/>
        <w:jc w:val="left"/>
        <w:rPr/>
      </w:pPr>
      <w:r>
        <w:rPr>
          <w:color w:val="000000"/>
        </w:rPr>
        <w:t>“</w:t>
      </w:r>
      <w:r>
        <w:rPr>
          <w:rFonts w:ascii="Times New Roman" w:hAnsi="Times New Roman"/>
          <w:b/>
          <w:color w:val="000000"/>
          <w:sz w:val="20"/>
          <w:u w:val="single"/>
        </w:rPr>
        <w:t>Marquee Holdings</w:t>
      </w:r>
      <w:r>
        <w:rPr>
          <w:rFonts w:ascii="Times New Roman" w:hAnsi="Times New Roman"/>
          <w:color w:val="000000"/>
          <w:sz w:val="20"/>
        </w:rPr>
        <w:t>” means Marquee Holdings Inc. or its successor or any Person that wholly-owns Marquee Holdings, directly or indirectly, in the future.</w:t>
      </w:r>
    </w:p>
    <w:p>
      <w:pPr>
        <w:pStyle w:val="TextBody"/>
        <w:bidi w:val="0"/>
        <w:spacing w:before="180" w:after="283"/>
        <w:jc w:val="left"/>
        <w:rPr/>
      </w:pPr>
      <w:r>
        <w:rPr>
          <w:color w:val="000000"/>
        </w:rPr>
        <w:t>“</w:t>
      </w:r>
      <w:r>
        <w:rPr>
          <w:rFonts w:ascii="Times New Roman" w:hAnsi="Times New Roman"/>
          <w:b/>
          <w:color w:val="000000"/>
          <w:sz w:val="20"/>
          <w:u w:val="single"/>
        </w:rPr>
        <w:t>Member</w:t>
      </w:r>
      <w:r>
        <w:rPr>
          <w:rFonts w:ascii="Times New Roman" w:hAnsi="Times New Roman"/>
          <w:color w:val="000000"/>
          <w:sz w:val="20"/>
        </w:rPr>
        <w:t>” means each Person that becomes a member, as contemplated in the LLC Act, of the Company in accordance with the provisions of this Agreement and has not ceased to be a Member as provided in Section 3.1(d) of this Agreement, and each of such Member’s transferees, if applicable.</w:t>
      </w:r>
    </w:p>
    <w:p>
      <w:pPr>
        <w:pStyle w:val="TextBody"/>
        <w:bidi w:val="0"/>
        <w:spacing w:before="180" w:after="283"/>
        <w:jc w:val="left"/>
        <w:rPr/>
      </w:pPr>
      <w:r>
        <w:rPr>
          <w:color w:val="000000"/>
        </w:rPr>
        <w:t>“</w:t>
      </w:r>
      <w:r>
        <w:rPr>
          <w:rFonts w:ascii="Times New Roman" w:hAnsi="Times New Roman"/>
          <w:b/>
          <w:color w:val="000000"/>
          <w:sz w:val="20"/>
          <w:u w:val="single"/>
        </w:rPr>
        <w:t>Member Information</w:t>
      </w:r>
      <w:r>
        <w:rPr>
          <w:rFonts w:ascii="Times New Roman" w:hAnsi="Times New Roman"/>
          <w:color w:val="000000"/>
          <w:sz w:val="20"/>
        </w:rPr>
        <w:t>” has the meaning set forth in Section 10.3(c) of this Agreement.</w:t>
      </w:r>
    </w:p>
    <w:p>
      <w:pPr>
        <w:pStyle w:val="TextBody"/>
        <w:bidi w:val="0"/>
        <w:spacing w:before="180" w:after="283"/>
        <w:jc w:val="left"/>
        <w:rPr/>
      </w:pPr>
      <w:r>
        <w:rPr>
          <w:color w:val="000000"/>
        </w:rPr>
        <w:t>“</w:t>
      </w:r>
      <w:r>
        <w:rPr>
          <w:rFonts w:ascii="Times New Roman" w:hAnsi="Times New Roman"/>
          <w:b/>
          <w:color w:val="000000"/>
          <w:sz w:val="20"/>
          <w:u w:val="single"/>
        </w:rPr>
        <w:t>NCM Inc.</w:t>
      </w:r>
      <w:r>
        <w:rPr>
          <w:rFonts w:ascii="Times New Roman" w:hAnsi="Times New Roman"/>
          <w:color w:val="000000"/>
          <w:sz w:val="20"/>
        </w:rPr>
        <w:t>” has the meaning set forth in the Recitals of this Agreement.</w:t>
      </w:r>
    </w:p>
    <w:p>
      <w:pPr>
        <w:pStyle w:val="TextBody"/>
        <w:bidi w:val="0"/>
        <w:spacing w:before="180" w:after="283"/>
        <w:jc w:val="left"/>
        <w:rPr/>
      </w:pPr>
      <w:r>
        <w:rPr>
          <w:color w:val="000000"/>
        </w:rPr>
        <w:t>“</w:t>
      </w:r>
      <w:r>
        <w:rPr>
          <w:rFonts w:ascii="Times New Roman" w:hAnsi="Times New Roman"/>
          <w:b/>
          <w:color w:val="000000"/>
          <w:sz w:val="20"/>
          <w:u w:val="single"/>
        </w:rPr>
        <w:t>NCM Inc. Redemption Price</w:t>
      </w:r>
      <w:r>
        <w:rPr>
          <w:rFonts w:ascii="Times New Roman" w:hAnsi="Times New Roman"/>
          <w:color w:val="000000"/>
          <w:sz w:val="20"/>
        </w:rPr>
        <w:t xml:space="preserve">” means the arithmetic average of the volume weighted average prices for a share of NCM Inc. common stock on the principal United States securities exchange or automated or electronic quotation system on which NCM Inc. common stock trades, as reported by Bloomberg, L.P., or its successor, for each of the three (3) consecutive full Trading Days ending on and including the last full Trading Day immediately prior to the Redemption Date, subject to appropriate and equitable adjustment for any stock splits, reverse splits, stock dividends or similar events affecting the NCM Inc. common stock. If the NCM Inc. common stock no longer </w:t>
      </w:r>
    </w:p>
    <w:p>
      <w:pPr>
        <w:pStyle w:val="HorizontalLine"/>
        <w:pBdr>
          <w:bottom w:val="double" w:sz="2" w:space="0" w:color="808080"/>
        </w:pBdr>
        <w:bidi w:val="0"/>
        <w:spacing w:before="0" w:after="283"/>
        <w:jc w:val="left"/>
        <w:rPr/>
      </w:pPr>
      <w:r>
        <w:rPr/>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trades on a securities exchange or automated or electronic quotation system, then a majority of the Independent Directors of NCM Inc. shall determine the NCM Inc. Redemption Price in good faith.</w:t>
      </w:r>
    </w:p>
    <w:p>
      <w:pPr>
        <w:pStyle w:val="TextBody"/>
        <w:bidi w:val="0"/>
        <w:spacing w:before="180" w:after="283"/>
        <w:jc w:val="left"/>
        <w:rPr/>
      </w:pPr>
      <w:r>
        <w:rPr>
          <w:color w:val="000000"/>
        </w:rPr>
        <w:t>“</w:t>
      </w:r>
      <w:r>
        <w:rPr>
          <w:rFonts w:ascii="Times New Roman" w:hAnsi="Times New Roman"/>
          <w:b/>
          <w:color w:val="000000"/>
          <w:sz w:val="20"/>
          <w:u w:val="single"/>
        </w:rPr>
        <w:t>NCN</w:t>
      </w:r>
      <w:r>
        <w:rPr>
          <w:rFonts w:ascii="Times New Roman" w:hAnsi="Times New Roman"/>
          <w:color w:val="000000"/>
          <w:sz w:val="20"/>
        </w:rPr>
        <w:t>” has the meaning set forth in the Recitals of this Agreement.</w:t>
      </w:r>
    </w:p>
    <w:p>
      <w:pPr>
        <w:pStyle w:val="TextBody"/>
        <w:bidi w:val="0"/>
        <w:spacing w:before="180" w:after="283"/>
        <w:jc w:val="left"/>
        <w:rPr/>
      </w:pPr>
      <w:r>
        <w:rPr>
          <w:color w:val="000000"/>
        </w:rPr>
        <w:t>“</w:t>
      </w:r>
      <w:r>
        <w:rPr>
          <w:rFonts w:ascii="Times New Roman" w:hAnsi="Times New Roman"/>
          <w:b/>
          <w:color w:val="000000"/>
          <w:sz w:val="20"/>
          <w:u w:val="single"/>
        </w:rPr>
        <w:t>Net Income</w:t>
      </w:r>
      <w:r>
        <w:rPr>
          <w:rFonts w:ascii="Times New Roman" w:hAnsi="Times New Roman"/>
          <w:color w:val="000000"/>
          <w:sz w:val="20"/>
        </w:rPr>
        <w:t>” or “</w:t>
      </w:r>
      <w:r>
        <w:rPr>
          <w:rFonts w:ascii="Times New Roman" w:hAnsi="Times New Roman"/>
          <w:b/>
          <w:color w:val="000000"/>
          <w:sz w:val="20"/>
          <w:u w:val="single"/>
        </w:rPr>
        <w:t>Net Losses</w:t>
      </w:r>
      <w:r>
        <w:rPr>
          <w:rFonts w:ascii="Times New Roman" w:hAnsi="Times New Roman"/>
          <w:color w:val="000000"/>
          <w:sz w:val="20"/>
        </w:rPr>
        <w:t xml:space="preserve">”, as appropriate, means, for any period, the taxable income or tax loss of the Company for such period for federal income tax purposes, as determined in accordance with the accounting method used by the Company for federal income tax purposes, taking into account any separately stated tax items and increased by the amount of any tax-exempt income of the Company during such period and decreased by the amount of any Code Section 705(a)(2)(B) expenditures (within the meaning of Treasury Regulations Section 1.704-1(b)(2)(iv)(i)) of the Company;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 Net Income or Net Losses of the Company shall be computed without regard to the amount of any items of gross income, gain, loss or deduction that are specifically allocated pursuant to Section 6.4(b), and (ii) in determining Net Income or Net Losses of the Company, any amounts paid under the Management Services Agreement and any amounts paid under the Exhibitor Services Agreements shall be treated as payments to a non-Member under Code Section 707. In the event that the Capital Accounts are adjusted pursuant to an adjustment to the Carrying Value of an asset of the Company or as otherwise provided for in this Agreement, the Net Income or Net Losses of the Company (and the constituent items of income, gain, loss and deduction) realized thereafter shall be computed in accordance with the principles of Treasury Regulations Section 1.704-1(b)(2)(iv)(g). If the Carrying Value of an asset is adjusted, such asset shall be treated as having been sold for its fair market value and any deemed gain or loss shall be taken into account in determining Net Income or Net Losses.</w:t>
      </w:r>
    </w:p>
    <w:p>
      <w:pPr>
        <w:pStyle w:val="TextBody"/>
        <w:bidi w:val="0"/>
        <w:jc w:val="left"/>
        <w:rPr/>
      </w:pPr>
      <w:r>
        <w:rPr>
          <w:color w:val="000000"/>
        </w:rPr>
        <w:t>“</w:t>
      </w:r>
      <w:r>
        <w:rPr>
          <w:rFonts w:ascii="Times New Roman" w:hAnsi="Times New Roman"/>
          <w:b/>
          <w:color w:val="000000"/>
          <w:sz w:val="20"/>
          <w:u w:val="single"/>
        </w:rPr>
        <w:t>Nominating Committee</w:t>
      </w:r>
      <w:r>
        <w:rPr>
          <w:rFonts w:ascii="Times New Roman" w:hAnsi="Times New Roman"/>
          <w:color w:val="000000"/>
          <w:sz w:val="20"/>
        </w:rPr>
        <w:t>” has the meaning set forth in Section 1.1 of the Director Designation Agreement.</w:t>
      </w:r>
    </w:p>
    <w:p>
      <w:pPr>
        <w:pStyle w:val="TextBody"/>
        <w:bidi w:val="0"/>
        <w:spacing w:before="180" w:after="283"/>
        <w:jc w:val="left"/>
        <w:rPr/>
      </w:pPr>
      <w:r>
        <w:rPr>
          <w:color w:val="000000"/>
        </w:rPr>
        <w:t>“</w:t>
      </w:r>
      <w:r>
        <w:rPr>
          <w:rFonts w:ascii="Times New Roman" w:hAnsi="Times New Roman"/>
          <w:b/>
          <w:color w:val="000000"/>
          <w:sz w:val="20"/>
          <w:u w:val="single"/>
        </w:rPr>
        <w:t>Nonrecourse Debt</w:t>
      </w:r>
      <w:r>
        <w:rPr>
          <w:rFonts w:ascii="Times New Roman" w:hAnsi="Times New Roman"/>
          <w:color w:val="000000"/>
          <w:sz w:val="20"/>
        </w:rPr>
        <w:t>” means any Company liability to the extent that no Member or related person bears the economic risk of loss for such liability under Section 1.752-2 of the Treasury Regulations.</w:t>
      </w:r>
    </w:p>
    <w:p>
      <w:pPr>
        <w:pStyle w:val="TextBody"/>
        <w:bidi w:val="0"/>
        <w:spacing w:before="180" w:after="283"/>
        <w:jc w:val="left"/>
        <w:rPr/>
      </w:pPr>
      <w:r>
        <w:rPr>
          <w:color w:val="000000"/>
        </w:rPr>
        <w:t>“</w:t>
      </w:r>
      <w:r>
        <w:rPr>
          <w:rFonts w:ascii="Times New Roman" w:hAnsi="Times New Roman"/>
          <w:b/>
          <w:color w:val="000000"/>
          <w:sz w:val="20"/>
          <w:u w:val="single"/>
        </w:rPr>
        <w:t>Options</w:t>
      </w:r>
      <w:r>
        <w:rPr>
          <w:rFonts w:ascii="Times New Roman" w:hAnsi="Times New Roman"/>
          <w:color w:val="000000"/>
          <w:sz w:val="20"/>
        </w:rPr>
        <w:t>” means options, issued under the NCM Inc. Equity Incentive Plan, to acquire common stock or other equity equivalents of NCM Inc.</w:t>
      </w:r>
    </w:p>
    <w:p>
      <w:pPr>
        <w:pStyle w:val="TextBody"/>
        <w:bidi w:val="0"/>
        <w:spacing w:before="180" w:after="283"/>
        <w:jc w:val="left"/>
        <w:rPr/>
      </w:pPr>
      <w:r>
        <w:rPr>
          <w:color w:val="000000"/>
        </w:rPr>
        <w:t>“</w:t>
      </w:r>
      <w:r>
        <w:rPr>
          <w:rFonts w:ascii="Times New Roman" w:hAnsi="Times New Roman"/>
          <w:b/>
          <w:color w:val="000000"/>
          <w:sz w:val="20"/>
          <w:u w:val="single"/>
        </w:rPr>
        <w:t>Original Agreement</w:t>
      </w:r>
      <w:r>
        <w:rPr>
          <w:rFonts w:ascii="Times New Roman" w:hAnsi="Times New Roman"/>
          <w:color w:val="000000"/>
          <w:sz w:val="20"/>
        </w:rPr>
        <w:t>” has the meaning set forth in the Recitals of this Agreement.</w:t>
      </w:r>
    </w:p>
    <w:p>
      <w:pPr>
        <w:pStyle w:val="TextBody"/>
        <w:bidi w:val="0"/>
        <w:spacing w:before="180" w:after="283"/>
        <w:jc w:val="left"/>
        <w:rPr/>
      </w:pPr>
      <w:r>
        <w:rPr>
          <w:color w:val="000000"/>
        </w:rPr>
        <w:t>“</w:t>
      </w:r>
      <w:r>
        <w:rPr>
          <w:rFonts w:ascii="Times New Roman" w:hAnsi="Times New Roman"/>
          <w:b/>
          <w:color w:val="000000"/>
          <w:sz w:val="20"/>
          <w:u w:val="single"/>
        </w:rPr>
        <w:t>Over-Allotment Option</w:t>
      </w:r>
      <w:r>
        <w:rPr>
          <w:rFonts w:ascii="Times New Roman" w:hAnsi="Times New Roman"/>
          <w:color w:val="000000"/>
          <w:sz w:val="20"/>
        </w:rPr>
        <w:t>” has the meaning set forth in Section 3.4(c) of this Agreement.</w:t>
      </w:r>
    </w:p>
    <w:p>
      <w:pPr>
        <w:pStyle w:val="TextBody"/>
        <w:bidi w:val="0"/>
        <w:spacing w:before="180" w:after="283"/>
        <w:jc w:val="left"/>
        <w:rPr/>
      </w:pPr>
      <w:r>
        <w:rPr>
          <w:color w:val="000000"/>
        </w:rPr>
        <w:t>“</w:t>
      </w:r>
      <w:r>
        <w:rPr>
          <w:rFonts w:ascii="Times New Roman" w:hAnsi="Times New Roman"/>
          <w:b/>
          <w:color w:val="000000"/>
          <w:sz w:val="20"/>
          <w:u w:val="single"/>
        </w:rPr>
        <w:t>Over-Allotment Unit Purchase</w:t>
      </w:r>
      <w:r>
        <w:rPr>
          <w:rFonts w:ascii="Times New Roman" w:hAnsi="Times New Roman"/>
          <w:color w:val="000000"/>
          <w:sz w:val="20"/>
        </w:rPr>
        <w:t>” has the meaning set forth in Section 3.4(c) of this Agreement.</w:t>
      </w:r>
    </w:p>
    <w:p>
      <w:pPr>
        <w:pStyle w:val="TextBody"/>
        <w:bidi w:val="0"/>
        <w:spacing w:before="180" w:after="283"/>
        <w:jc w:val="left"/>
        <w:rPr/>
      </w:pPr>
      <w:r>
        <w:rPr>
          <w:color w:val="000000"/>
        </w:rPr>
        <w:t>“</w:t>
      </w:r>
      <w:r>
        <w:rPr>
          <w:rFonts w:ascii="Times New Roman" w:hAnsi="Times New Roman"/>
          <w:b/>
          <w:color w:val="000000"/>
          <w:sz w:val="20"/>
          <w:u w:val="single"/>
        </w:rPr>
        <w:t>Partner Nonrecourse Debt</w:t>
      </w:r>
      <w:r>
        <w:rPr>
          <w:rFonts w:ascii="Times New Roman" w:hAnsi="Times New Roman"/>
          <w:color w:val="000000"/>
          <w:sz w:val="20"/>
        </w:rPr>
        <w:t>” means any Company liability to the extent such liability is nonrecourse for purposes of Section 1.1001-2 of the Treasury Regulations with respect to which a Member (or related person within the meaning of Section 1.752-4(b) of the Treasury Regulations) bears the economic risk of loss under Section 1.752-2 of the Treasury Regulations because, for example, the Member or related person is a creditor or guarantor with respect to such liability.</w:t>
      </w:r>
    </w:p>
    <w:p>
      <w:pPr>
        <w:pStyle w:val="TextBody"/>
        <w:bidi w:val="0"/>
        <w:spacing w:before="180" w:after="283"/>
        <w:jc w:val="left"/>
        <w:rPr/>
      </w:pPr>
      <w:r>
        <w:rPr>
          <w:color w:val="000000"/>
        </w:rPr>
        <w:t>“</w:t>
      </w:r>
      <w:r>
        <w:rPr>
          <w:rFonts w:ascii="Times New Roman" w:hAnsi="Times New Roman"/>
          <w:b/>
          <w:color w:val="000000"/>
          <w:sz w:val="20"/>
          <w:u w:val="single"/>
        </w:rPr>
        <w:t>Partner Nonrecourse Debt Minimum Gain</w:t>
      </w:r>
      <w:r>
        <w:rPr>
          <w:rFonts w:ascii="Times New Roman" w:hAnsi="Times New Roman"/>
          <w:color w:val="000000"/>
          <w:sz w:val="20"/>
        </w:rPr>
        <w:t>” has the meaning set forth in Section l.704-2(i)(2) of the Treasury Regulations and, as provided therein, shall generally be the amount, with respect to each Partner Nonrecourse Debt, equal to the Partnership Minimum Gain that would result if such Partner Nonrecourse Debt were treated as a Nonrecourse Debt.</w:t>
      </w:r>
    </w:p>
    <w:p>
      <w:pPr>
        <w:pStyle w:val="TextBody"/>
        <w:bidi w:val="0"/>
        <w:spacing w:before="180" w:after="283"/>
        <w:jc w:val="left"/>
        <w:rPr/>
      </w:pPr>
      <w:r>
        <w:rPr>
          <w:color w:val="000000"/>
        </w:rPr>
        <w:t>“</w:t>
      </w:r>
      <w:r>
        <w:rPr>
          <w:rFonts w:ascii="Times New Roman" w:hAnsi="Times New Roman"/>
          <w:b/>
          <w:color w:val="000000"/>
          <w:sz w:val="20"/>
          <w:u w:val="single"/>
        </w:rPr>
        <w:t>Partnership Minimum Gain</w:t>
      </w:r>
      <w:r>
        <w:rPr>
          <w:rFonts w:ascii="Times New Roman" w:hAnsi="Times New Roman"/>
          <w:color w:val="000000"/>
          <w:sz w:val="20"/>
        </w:rPr>
        <w:t>” has the meaning set forth in Section 1.704-2(b)(2) of the Treasury Regulations and, as provided therein, shall generally be determined by computing, for each Nonrecourse Debt of the Company, any Net Income the Company would realize if it disposed of the property subject to that liability for no consideration other than full satisfaction of the liability and then aggregating the separate amounts of Net Income so computed.</w:t>
      </w:r>
    </w:p>
    <w:p>
      <w:pPr>
        <w:pStyle w:val="TextBody"/>
        <w:bidi w:val="0"/>
        <w:spacing w:before="180" w:after="283"/>
        <w:jc w:val="left"/>
        <w:rPr/>
      </w:pPr>
      <w:r>
        <w:rPr>
          <w:color w:val="000000"/>
        </w:rPr>
        <w:t>“</w:t>
      </w:r>
      <w:r>
        <w:rPr>
          <w:rFonts w:ascii="Times New Roman" w:hAnsi="Times New Roman"/>
          <w:b/>
          <w:color w:val="000000"/>
          <w:sz w:val="20"/>
          <w:u w:val="single"/>
        </w:rPr>
        <w:t>Percentage Interest</w:t>
      </w:r>
      <w:r>
        <w:rPr>
          <w:rFonts w:ascii="Times New Roman" w:hAnsi="Times New Roman"/>
          <w:color w:val="000000"/>
          <w:sz w:val="20"/>
        </w:rPr>
        <w:t>” means, with respect to any Member at any time, the percentage represented by a fraction, the numerator of which is the number of Common Units owned by such Member, and the denominator of which is the aggregate number of Common Units then outstanding, as shall be adjusted in accordance with Sections 3.4(f), 3.4(g), 3.5 and 9.1, and as otherwise provided in this Agreement.</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color w:val="000000"/>
        </w:rPr>
        <w:t>“</w:t>
      </w:r>
      <w:r>
        <w:rPr>
          <w:rFonts w:ascii="Times New Roman" w:hAnsi="Times New Roman"/>
          <w:b/>
          <w:color w:val="000000"/>
          <w:sz w:val="20"/>
          <w:u w:val="single"/>
        </w:rPr>
        <w:t>Permitted Transferee</w:t>
      </w:r>
      <w:r>
        <w:rPr>
          <w:rFonts w:ascii="Times New Roman" w:hAnsi="Times New Roman"/>
          <w:color w:val="000000"/>
          <w:sz w:val="20"/>
        </w:rPr>
        <w:t>” means (i) in the case of any Member and any Permitted Transferee of any Member, an Affiliate of such Member or Permitted Transferee, or (ii) in the case of any Founding Member and any Permitted Transferee of a Founding Member, a non-Affiliate of such Founding Member or Permitted Transferee if more than 50% of the non-Affiliate’s general voting power is owned directly or indirectly through one or more entities that are the same entities that own 50% or more of the general voting power of the Ultimate Parent of such Founding Member.</w:t>
      </w:r>
    </w:p>
    <w:p>
      <w:pPr>
        <w:pStyle w:val="TextBody"/>
        <w:bidi w:val="0"/>
        <w:spacing w:before="180" w:after="283"/>
        <w:jc w:val="left"/>
        <w:rPr/>
      </w:pPr>
      <w:r>
        <w:rPr>
          <w:color w:val="000000"/>
        </w:rPr>
        <w:t>“</w:t>
      </w:r>
      <w:r>
        <w:rPr>
          <w:rFonts w:ascii="Times New Roman" w:hAnsi="Times New Roman"/>
          <w:b/>
          <w:color w:val="000000"/>
          <w:sz w:val="20"/>
          <w:u w:val="single"/>
        </w:rPr>
        <w:t>Person</w:t>
      </w:r>
      <w:r>
        <w:rPr>
          <w:rFonts w:ascii="Times New Roman" w:hAnsi="Times New Roman"/>
          <w:color w:val="000000"/>
          <w:sz w:val="20"/>
        </w:rPr>
        <w:t>” means any individual, corporation, limited liability company, partnership, trust, joint stock company, business trust, unincorporated association, joint venture, Governmental Authority or other entity or organization of any nature whatsoever or any Group of two or more of the foregoing.</w:t>
      </w:r>
    </w:p>
    <w:p>
      <w:pPr>
        <w:pStyle w:val="TextBody"/>
        <w:bidi w:val="0"/>
        <w:spacing w:before="180" w:after="283"/>
        <w:jc w:val="left"/>
        <w:rPr/>
      </w:pPr>
      <w:r>
        <w:rPr>
          <w:color w:val="000000"/>
        </w:rPr>
        <w:t>“</w:t>
      </w:r>
      <w:r>
        <w:rPr>
          <w:rFonts w:ascii="Times New Roman" w:hAnsi="Times New Roman"/>
          <w:b/>
          <w:color w:val="000000"/>
          <w:sz w:val="20"/>
          <w:u w:val="single"/>
        </w:rPr>
        <w:t>Preferred Distribution</w:t>
      </w:r>
      <w:r>
        <w:rPr>
          <w:rFonts w:ascii="Times New Roman" w:hAnsi="Times New Roman"/>
          <w:color w:val="000000"/>
          <w:sz w:val="20"/>
        </w:rPr>
        <w:t>” has the meaning set forth in Section 3.4(e) of this Agreement.</w:t>
      </w:r>
    </w:p>
    <w:p>
      <w:pPr>
        <w:pStyle w:val="TextBody"/>
        <w:bidi w:val="0"/>
        <w:spacing w:before="180" w:after="283"/>
        <w:jc w:val="left"/>
        <w:rPr/>
      </w:pPr>
      <w:r>
        <w:rPr>
          <w:color w:val="000000"/>
        </w:rPr>
        <w:t>“</w:t>
      </w:r>
      <w:r>
        <w:rPr>
          <w:rFonts w:ascii="Times New Roman" w:hAnsi="Times New Roman"/>
          <w:b/>
          <w:color w:val="000000"/>
          <w:sz w:val="20"/>
          <w:u w:val="single"/>
        </w:rPr>
        <w:t>Preferred Unit</w:t>
      </w:r>
      <w:r>
        <w:rPr>
          <w:rFonts w:ascii="Times New Roman" w:hAnsi="Times New Roman"/>
          <w:color w:val="000000"/>
          <w:sz w:val="20"/>
        </w:rPr>
        <w:t>” means Units having the rights described in Section 3.4(e) of this Agreement.</w:t>
      </w:r>
    </w:p>
    <w:p>
      <w:pPr>
        <w:pStyle w:val="TextBody"/>
        <w:bidi w:val="0"/>
        <w:spacing w:before="180" w:after="283"/>
        <w:jc w:val="left"/>
        <w:rPr/>
      </w:pPr>
      <w:r>
        <w:rPr>
          <w:color w:val="000000"/>
        </w:rPr>
        <w:t>“</w:t>
      </w:r>
      <w:r>
        <w:rPr>
          <w:rFonts w:ascii="Times New Roman" w:hAnsi="Times New Roman"/>
          <w:b/>
          <w:color w:val="000000"/>
          <w:sz w:val="20"/>
          <w:u w:val="single"/>
        </w:rPr>
        <w:t>Preferred Unit Amount</w:t>
      </w:r>
      <w:r>
        <w:rPr>
          <w:rFonts w:ascii="Times New Roman" w:hAnsi="Times New Roman"/>
          <w:color w:val="000000"/>
          <w:sz w:val="20"/>
        </w:rPr>
        <w:t>” has the meaning set forth in Section 3.4(e) of this Agreement.</w:t>
      </w:r>
    </w:p>
    <w:p>
      <w:pPr>
        <w:pStyle w:val="TextBody"/>
        <w:bidi w:val="0"/>
        <w:spacing w:before="180" w:after="283"/>
        <w:jc w:val="left"/>
        <w:rPr/>
      </w:pPr>
      <w:r>
        <w:rPr>
          <w:color w:val="000000"/>
        </w:rPr>
        <w:t>“</w:t>
      </w:r>
      <w:r>
        <w:rPr>
          <w:rFonts w:ascii="Times New Roman" w:hAnsi="Times New Roman"/>
          <w:b/>
          <w:color w:val="000000"/>
          <w:sz w:val="20"/>
          <w:u w:val="single"/>
        </w:rPr>
        <w:t>Preferred Unit Indebtedness</w:t>
      </w:r>
      <w:r>
        <w:rPr>
          <w:rFonts w:ascii="Times New Roman" w:hAnsi="Times New Roman"/>
          <w:color w:val="000000"/>
          <w:sz w:val="20"/>
        </w:rPr>
        <w:t>” has the meaning set forth in Section 3.4(e) of this Agreement.</w:t>
      </w:r>
    </w:p>
    <w:p>
      <w:pPr>
        <w:pStyle w:val="TextBody"/>
        <w:bidi w:val="0"/>
        <w:spacing w:before="180" w:after="283"/>
        <w:jc w:val="left"/>
        <w:rPr/>
      </w:pPr>
      <w:r>
        <w:rPr>
          <w:color w:val="000000"/>
        </w:rPr>
        <w:t>“</w:t>
      </w:r>
      <w:r>
        <w:rPr>
          <w:rFonts w:ascii="Times New Roman" w:hAnsi="Times New Roman"/>
          <w:b/>
          <w:color w:val="000000"/>
          <w:sz w:val="20"/>
          <w:u w:val="single"/>
        </w:rPr>
        <w:t>Proprietary Information</w:t>
      </w:r>
      <w:r>
        <w:rPr>
          <w:rFonts w:ascii="Times New Roman" w:hAnsi="Times New Roman"/>
          <w:color w:val="000000"/>
          <w:sz w:val="20"/>
        </w:rPr>
        <w:t>” means all Intellectual Property, including but not limited to information of a technological or business nature, whether written or oral and if written, however produced or reproduced, received by or otherwise disclosed to the receiving party from or by the disclosing party that is marked proprietary or confidential or bears a marking of like import, or that the disclosing party states is to be considered proprietary or confidential, or that a reasonable person would consider proprietary or confidential under the circumstances of its disclosure.</w:t>
      </w:r>
    </w:p>
    <w:p>
      <w:pPr>
        <w:pStyle w:val="TextBody"/>
        <w:bidi w:val="0"/>
        <w:spacing w:before="180" w:after="283"/>
        <w:jc w:val="left"/>
        <w:rPr/>
      </w:pPr>
      <w:r>
        <w:rPr>
          <w:color w:val="000000"/>
        </w:rPr>
        <w:t>“</w:t>
      </w:r>
      <w:r>
        <w:rPr>
          <w:rFonts w:ascii="Times New Roman" w:hAnsi="Times New Roman"/>
          <w:b/>
          <w:color w:val="000000"/>
          <w:sz w:val="20"/>
          <w:u w:val="single"/>
        </w:rPr>
        <w:t>RCM</w:t>
      </w:r>
      <w:r>
        <w:rPr>
          <w:rFonts w:ascii="Times New Roman" w:hAnsi="Times New Roman"/>
          <w:color w:val="000000"/>
          <w:sz w:val="20"/>
        </w:rPr>
        <w:t>” means Regal CineMedia Corporation, a Virginia corporation, or its successor.</w:t>
      </w:r>
    </w:p>
    <w:p>
      <w:pPr>
        <w:pStyle w:val="TextBody"/>
        <w:bidi w:val="0"/>
        <w:spacing w:before="180" w:after="283"/>
        <w:jc w:val="left"/>
        <w:rPr/>
      </w:pPr>
      <w:r>
        <w:rPr>
          <w:color w:val="000000"/>
        </w:rPr>
        <w:t>“</w:t>
      </w:r>
      <w:r>
        <w:rPr>
          <w:rFonts w:ascii="Times New Roman" w:hAnsi="Times New Roman"/>
          <w:b/>
          <w:color w:val="000000"/>
          <w:sz w:val="20"/>
          <w:u w:val="single"/>
        </w:rPr>
        <w:t>Redeemed Units</w:t>
      </w:r>
      <w:r>
        <w:rPr>
          <w:rFonts w:ascii="Times New Roman" w:hAnsi="Times New Roman"/>
          <w:color w:val="000000"/>
          <w:sz w:val="20"/>
        </w:rPr>
        <w:t>” has the meaning set forth in Section 9.1(a) of this Agreement.</w:t>
      </w:r>
    </w:p>
    <w:p>
      <w:pPr>
        <w:pStyle w:val="TextBody"/>
        <w:bidi w:val="0"/>
        <w:spacing w:before="180" w:after="283"/>
        <w:jc w:val="left"/>
        <w:rPr/>
      </w:pPr>
      <w:r>
        <w:rPr>
          <w:color w:val="000000"/>
        </w:rPr>
        <w:t>“</w:t>
      </w:r>
      <w:r>
        <w:rPr>
          <w:rFonts w:ascii="Times New Roman" w:hAnsi="Times New Roman"/>
          <w:b/>
          <w:color w:val="000000"/>
          <w:sz w:val="20"/>
          <w:u w:val="single"/>
        </w:rPr>
        <w:t>Redeemed Units Equivalent</w:t>
      </w:r>
      <w:r>
        <w:rPr>
          <w:rFonts w:ascii="Times New Roman" w:hAnsi="Times New Roman"/>
          <w:color w:val="000000"/>
          <w:sz w:val="20"/>
        </w:rPr>
        <w:t>” means the product of (i) the Share Settlement, times (ii) the NCM Inc. Redemption Price.</w:t>
      </w:r>
    </w:p>
    <w:p>
      <w:pPr>
        <w:pStyle w:val="TextBody"/>
        <w:bidi w:val="0"/>
        <w:spacing w:before="180" w:after="283"/>
        <w:jc w:val="left"/>
        <w:rPr/>
      </w:pPr>
      <w:r>
        <w:rPr>
          <w:color w:val="000000"/>
        </w:rPr>
        <w:t>“</w:t>
      </w:r>
      <w:r>
        <w:rPr>
          <w:rFonts w:ascii="Times New Roman" w:hAnsi="Times New Roman"/>
          <w:b/>
          <w:color w:val="000000"/>
          <w:sz w:val="20"/>
          <w:u w:val="single"/>
        </w:rPr>
        <w:t>Redeeming Member</w:t>
      </w:r>
      <w:r>
        <w:rPr>
          <w:rFonts w:ascii="Times New Roman" w:hAnsi="Times New Roman"/>
          <w:color w:val="000000"/>
          <w:sz w:val="20"/>
        </w:rPr>
        <w:t>” has the meaning set forth in Section 9.1(a) of this Agreement.</w:t>
      </w:r>
    </w:p>
    <w:p>
      <w:pPr>
        <w:pStyle w:val="TextBody"/>
        <w:bidi w:val="0"/>
        <w:spacing w:before="180" w:after="283"/>
        <w:jc w:val="left"/>
        <w:rPr/>
      </w:pPr>
      <w:r>
        <w:rPr>
          <w:color w:val="000000"/>
        </w:rPr>
        <w:t>“</w:t>
      </w:r>
      <w:r>
        <w:rPr>
          <w:rFonts w:ascii="Times New Roman" w:hAnsi="Times New Roman"/>
          <w:b/>
          <w:color w:val="000000"/>
          <w:sz w:val="20"/>
          <w:u w:val="single"/>
        </w:rPr>
        <w:t>Redemption Date</w:t>
      </w:r>
      <w:r>
        <w:rPr>
          <w:rFonts w:ascii="Times New Roman" w:hAnsi="Times New Roman"/>
          <w:color w:val="000000"/>
          <w:sz w:val="20"/>
        </w:rPr>
        <w:t>” has the meaning set forth in Section 9.1(a) of this Agreement.</w:t>
      </w:r>
    </w:p>
    <w:p>
      <w:pPr>
        <w:pStyle w:val="TextBody"/>
        <w:bidi w:val="0"/>
        <w:spacing w:before="180" w:after="283"/>
        <w:jc w:val="left"/>
        <w:rPr/>
      </w:pPr>
      <w:r>
        <w:rPr>
          <w:color w:val="000000"/>
        </w:rPr>
        <w:t>“</w:t>
      </w:r>
      <w:r>
        <w:rPr>
          <w:rFonts w:ascii="Times New Roman" w:hAnsi="Times New Roman"/>
          <w:b/>
          <w:color w:val="000000"/>
          <w:sz w:val="20"/>
          <w:u w:val="single"/>
        </w:rPr>
        <w:t>Redemption Notice</w:t>
      </w:r>
      <w:r>
        <w:rPr>
          <w:rFonts w:ascii="Times New Roman" w:hAnsi="Times New Roman"/>
          <w:color w:val="000000"/>
          <w:sz w:val="20"/>
        </w:rPr>
        <w:t>” has the meaning set forth in Section 9.1(a) of this Agreement.</w:t>
      </w:r>
    </w:p>
    <w:p>
      <w:pPr>
        <w:pStyle w:val="TextBody"/>
        <w:bidi w:val="0"/>
        <w:spacing w:before="180" w:after="283"/>
        <w:jc w:val="left"/>
        <w:rPr/>
      </w:pPr>
      <w:r>
        <w:rPr>
          <w:color w:val="000000"/>
        </w:rPr>
        <w:t>“</w:t>
      </w:r>
      <w:r>
        <w:rPr>
          <w:rFonts w:ascii="Times New Roman" w:hAnsi="Times New Roman"/>
          <w:b/>
          <w:color w:val="000000"/>
          <w:sz w:val="20"/>
          <w:u w:val="single"/>
        </w:rPr>
        <w:t>Redemption Right</w:t>
      </w:r>
      <w:r>
        <w:rPr>
          <w:rFonts w:ascii="Times New Roman" w:hAnsi="Times New Roman"/>
          <w:color w:val="000000"/>
          <w:sz w:val="20"/>
        </w:rPr>
        <w:t>” has the meaning set forth in Section 9.1(a) of this Agreement.</w:t>
      </w:r>
    </w:p>
    <w:p>
      <w:pPr>
        <w:pStyle w:val="TextBody"/>
        <w:bidi w:val="0"/>
        <w:jc w:val="left"/>
        <w:rPr/>
      </w:pPr>
      <w:r>
        <w:rPr>
          <w:color w:val="000000"/>
        </w:rPr>
        <w:t>“</w:t>
      </w:r>
      <w:r>
        <w:rPr>
          <w:rFonts w:ascii="Times New Roman" w:hAnsi="Times New Roman"/>
          <w:b/>
          <w:color w:val="000000"/>
          <w:sz w:val="20"/>
          <w:u w:val="single"/>
        </w:rPr>
        <w:t>REG</w:t>
      </w:r>
      <w:r>
        <w:rPr>
          <w:rFonts w:ascii="Times New Roman" w:hAnsi="Times New Roman"/>
          <w:color w:val="000000"/>
          <w:sz w:val="20"/>
        </w:rPr>
        <w:t>” means Regal Entertainment Group or its successor or any Person that wholly-owns REG, directly or indirectly, in the future.</w:t>
      </w:r>
    </w:p>
    <w:p>
      <w:pPr>
        <w:pStyle w:val="TextBody"/>
        <w:bidi w:val="0"/>
        <w:spacing w:before="180" w:after="283"/>
        <w:jc w:val="left"/>
        <w:rPr/>
      </w:pPr>
      <w:r>
        <w:rPr>
          <w:color w:val="000000"/>
        </w:rPr>
        <w:t>“</w:t>
      </w:r>
      <w:r>
        <w:rPr>
          <w:rFonts w:ascii="Times New Roman" w:hAnsi="Times New Roman"/>
          <w:b/>
          <w:color w:val="000000"/>
          <w:sz w:val="20"/>
          <w:u w:val="single"/>
        </w:rPr>
        <w:t>Regal</w:t>
      </w:r>
      <w:r>
        <w:rPr>
          <w:rFonts w:ascii="Times New Roman" w:hAnsi="Times New Roman"/>
          <w:color w:val="000000"/>
          <w:sz w:val="20"/>
        </w:rPr>
        <w:t>” has the meaning set forth in the Recitals of this Agreement or its successor.</w:t>
      </w:r>
    </w:p>
    <w:p>
      <w:pPr>
        <w:pStyle w:val="TextBody"/>
        <w:bidi w:val="0"/>
        <w:spacing w:before="180" w:after="283"/>
        <w:jc w:val="left"/>
        <w:rPr/>
      </w:pPr>
      <w:r>
        <w:rPr>
          <w:color w:val="000000"/>
        </w:rPr>
        <w:t>“</w:t>
      </w:r>
      <w:r>
        <w:rPr>
          <w:rFonts w:ascii="Times New Roman" w:hAnsi="Times New Roman"/>
          <w:b/>
          <w:color w:val="000000"/>
          <w:sz w:val="20"/>
          <w:u w:val="single"/>
        </w:rPr>
        <w:t>Regal Cinemas</w:t>
      </w:r>
      <w:r>
        <w:rPr>
          <w:rFonts w:ascii="Times New Roman" w:hAnsi="Times New Roman"/>
          <w:color w:val="000000"/>
          <w:sz w:val="20"/>
        </w:rPr>
        <w:t>” means Regal Cinemas, Inc., a Tennessee corporation, or its successor.</w:t>
      </w:r>
    </w:p>
    <w:p>
      <w:pPr>
        <w:pStyle w:val="TextBody"/>
        <w:bidi w:val="0"/>
        <w:spacing w:before="180" w:after="283"/>
        <w:jc w:val="left"/>
        <w:rPr/>
      </w:pPr>
      <w:r>
        <w:rPr>
          <w:color w:val="000000"/>
        </w:rPr>
        <w:t>“</w:t>
      </w:r>
      <w:r>
        <w:rPr>
          <w:rFonts w:ascii="Times New Roman" w:hAnsi="Times New Roman"/>
          <w:b/>
          <w:color w:val="000000"/>
          <w:sz w:val="20"/>
          <w:u w:val="single"/>
        </w:rPr>
        <w:t>Regal Founding Member</w:t>
      </w:r>
      <w:r>
        <w:rPr>
          <w:rFonts w:ascii="Times New Roman" w:hAnsi="Times New Roman"/>
          <w:color w:val="000000"/>
          <w:sz w:val="20"/>
        </w:rPr>
        <w:t>” has the meaning set forth in the Recitals of this Agreement.</w:t>
      </w:r>
    </w:p>
    <w:p>
      <w:pPr>
        <w:pStyle w:val="TextBody"/>
        <w:bidi w:val="0"/>
        <w:spacing w:before="180" w:after="283"/>
        <w:jc w:val="left"/>
        <w:rPr/>
      </w:pPr>
      <w:r>
        <w:rPr>
          <w:color w:val="000000"/>
        </w:rPr>
        <w:t>“</w:t>
      </w:r>
      <w:r>
        <w:rPr>
          <w:rFonts w:ascii="Times New Roman" w:hAnsi="Times New Roman"/>
          <w:b/>
          <w:color w:val="000000"/>
          <w:sz w:val="20"/>
          <w:u w:val="single"/>
        </w:rPr>
        <w:t>Regulatory Allocations</w:t>
      </w:r>
      <w:r>
        <w:rPr>
          <w:rFonts w:ascii="Times New Roman" w:hAnsi="Times New Roman"/>
          <w:color w:val="000000"/>
          <w:sz w:val="20"/>
        </w:rPr>
        <w:t>” has the meaning set forth in Section 6.4(c) of this Agreement.</w:t>
      </w:r>
    </w:p>
    <w:p>
      <w:pPr>
        <w:pStyle w:val="TextBody"/>
        <w:bidi w:val="0"/>
        <w:spacing w:before="180" w:after="283"/>
        <w:jc w:val="left"/>
        <w:rPr/>
      </w:pPr>
      <w:r>
        <w:rPr>
          <w:color w:val="000000"/>
        </w:rPr>
        <w:t>“</w:t>
      </w:r>
      <w:r>
        <w:rPr>
          <w:rFonts w:ascii="Times New Roman" w:hAnsi="Times New Roman"/>
          <w:b/>
          <w:color w:val="000000"/>
          <w:sz w:val="20"/>
          <w:u w:val="single"/>
        </w:rPr>
        <w:t>Retraction Notice</w:t>
      </w:r>
      <w:r>
        <w:rPr>
          <w:rFonts w:ascii="Times New Roman" w:hAnsi="Times New Roman"/>
          <w:color w:val="000000"/>
          <w:sz w:val="20"/>
        </w:rPr>
        <w:t>” has the meaning set forth in Section 9.1(b) of this Agreement.</w:t>
      </w:r>
    </w:p>
    <w:p>
      <w:pPr>
        <w:pStyle w:val="TextBody"/>
        <w:bidi w:val="0"/>
        <w:spacing w:before="180" w:after="283"/>
        <w:jc w:val="left"/>
        <w:rPr/>
      </w:pPr>
      <w:r>
        <w:rPr>
          <w:color w:val="000000"/>
        </w:rPr>
        <w:t>“</w:t>
      </w:r>
      <w:r>
        <w:rPr>
          <w:rFonts w:ascii="Times New Roman" w:hAnsi="Times New Roman"/>
          <w:b/>
          <w:color w:val="000000"/>
          <w:sz w:val="20"/>
          <w:u w:val="single"/>
        </w:rPr>
        <w:t>Second Amended Agreement</w:t>
      </w:r>
      <w:r>
        <w:rPr>
          <w:rFonts w:ascii="Times New Roman" w:hAnsi="Times New Roman"/>
          <w:color w:val="000000"/>
          <w:sz w:val="20"/>
        </w:rPr>
        <w:t>” has the meaning set forth in the Recitals of this Agreement or its successor.</w:t>
      </w:r>
    </w:p>
    <w:p>
      <w:pPr>
        <w:pStyle w:val="TextBody"/>
        <w:bidi w:val="0"/>
        <w:spacing w:before="180" w:after="283"/>
        <w:jc w:val="left"/>
        <w:rPr/>
      </w:pPr>
      <w:r>
        <w:rPr>
          <w:color w:val="000000"/>
        </w:rPr>
        <w:t>“</w:t>
      </w:r>
      <w:r>
        <w:rPr>
          <w:rFonts w:ascii="Times New Roman" w:hAnsi="Times New Roman"/>
          <w:b/>
          <w:color w:val="000000"/>
          <w:sz w:val="20"/>
          <w:u w:val="single"/>
        </w:rPr>
        <w:t>Second Amendment</w:t>
      </w:r>
      <w:r>
        <w:rPr>
          <w:rFonts w:ascii="Times New Roman" w:hAnsi="Times New Roman"/>
          <w:color w:val="000000"/>
          <w:sz w:val="20"/>
        </w:rPr>
        <w:t>” has the meaning set forth in the Recitals of this Agreement or its successor.</w:t>
      </w:r>
    </w:p>
    <w:p>
      <w:pPr>
        <w:pStyle w:val="TextBody"/>
        <w:bidi w:val="0"/>
        <w:spacing w:before="180" w:after="283"/>
        <w:jc w:val="left"/>
        <w:rPr/>
      </w:pPr>
      <w:r>
        <w:rPr>
          <w:color w:val="000000"/>
        </w:rPr>
        <w:t>“</w:t>
      </w:r>
      <w:r>
        <w:rPr>
          <w:rFonts w:ascii="Times New Roman" w:hAnsi="Times New Roman"/>
          <w:b/>
          <w:color w:val="000000"/>
          <w:sz w:val="20"/>
          <w:u w:val="single"/>
        </w:rPr>
        <w:t>Section 704(c) Property</w:t>
      </w:r>
      <w:r>
        <w:rPr>
          <w:rFonts w:ascii="Times New Roman" w:hAnsi="Times New Roman"/>
          <w:color w:val="000000"/>
          <w:sz w:val="20"/>
        </w:rPr>
        <w:t>” means any asset of the Company if the Carrying Value of such asset differs from its adjusted tax basis.</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color w:val="000000"/>
        </w:rPr>
        <w:t>“</w:t>
      </w:r>
      <w:r>
        <w:rPr>
          <w:rFonts w:ascii="Times New Roman" w:hAnsi="Times New Roman"/>
          <w:b/>
          <w:color w:val="000000"/>
          <w:sz w:val="20"/>
          <w:u w:val="single"/>
        </w:rPr>
        <w:t>Senior Credit Facility</w:t>
      </w:r>
      <w:r>
        <w:rPr>
          <w:rFonts w:ascii="Times New Roman" w:hAnsi="Times New Roman"/>
          <w:color w:val="000000"/>
          <w:sz w:val="20"/>
        </w:rPr>
        <w:t>” means the Credit Agreement, dated as of February 13, 2007, by and among the Company, the several banks and other financial institutions or entities from time to time that are parties thereto, Lehman Brothers Inc. and J.P. Morgan Securities, Inc., as joint lead arrangers, JPMorgan Chase Bank, N.A., as syndication agent, Credit Suisse (USA) LLC and Morgan Stanley Senior Funding, Inc., as co-documentation agents, and Lehman Commercial Paper Inc., as administrative agent, as amended, modified or supplemented from time to time and any extension, refunding, refinancing or replacement (in whole or in part) thereof.</w:t>
      </w:r>
    </w:p>
    <w:p>
      <w:pPr>
        <w:pStyle w:val="TextBody"/>
        <w:bidi w:val="0"/>
        <w:spacing w:before="180" w:after="283"/>
        <w:jc w:val="left"/>
        <w:rPr/>
      </w:pPr>
      <w:r>
        <w:rPr>
          <w:color w:val="000000"/>
        </w:rPr>
        <w:t>“</w:t>
      </w:r>
      <w:r>
        <w:rPr>
          <w:rFonts w:ascii="Times New Roman" w:hAnsi="Times New Roman"/>
          <w:b/>
          <w:color w:val="000000"/>
          <w:sz w:val="20"/>
          <w:u w:val="single"/>
        </w:rPr>
        <w:t>Series B Preferred Unit</w:t>
      </w:r>
      <w:r>
        <w:rPr>
          <w:rFonts w:ascii="Times New Roman" w:hAnsi="Times New Roman"/>
          <w:color w:val="000000"/>
          <w:sz w:val="20"/>
        </w:rPr>
        <w:t xml:space="preserve">” means a Unit having the rights described in Section 3.4(i). </w:t>
      </w:r>
    </w:p>
    <w:p>
      <w:pPr>
        <w:pStyle w:val="TextBody"/>
        <w:bidi w:val="0"/>
        <w:spacing w:before="180" w:after="283"/>
        <w:jc w:val="left"/>
        <w:rPr/>
      </w:pPr>
      <w:r>
        <w:rPr>
          <w:color w:val="000000"/>
        </w:rPr>
        <w:t>“</w:t>
      </w:r>
      <w:r>
        <w:rPr>
          <w:rFonts w:ascii="Times New Roman" w:hAnsi="Times New Roman"/>
          <w:b/>
          <w:color w:val="000000"/>
          <w:sz w:val="20"/>
          <w:u w:val="single"/>
        </w:rPr>
        <w:t>Services</w:t>
      </w:r>
      <w:r>
        <w:rPr>
          <w:rFonts w:ascii="Times New Roman" w:hAnsi="Times New Roman"/>
          <w:color w:val="000000"/>
          <w:sz w:val="20"/>
        </w:rPr>
        <w:t>” has the meaning set forth in Article 1 of the Exhibitor Services Agreements.</w:t>
      </w:r>
    </w:p>
    <w:p>
      <w:pPr>
        <w:pStyle w:val="TextBody"/>
        <w:bidi w:val="0"/>
        <w:spacing w:before="180" w:after="283"/>
        <w:jc w:val="left"/>
        <w:rPr/>
      </w:pPr>
      <w:r>
        <w:rPr>
          <w:color w:val="000000"/>
        </w:rPr>
        <w:t>“</w:t>
      </w:r>
      <w:r>
        <w:rPr>
          <w:rFonts w:ascii="Times New Roman" w:hAnsi="Times New Roman"/>
          <w:b/>
          <w:color w:val="000000"/>
          <w:sz w:val="20"/>
          <w:u w:val="single"/>
        </w:rPr>
        <w:t>Share Settlement</w:t>
      </w:r>
      <w:r>
        <w:rPr>
          <w:rFonts w:ascii="Times New Roman" w:hAnsi="Times New Roman"/>
          <w:color w:val="000000"/>
          <w:sz w:val="20"/>
        </w:rPr>
        <w:t>” means a number of shares of NCM Inc. common stock equal to the number of Redeemed Units.</w:t>
      </w:r>
    </w:p>
    <w:p>
      <w:pPr>
        <w:pStyle w:val="TextBody"/>
        <w:bidi w:val="0"/>
        <w:spacing w:before="180" w:after="283"/>
        <w:jc w:val="left"/>
        <w:rPr/>
      </w:pPr>
      <w:r>
        <w:rPr>
          <w:color w:val="000000"/>
        </w:rPr>
        <w:t>“</w:t>
      </w:r>
      <w:r>
        <w:rPr>
          <w:rFonts w:ascii="Times New Roman" w:hAnsi="Times New Roman"/>
          <w:b/>
          <w:color w:val="000000"/>
          <w:sz w:val="20"/>
          <w:u w:val="single"/>
        </w:rPr>
        <w:t>Significant Member</w:t>
      </w:r>
      <w:r>
        <w:rPr>
          <w:rFonts w:ascii="Times New Roman" w:hAnsi="Times New Roman"/>
          <w:color w:val="000000"/>
          <w:sz w:val="20"/>
        </w:rPr>
        <w:t xml:space="preserve">” means a Member (if any) whose Percentage Interest is 10% or more. </w:t>
      </w:r>
    </w:p>
    <w:p>
      <w:pPr>
        <w:pStyle w:val="TextBody"/>
        <w:bidi w:val="0"/>
        <w:spacing w:before="180" w:after="283"/>
        <w:jc w:val="left"/>
        <w:rPr/>
      </w:pPr>
      <w:r>
        <w:rPr>
          <w:color w:val="000000"/>
        </w:rPr>
        <w:t>“</w:t>
      </w:r>
      <w:r>
        <w:rPr>
          <w:rFonts w:ascii="Times New Roman" w:hAnsi="Times New Roman"/>
          <w:b/>
          <w:color w:val="000000"/>
          <w:sz w:val="20"/>
          <w:u w:val="single"/>
        </w:rPr>
        <w:t>Software License Agreement</w:t>
      </w:r>
      <w:r>
        <w:rPr>
          <w:rFonts w:ascii="Times New Roman" w:hAnsi="Times New Roman"/>
          <w:color w:val="000000"/>
          <w:sz w:val="20"/>
        </w:rPr>
        <w:t>” means the Second Amended and Restated Software License Agreement, dated of even date herewith, by and among the Company, RCM, AMC and Cinemark USA, as the same may be amended, supplemented or otherwise modified from time to time.</w:t>
      </w:r>
    </w:p>
    <w:p>
      <w:pPr>
        <w:pStyle w:val="TextBody"/>
        <w:bidi w:val="0"/>
        <w:jc w:val="left"/>
        <w:rPr/>
      </w:pPr>
      <w:r>
        <w:rPr>
          <w:color w:val="000000"/>
        </w:rPr>
        <w:t>“</w:t>
      </w:r>
      <w:r>
        <w:rPr>
          <w:rFonts w:ascii="Times New Roman" w:hAnsi="Times New Roman"/>
          <w:b/>
          <w:color w:val="000000"/>
          <w:sz w:val="20"/>
          <w:u w:val="single"/>
        </w:rPr>
        <w:t>Subscription Agreement</w:t>
      </w:r>
      <w:r>
        <w:rPr>
          <w:rFonts w:ascii="Times New Roman" w:hAnsi="Times New Roman"/>
          <w:color w:val="000000"/>
          <w:sz w:val="20"/>
        </w:rPr>
        <w:t>” has the meaning set forth in the Recitals of this Agreement, as the same may be amended, supplemented or otherwise modified from time to time.</w:t>
      </w:r>
    </w:p>
    <w:p>
      <w:pPr>
        <w:pStyle w:val="TextBody"/>
        <w:bidi w:val="0"/>
        <w:spacing w:before="180" w:after="283"/>
        <w:jc w:val="left"/>
        <w:rPr/>
      </w:pPr>
      <w:r>
        <w:rPr>
          <w:color w:val="000000"/>
        </w:rPr>
        <w:t>“</w:t>
      </w:r>
      <w:r>
        <w:rPr>
          <w:rFonts w:ascii="Times New Roman" w:hAnsi="Times New Roman"/>
          <w:b/>
          <w:color w:val="000000"/>
          <w:sz w:val="20"/>
          <w:u w:val="single"/>
        </w:rPr>
        <w:t>Subsidiary</w:t>
      </w:r>
      <w:r>
        <w:rPr>
          <w:rFonts w:ascii="Times New Roman" w:hAnsi="Times New Roman"/>
          <w:color w:val="000000"/>
          <w:sz w:val="20"/>
        </w:rPr>
        <w:t>” means, with respect to any Person, (i) a corporation a majority of whose capital stock with the general voting power under ordinary circumstances to vote in the election of directors of such corporation (irrespective of whether or not, at the time, any other class or classes of securities shall have, or might have, voting power by reason of the happening of any contingency) is at the time beneficially owned by such Person, by one or more Subsidiaries of such Person or by such Person and one or more Subsidiaries thereof or (ii) any other Person (other than a corporation), including a joint venture, a general or limited partnership or a limited liability company, in which such Person, one or more Subsidiaries thereof or such Person and one or more Subsidiaries thereof, directly or indirectly, at the date of determination thereof, beneficially own at least a majority ownership interest entitled to vote in the election of directors, managers or trustees thereof (or other Persons performing such functions) or act as the general partner or managing member of such other Person.</w:t>
      </w:r>
    </w:p>
    <w:p>
      <w:pPr>
        <w:pStyle w:val="TextBody"/>
        <w:bidi w:val="0"/>
        <w:spacing w:before="180" w:after="283"/>
        <w:jc w:val="left"/>
        <w:rPr/>
      </w:pPr>
      <w:r>
        <w:rPr>
          <w:color w:val="000000"/>
        </w:rPr>
        <w:t>“</w:t>
      </w:r>
      <w:r>
        <w:rPr>
          <w:rFonts w:ascii="Times New Roman" w:hAnsi="Times New Roman"/>
          <w:b/>
          <w:color w:val="000000"/>
          <w:sz w:val="20"/>
          <w:u w:val="single"/>
        </w:rPr>
        <w:t>Tax Distribution Amount</w:t>
      </w:r>
      <w:r>
        <w:rPr>
          <w:rFonts w:ascii="Times New Roman" w:hAnsi="Times New Roman"/>
          <w:color w:val="000000"/>
          <w:sz w:val="20"/>
        </w:rPr>
        <w:t>” means the product of (i) the Applicable Tax Rate, times (ii) the estimated or actual taxable income of the Company, as determined for federal income tax purposes, for the period to which the Tax Distribution Amount relates.</w:t>
      </w:r>
    </w:p>
    <w:p>
      <w:pPr>
        <w:pStyle w:val="TextBody"/>
        <w:bidi w:val="0"/>
        <w:spacing w:before="180" w:after="283"/>
        <w:jc w:val="left"/>
        <w:rPr/>
      </w:pPr>
      <w:r>
        <w:rPr>
          <w:color w:val="000000"/>
        </w:rPr>
        <w:t>“</w:t>
      </w:r>
      <w:r>
        <w:rPr>
          <w:rFonts w:ascii="Times New Roman" w:hAnsi="Times New Roman"/>
          <w:b/>
          <w:color w:val="000000"/>
          <w:sz w:val="20"/>
          <w:u w:val="single"/>
        </w:rPr>
        <w:t>Tax Matters Member</w:t>
      </w:r>
      <w:r>
        <w:rPr>
          <w:rFonts w:ascii="Times New Roman" w:hAnsi="Times New Roman"/>
          <w:color w:val="000000"/>
          <w:sz w:val="20"/>
        </w:rPr>
        <w:t>” has the meaning set forth in Section 6.2 of this Agreement.</w:t>
      </w:r>
    </w:p>
    <w:p>
      <w:pPr>
        <w:pStyle w:val="TextBody"/>
        <w:bidi w:val="0"/>
        <w:spacing w:before="180" w:after="283"/>
        <w:jc w:val="left"/>
        <w:rPr/>
      </w:pPr>
      <w:r>
        <w:rPr>
          <w:color w:val="000000"/>
        </w:rPr>
        <w:t>“</w:t>
      </w:r>
      <w:r>
        <w:rPr>
          <w:rFonts w:ascii="Times New Roman" w:hAnsi="Times New Roman"/>
          <w:b/>
          <w:color w:val="000000"/>
          <w:sz w:val="20"/>
          <w:u w:val="single"/>
        </w:rPr>
        <w:t>Tax Receivable Agreement</w:t>
      </w:r>
      <w:r>
        <w:rPr>
          <w:rFonts w:ascii="Times New Roman" w:hAnsi="Times New Roman"/>
          <w:color w:val="000000"/>
          <w:sz w:val="20"/>
        </w:rPr>
        <w:t>” means the Tax Receivable Agreement, dated as of February 13, 2007, by and among the Company, NCM Inc., all of the Founding Members, Regal Cinemas and Cinemark USA, as the same may be amended, supplemented or otherwise modified from time to time.</w:t>
      </w:r>
    </w:p>
    <w:p>
      <w:pPr>
        <w:pStyle w:val="TextBody"/>
        <w:bidi w:val="0"/>
        <w:spacing w:before="180" w:after="283"/>
        <w:jc w:val="left"/>
        <w:rPr/>
      </w:pPr>
      <w:r>
        <w:rPr>
          <w:color w:val="000000"/>
        </w:rPr>
        <w:t>“</w:t>
      </w:r>
      <w:r>
        <w:rPr>
          <w:rFonts w:ascii="Times New Roman" w:hAnsi="Times New Roman"/>
          <w:b/>
          <w:color w:val="000000"/>
          <w:sz w:val="20"/>
          <w:u w:val="single"/>
        </w:rPr>
        <w:t>Tax Receivable Distribution Amount</w:t>
      </w:r>
      <w:r>
        <w:rPr>
          <w:rFonts w:ascii="Times New Roman" w:hAnsi="Times New Roman"/>
          <w:color w:val="000000"/>
          <w:sz w:val="20"/>
        </w:rPr>
        <w:t xml:space="preserve">” means the sum of (i) the amount that NCM Inc. is obligated to pay to the Founding Members pursuant to Section 3.01 of the Tax Receivable Agreement, </w:t>
      </w:r>
      <w:r>
        <w:rPr>
          <w:rFonts w:ascii="Times New Roman" w:hAnsi="Times New Roman"/>
          <w:color w:val="000000"/>
          <w:sz w:val="20"/>
          <w:u w:val="single"/>
        </w:rPr>
        <w:t>plus</w:t>
      </w:r>
      <w:r>
        <w:rPr>
          <w:rFonts w:ascii="Times New Roman" w:hAnsi="Times New Roman"/>
          <w:color w:val="000000"/>
          <w:sz w:val="20"/>
        </w:rPr>
        <w:t xml:space="preserve"> (ii) the amount that NCM Inc. is obligated to contribute to the Company pursuant to Section 5.1(b) of this Agreement, for the period to which the Tax Receivable Distribution Amount relates.</w:t>
      </w:r>
    </w:p>
    <w:p>
      <w:pPr>
        <w:pStyle w:val="TextBody"/>
        <w:bidi w:val="0"/>
        <w:spacing w:before="180" w:after="283"/>
        <w:jc w:val="left"/>
        <w:rPr/>
      </w:pPr>
      <w:r>
        <w:rPr>
          <w:color w:val="000000"/>
        </w:rPr>
        <w:t>“</w:t>
      </w:r>
      <w:r>
        <w:rPr>
          <w:rFonts w:ascii="Times New Roman" w:hAnsi="Times New Roman"/>
          <w:b/>
          <w:color w:val="000000"/>
          <w:sz w:val="20"/>
          <w:u w:val="single"/>
        </w:rPr>
        <w:t>TEFRA Election</w:t>
      </w:r>
      <w:r>
        <w:rPr>
          <w:rFonts w:ascii="Times New Roman" w:hAnsi="Times New Roman"/>
          <w:color w:val="000000"/>
          <w:sz w:val="20"/>
        </w:rPr>
        <w:t>” means the election under Code Section 6231(a)(1)(B)(ii) and Treasury Regulations Section 301.6231(a)(1)-1(b) to have the provisions of subchapter C of chapter 63 of the Code and the corresponding Treasury Regulations apply with respect to the Company.</w:t>
      </w:r>
    </w:p>
    <w:p>
      <w:pPr>
        <w:pStyle w:val="TextBody"/>
        <w:bidi w:val="0"/>
        <w:spacing w:before="180" w:after="283"/>
        <w:jc w:val="left"/>
        <w:rPr/>
      </w:pPr>
      <w:r>
        <w:rPr>
          <w:color w:val="000000"/>
        </w:rPr>
        <w:t>“</w:t>
      </w:r>
      <w:r>
        <w:rPr>
          <w:rFonts w:ascii="Times New Roman" w:hAnsi="Times New Roman"/>
          <w:b/>
          <w:color w:val="000000"/>
          <w:sz w:val="20"/>
          <w:u w:val="single"/>
        </w:rPr>
        <w:t>Third Amendment</w:t>
      </w:r>
      <w:r>
        <w:rPr>
          <w:rFonts w:ascii="Times New Roman" w:hAnsi="Times New Roman"/>
          <w:color w:val="000000"/>
          <w:sz w:val="20"/>
        </w:rPr>
        <w:t>” has the meaning set forth in the Recitals of this Agreement or its successor.</w:t>
      </w:r>
    </w:p>
    <w:p>
      <w:pPr>
        <w:pStyle w:val="TextBody"/>
        <w:bidi w:val="0"/>
        <w:spacing w:before="180" w:after="283"/>
        <w:jc w:val="left"/>
        <w:rPr/>
      </w:pPr>
      <w:r>
        <w:rPr>
          <w:color w:val="000000"/>
        </w:rPr>
        <w:t>“</w:t>
      </w:r>
      <w:r>
        <w:rPr>
          <w:rFonts w:ascii="Times New Roman" w:hAnsi="Times New Roman"/>
          <w:b/>
          <w:color w:val="000000"/>
          <w:sz w:val="20"/>
          <w:u w:val="single"/>
        </w:rPr>
        <w:t>Trading Day</w:t>
      </w:r>
      <w:r>
        <w:rPr>
          <w:rFonts w:ascii="Times New Roman" w:hAnsi="Times New Roman"/>
          <w:color w:val="000000"/>
          <w:sz w:val="20"/>
        </w:rPr>
        <w:t>” means a day on which the principal United States securities exchange on which NCM Inc. common stock is listed or admitted to trading, or the NASDAQ Stock Market if NCM Inc. common stock is not listed or admitted to trading on any such securities exchange, as applicable, is open for the transaction of business (unless such trading shall have been suspended for the entire day).</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color w:val="000000"/>
        </w:rPr>
        <w:t>“</w:t>
      </w:r>
      <w:r>
        <w:rPr>
          <w:rFonts w:ascii="Times New Roman" w:hAnsi="Times New Roman"/>
          <w:b/>
          <w:color w:val="000000"/>
          <w:sz w:val="20"/>
          <w:u w:val="single"/>
        </w:rPr>
        <w:t>Transfer</w:t>
      </w:r>
      <w:r>
        <w:rPr>
          <w:rFonts w:ascii="Times New Roman" w:hAnsi="Times New Roman"/>
          <w:color w:val="000000"/>
          <w:sz w:val="20"/>
        </w:rPr>
        <w:t>” (including the terms “</w:t>
      </w:r>
      <w:r>
        <w:rPr>
          <w:rFonts w:ascii="Times New Roman" w:hAnsi="Times New Roman"/>
          <w:b/>
          <w:color w:val="000000"/>
          <w:sz w:val="20"/>
          <w:u w:val="single"/>
        </w:rPr>
        <w:t>Transferred</w:t>
      </w:r>
      <w:r>
        <w:rPr>
          <w:rFonts w:ascii="Times New Roman" w:hAnsi="Times New Roman"/>
          <w:color w:val="000000"/>
          <w:sz w:val="20"/>
        </w:rPr>
        <w:t>” and “</w:t>
      </w:r>
      <w:r>
        <w:rPr>
          <w:rFonts w:ascii="Times New Roman" w:hAnsi="Times New Roman"/>
          <w:b/>
          <w:color w:val="000000"/>
          <w:sz w:val="20"/>
          <w:u w:val="single"/>
        </w:rPr>
        <w:t>Transferring</w:t>
      </w:r>
      <w:r>
        <w:rPr>
          <w:rFonts w:ascii="Times New Roman" w:hAnsi="Times New Roman"/>
          <w:color w:val="000000"/>
          <w:sz w:val="20"/>
        </w:rPr>
        <w:t>”) means, directly or indirectly, to sell, transfer, give, exchange, bequest, assign, pledge, encumber, hypothecate or otherwise dispose of, either voluntarily or involuntarily (including (i) except as provided in clause (a) below, the direct or indirect Change of Control of any Member or Permitted Transferee (or any direct or indirect holder of equity in a Member or Permitted Transferee), and (ii) upon the foreclosure under any pledge or hypothecation permitted by clause (b) below that results in a change of title), any Equity Interests in the Company or other assets beneficially owned by a Person or any interest in any Equity Interests in the Company or other assets beneficially owned by a Person. Notwithstanding the foregoing: (a) the Change of Control of an ESA Party or its stockholders shall not be deemed to be a Transfer hereunder, and (b) a bona fide pledge of the Units or other Equity Interests in the Company by any Member or its Affiliates shall not be deemed to be a Transfer hereunder.</w:t>
      </w:r>
    </w:p>
    <w:p>
      <w:pPr>
        <w:pStyle w:val="TextBody"/>
        <w:bidi w:val="0"/>
        <w:spacing w:before="180" w:after="283"/>
        <w:jc w:val="left"/>
        <w:rPr/>
      </w:pPr>
      <w:r>
        <w:rPr>
          <w:color w:val="000000"/>
        </w:rPr>
        <w:t>“</w:t>
      </w:r>
      <w:r>
        <w:rPr>
          <w:rFonts w:ascii="Times New Roman" w:hAnsi="Times New Roman"/>
          <w:b/>
          <w:color w:val="000000"/>
          <w:sz w:val="20"/>
          <w:u w:val="single"/>
        </w:rPr>
        <w:t>Transferring Member</w:t>
      </w:r>
      <w:r>
        <w:rPr>
          <w:rFonts w:ascii="Times New Roman" w:hAnsi="Times New Roman"/>
          <w:color w:val="000000"/>
          <w:sz w:val="20"/>
        </w:rPr>
        <w:t>” has the meaning set forth in Section 8.1(a) of this Agreement.</w:t>
      </w:r>
    </w:p>
    <w:p>
      <w:pPr>
        <w:pStyle w:val="TextBody"/>
        <w:bidi w:val="0"/>
        <w:spacing w:before="180" w:after="283"/>
        <w:jc w:val="left"/>
        <w:rPr/>
      </w:pPr>
      <w:r>
        <w:rPr>
          <w:color w:val="000000"/>
        </w:rPr>
        <w:t>“</w:t>
      </w:r>
      <w:r>
        <w:rPr>
          <w:rFonts w:ascii="Times New Roman" w:hAnsi="Times New Roman"/>
          <w:b/>
          <w:color w:val="000000"/>
          <w:sz w:val="20"/>
          <w:u w:val="single"/>
        </w:rPr>
        <w:t>Treasury Regulations</w:t>
      </w:r>
      <w:r>
        <w:rPr>
          <w:rFonts w:ascii="Times New Roman" w:hAnsi="Times New Roman"/>
          <w:color w:val="000000"/>
          <w:sz w:val="20"/>
        </w:rPr>
        <w:t>” means the federal income tax regulations, including any temporary regulations, promulgated under the Code, as such Treasury Regulations may be amended from time to time. Any and all references herein to specific provisions of the Treasury Regulations shall be deemed to refer to any corresponding successor provisions.</w:t>
      </w:r>
    </w:p>
    <w:p>
      <w:pPr>
        <w:pStyle w:val="TextBody"/>
        <w:bidi w:val="0"/>
        <w:spacing w:before="180" w:after="283"/>
        <w:jc w:val="left"/>
        <w:rPr/>
      </w:pPr>
      <w:r>
        <w:rPr>
          <w:color w:val="000000"/>
        </w:rPr>
        <w:t>“</w:t>
      </w:r>
      <w:r>
        <w:rPr>
          <w:rFonts w:ascii="Times New Roman" w:hAnsi="Times New Roman"/>
          <w:b/>
          <w:color w:val="000000"/>
          <w:sz w:val="20"/>
          <w:u w:val="single"/>
        </w:rPr>
        <w:t>Ultimate Parent</w:t>
      </w:r>
      <w:r>
        <w:rPr>
          <w:rFonts w:ascii="Times New Roman" w:hAnsi="Times New Roman"/>
          <w:color w:val="000000"/>
          <w:sz w:val="20"/>
        </w:rPr>
        <w:t>” means (i) Marquee Holdings in the case of AMC, (ii) Cinemark in the case of Cinemark Media, and (iii) REG in the case of Regal.</w:t>
      </w:r>
    </w:p>
    <w:p>
      <w:pPr>
        <w:pStyle w:val="TextBody"/>
        <w:bidi w:val="0"/>
        <w:spacing w:before="180" w:after="283"/>
        <w:jc w:val="left"/>
        <w:rPr/>
      </w:pPr>
      <w:r>
        <w:rPr>
          <w:color w:val="000000"/>
        </w:rPr>
        <w:t>“</w:t>
      </w:r>
      <w:r>
        <w:rPr>
          <w:rFonts w:ascii="Times New Roman" w:hAnsi="Times New Roman"/>
          <w:b/>
          <w:color w:val="000000"/>
          <w:sz w:val="20"/>
          <w:u w:val="single"/>
        </w:rPr>
        <w:t>Underwriters</w:t>
      </w:r>
      <w:r>
        <w:rPr>
          <w:rFonts w:ascii="Times New Roman" w:hAnsi="Times New Roman"/>
          <w:color w:val="000000"/>
          <w:sz w:val="20"/>
        </w:rPr>
        <w:t>” has the meaning set forth in Section 1.1 of the Unit Purchase Agreement.</w:t>
      </w:r>
    </w:p>
    <w:p>
      <w:pPr>
        <w:pStyle w:val="TextBody"/>
        <w:bidi w:val="0"/>
        <w:spacing w:before="180" w:after="283"/>
        <w:jc w:val="left"/>
        <w:rPr/>
      </w:pPr>
      <w:r>
        <w:rPr>
          <w:color w:val="000000"/>
        </w:rPr>
        <w:t>“</w:t>
      </w:r>
      <w:r>
        <w:rPr>
          <w:rFonts w:ascii="Times New Roman" w:hAnsi="Times New Roman"/>
          <w:b/>
          <w:color w:val="000000"/>
          <w:sz w:val="20"/>
          <w:u w:val="single"/>
        </w:rPr>
        <w:t>Underwriting Agreement</w:t>
      </w:r>
      <w:r>
        <w:rPr>
          <w:rFonts w:ascii="Times New Roman" w:hAnsi="Times New Roman"/>
          <w:color w:val="000000"/>
          <w:sz w:val="20"/>
        </w:rPr>
        <w:t>” has the meaning set forth in Section 1.1 of the Unit Purchase Agreement.</w:t>
      </w:r>
    </w:p>
    <w:p>
      <w:pPr>
        <w:pStyle w:val="TextBody"/>
        <w:bidi w:val="0"/>
        <w:spacing w:before="180" w:after="283"/>
        <w:jc w:val="left"/>
        <w:rPr/>
      </w:pPr>
      <w:r>
        <w:rPr>
          <w:color w:val="000000"/>
        </w:rPr>
        <w:t>“</w:t>
      </w:r>
      <w:r>
        <w:rPr>
          <w:rFonts w:ascii="Times New Roman" w:hAnsi="Times New Roman"/>
          <w:b/>
          <w:color w:val="000000"/>
          <w:sz w:val="20"/>
          <w:u w:val="single"/>
        </w:rPr>
        <w:t>Unit</w:t>
      </w:r>
      <w:r>
        <w:rPr>
          <w:rFonts w:ascii="Times New Roman" w:hAnsi="Times New Roman"/>
          <w:color w:val="000000"/>
          <w:sz w:val="20"/>
        </w:rPr>
        <w:t xml:space="preserve">” means a fractional share of the Interests (other than Preferred Units) of all Members issued in accordance with the terms of this Agreement. The number of Units outstanding and the holders thereof shall be set forth on </w:t>
      </w:r>
      <w:r>
        <w:rPr>
          <w:rFonts w:ascii="Times New Roman" w:hAnsi="Times New Roman"/>
          <w:color w:val="000000"/>
          <w:sz w:val="20"/>
          <w:u w:val="single"/>
        </w:rPr>
        <w:t>Exhibit A</w:t>
      </w:r>
      <w:r>
        <w:rPr>
          <w:rFonts w:ascii="Times New Roman" w:hAnsi="Times New Roman"/>
          <w:color w:val="000000"/>
          <w:sz w:val="20"/>
        </w:rPr>
        <w:t>, as such may be amended from time to time in accordance with this Agreement.</w:t>
      </w:r>
    </w:p>
    <w:p>
      <w:pPr>
        <w:pStyle w:val="TextBody"/>
        <w:bidi w:val="0"/>
        <w:spacing w:before="180" w:after="283"/>
        <w:jc w:val="left"/>
        <w:rPr/>
      </w:pPr>
      <w:r>
        <w:rPr>
          <w:color w:val="000000"/>
        </w:rPr>
        <w:t>“</w:t>
      </w:r>
      <w:r>
        <w:rPr>
          <w:rFonts w:ascii="Times New Roman" w:hAnsi="Times New Roman"/>
          <w:b/>
          <w:color w:val="000000"/>
          <w:sz w:val="20"/>
          <w:u w:val="single"/>
        </w:rPr>
        <w:t>Unit Purchase Agreement</w:t>
      </w:r>
      <w:r>
        <w:rPr>
          <w:rFonts w:ascii="Times New Roman" w:hAnsi="Times New Roman"/>
          <w:color w:val="000000"/>
          <w:sz w:val="20"/>
        </w:rPr>
        <w:t>” means the Unit Purchase Agreement, dated as of January 23, 2007, by and among NCM Inc., the AMC Founding Member, the Cinemark Founding Member and the Regal Founding Member, as the same may be amended, supplemented or otherwise modified from time to time.</w:t>
      </w:r>
    </w:p>
    <w:p>
      <w:pPr>
        <w:pStyle w:val="TextBody"/>
        <w:bidi w:val="0"/>
        <w:spacing w:before="180" w:after="283"/>
        <w:jc w:val="left"/>
        <w:rPr/>
      </w:pPr>
      <w:r>
        <w:rPr>
          <w:color w:val="000000"/>
        </w:rPr>
        <w:t>“</w:t>
      </w:r>
      <w:r>
        <w:rPr>
          <w:rFonts w:ascii="Times New Roman" w:hAnsi="Times New Roman"/>
          <w:b/>
          <w:color w:val="000000"/>
          <w:sz w:val="20"/>
          <w:u w:val="single"/>
        </w:rPr>
        <w:t>Unvested NCM Inc. Shares</w:t>
      </w:r>
      <w:r>
        <w:rPr>
          <w:rFonts w:ascii="Times New Roman" w:hAnsi="Times New Roman"/>
          <w:color w:val="000000"/>
          <w:sz w:val="20"/>
        </w:rPr>
        <w:t>” means shares of NCM Inc. common stock issued pursuant to the Equity Incentive Plan that are not Vested NCM Inc. Shares.</w:t>
      </w:r>
    </w:p>
    <w:p>
      <w:pPr>
        <w:pStyle w:val="TextBody"/>
        <w:bidi w:val="0"/>
        <w:jc w:val="left"/>
        <w:rPr/>
      </w:pPr>
      <w:r>
        <w:rPr>
          <w:color w:val="000000"/>
        </w:rPr>
        <w:t>“</w:t>
      </w:r>
      <w:r>
        <w:rPr>
          <w:rFonts w:ascii="Times New Roman" w:hAnsi="Times New Roman"/>
          <w:b/>
          <w:color w:val="000000"/>
          <w:sz w:val="20"/>
          <w:u w:val="single"/>
        </w:rPr>
        <w:t>Vested NCM Inc. Shares</w:t>
      </w:r>
      <w:r>
        <w:rPr>
          <w:rFonts w:ascii="Times New Roman" w:hAnsi="Times New Roman"/>
          <w:color w:val="000000"/>
          <w:sz w:val="20"/>
        </w:rPr>
        <w:t>” has the meaning set forth in Section 3.5(c)(ii) of this Agreement.</w:t>
      </w:r>
    </w:p>
    <w:p>
      <w:pPr>
        <w:pStyle w:val="TextBody"/>
        <w:bidi w:val="0"/>
        <w:spacing w:before="180" w:after="283"/>
        <w:jc w:val="left"/>
        <w:rPr/>
      </w:pPr>
      <w:r>
        <w:rPr>
          <w:color w:val="000000"/>
        </w:rPr>
        <w:t>“</w:t>
      </w:r>
      <w:r>
        <w:rPr>
          <w:rFonts w:ascii="Times New Roman" w:hAnsi="Times New Roman"/>
          <w:b/>
          <w:color w:val="000000"/>
          <w:sz w:val="20"/>
          <w:u w:val="single"/>
        </w:rPr>
        <w:t>Wholly Owned Subsidiary</w:t>
      </w:r>
      <w:r>
        <w:rPr>
          <w:rFonts w:ascii="Times New Roman" w:hAnsi="Times New Roman"/>
          <w:color w:val="000000"/>
          <w:sz w:val="20"/>
        </w:rPr>
        <w:t>” of any Person means a Subsidiary which is 100% owned directly or indirectly by such Person.</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1.2 </w:t>
      </w:r>
      <w:r>
        <w:rPr>
          <w:rFonts w:ascii="Times New Roman" w:hAnsi="Times New Roman"/>
          <w:b/>
          <w:color w:val="000000"/>
          <w:sz w:val="20"/>
          <w:u w:val="single"/>
        </w:rPr>
        <w:t>Other Definitional Provisions; Interpretation</w:t>
      </w:r>
      <w:r>
        <w:rPr>
          <w:rFonts w:ascii="Times New Roman" w:hAnsi="Times New Roman"/>
          <w:b/>
          <w:color w:val="000000"/>
          <w:sz w:val="20"/>
        </w:rPr>
        <w:t>.</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(a) The words “hereof,” “herein” and “hereunder” and words of similar import when used in this Agreement will refer to this Agreement as a whole, including the Exhibits and Schedules attached hereto, and not to any particular provision of this Agreement. Articles, section and subsection references are to this Agreement unless otherwise specified.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The words “include” and “including” and words of similar import when used in this Agreement shall be deemed to be followed by the words “without limitation”.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 The titles and headings in this Agreement are included for convenience of reference only and will not limit or otherwise affect the meaning or interpretation of this Agreement.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 The meanings given to capitalized terms defined herein will be equally applicable to both the singular and plural forms of such terms. Whenever the context may require, any pronoun shall include the corresponding masculine, feminine and neuter forms.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ARTICLE 2</w:t>
      </w:r>
    </w:p>
    <w:p>
      <w:pPr>
        <w:pStyle w:val="HorizontalLine"/>
        <w:pBdr>
          <w:bottom w:val="double" w:sz="2" w:space="0" w:color="808080"/>
        </w:pBdr>
        <w:bidi w:val="0"/>
        <w:spacing w:before="0" w:after="283"/>
        <w:jc w:val="left"/>
        <w:rPr/>
      </w:pPr>
      <w:r>
        <w:rPr/>
      </w:r>
    </w:p>
    <w:p>
      <w:pPr>
        <w:pStyle w:val="TextBody"/>
        <w:bidi w:val="0"/>
        <w:spacing w:before="180" w:after="283"/>
        <w:jc w:val="center"/>
        <w:rPr>
          <w:rFonts w:ascii="Times New Roman" w:hAnsi="Times New Roman"/>
          <w:b/>
          <w:color w:val="000000"/>
          <w:sz w:val="20"/>
          <w:u w:val="single"/>
        </w:rPr>
      </w:pPr>
      <w:r>
        <w:rPr>
          <w:rFonts w:ascii="Times New Roman" w:hAnsi="Times New Roman"/>
          <w:b/>
          <w:color w:val="000000"/>
          <w:sz w:val="20"/>
          <w:u w:val="single"/>
        </w:rPr>
        <w:t>FORMATION</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2.1 </w:t>
      </w:r>
      <w:r>
        <w:rPr>
          <w:rFonts w:ascii="Times New Roman" w:hAnsi="Times New Roman"/>
          <w:b/>
          <w:color w:val="000000"/>
          <w:sz w:val="20"/>
          <w:u w:val="single"/>
        </w:rPr>
        <w:t>Formation; Qualification</w:t>
      </w:r>
      <w:r>
        <w:rPr>
          <w:rFonts w:ascii="Times New Roman" w:hAnsi="Times New Roman"/>
          <w:color w:val="000000"/>
          <w:sz w:val="20"/>
        </w:rPr>
        <w:t>.</w:t>
      </w:r>
    </w:p>
    <w:p>
      <w:pPr>
        <w:pStyle w:val="TextBody"/>
        <w:bidi w:val="0"/>
        <w:spacing w:before="90" w:after="283"/>
        <w:jc w:val="left"/>
        <w:rPr>
          <w:rFonts w:ascii="Times New Roman" w:hAnsi="Times New Roman"/>
          <w:sz w:val="20"/>
        </w:rPr>
      </w:pPr>
      <w:r>
        <w:rPr>
          <w:rFonts w:ascii="Times New Roman" w:hAnsi="Times New Roman"/>
          <w:color w:val="000000"/>
          <w:sz w:val="20"/>
        </w:rPr>
        <w:t>(a) A Certificate of Formation of the Company (the “</w:t>
      </w:r>
      <w:r>
        <w:rPr>
          <w:rFonts w:ascii="Times New Roman" w:hAnsi="Times New Roman"/>
          <w:b/>
          <w:color w:val="000000"/>
          <w:sz w:val="20"/>
          <w:u w:val="single"/>
        </w:rPr>
        <w:t>Certificate</w:t>
      </w:r>
      <w:r>
        <w:rPr>
          <w:rFonts w:ascii="Times New Roman" w:hAnsi="Times New Roman"/>
          <w:color w:val="000000"/>
          <w:sz w:val="20"/>
        </w:rPr>
        <w:t>”) has been executed by an authorized person and was filed with the Secretary of State of the State of Delaware on March 29, 2005, to form on such date the Company as a limited liability company pursuant to the LLC Act. The rights, duties and liabilities of the Members shall be as provided in the LLC Act, except as otherwise provided in this Agreement.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The Company shall be qualified or registered under foreign limited liability company statutes or assumed or fictitious name statutes or similar laws in any jurisdiction in which the Company owns property or transacts business to the extent, in the judgment of the Manager, such qualification or registration is necessary or advisable in order to protect the limited liability of the Members or to permit the Company lawfully to own property or transact business. The Manager shall, to the extent necessary in the judgment of the Manager, maintain the Company’s good standing in each such jurisdiction.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 The Manager and any Person to whom the Manager delegates authority under this Agreement shall be an “authorized person” within the meaning of § 18-204(a) of the LLC Act, and shall have the power and authority to execute, file and publish any certificates, notices, statements or other documents (and any amendments or restatements thereof) necessary to permit the Company to conduct business as a limited liability company in each jurisdiction where the Company elects to do business.</w:t>
      </w:r>
    </w:p>
    <w:p>
      <w:pPr>
        <w:pStyle w:val="TextBody"/>
        <w:bidi w:val="0"/>
        <w:jc w:val="left"/>
        <w:rPr>
          <w:rFonts w:ascii="Times New Roman" w:hAnsi="Times New Roman"/>
          <w:sz w:val="20"/>
        </w:rPr>
      </w:pPr>
      <w:r>
        <w:rPr>
          <w:rFonts w:ascii="Times New Roman" w:hAnsi="Times New Roman"/>
          <w:b/>
          <w:color w:val="000000"/>
          <w:sz w:val="20"/>
        </w:rPr>
        <w:t>2.2</w:t>
      </w:r>
      <w:r>
        <w:rPr>
          <w:rFonts w:ascii="Times New Roman" w:hAnsi="Times New Roman"/>
          <w:color w:val="000000"/>
          <w:sz w:val="20"/>
        </w:rPr>
        <w:t xml:space="preserve"> </w:t>
      </w:r>
      <w:r>
        <w:rPr>
          <w:rFonts w:ascii="Times New Roman" w:hAnsi="Times New Roman"/>
          <w:b/>
          <w:color w:val="000000"/>
          <w:sz w:val="20"/>
          <w:u w:val="single"/>
        </w:rPr>
        <w:t>Name</w:t>
      </w:r>
      <w:r>
        <w:rPr>
          <w:rFonts w:ascii="Times New Roman" w:hAnsi="Times New Roman"/>
          <w:color w:val="000000"/>
          <w:sz w:val="20"/>
        </w:rPr>
        <w:t>. The name of the limited liability company formed by the filing of the Certificate is “National CineMedia, LLC.” However, the business of the Company may be conducted upon compliance with all applicable laws under any other name designated by the Manager.</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2.3 </w:t>
      </w:r>
      <w:r>
        <w:rPr>
          <w:rFonts w:ascii="Times New Roman" w:hAnsi="Times New Roman"/>
          <w:b/>
          <w:color w:val="000000"/>
          <w:sz w:val="20"/>
          <w:u w:val="single"/>
        </w:rPr>
        <w:t>Term</w:t>
      </w:r>
      <w:r>
        <w:rPr>
          <w:rFonts w:ascii="Times New Roman" w:hAnsi="Times New Roman"/>
          <w:color w:val="000000"/>
          <w:sz w:val="20"/>
        </w:rPr>
        <w:t xml:space="preserve">. The term of the Company has commenced as of the date of filing the Certificate and will continue in perpetuity; </w:t>
      </w:r>
      <w:r>
        <w:rPr>
          <w:rFonts w:ascii="Times New Roman" w:hAnsi="Times New Roman"/>
          <w:color w:val="000000"/>
          <w:sz w:val="20"/>
          <w:u w:val="single"/>
        </w:rPr>
        <w:t>provided</w:t>
      </w:r>
      <w:r>
        <w:rPr>
          <w:rFonts w:ascii="Times New Roman" w:hAnsi="Times New Roman"/>
          <w:color w:val="000000"/>
          <w:sz w:val="20"/>
        </w:rPr>
        <w:t xml:space="preserve"> that the Company may be dissolved in accordance with the provisions of this Agreement or by the LLC Act.</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2.4 </w:t>
      </w:r>
      <w:r>
        <w:rPr>
          <w:rFonts w:ascii="Times New Roman" w:hAnsi="Times New Roman"/>
          <w:b/>
          <w:color w:val="000000"/>
          <w:sz w:val="20"/>
          <w:u w:val="single"/>
        </w:rPr>
        <w:t>Headquarters Office</w:t>
      </w:r>
      <w:r>
        <w:rPr>
          <w:rFonts w:ascii="Times New Roman" w:hAnsi="Times New Roman"/>
          <w:color w:val="000000"/>
          <w:sz w:val="20"/>
        </w:rPr>
        <w:t>. The Company’s headquarters office shall initially be located in Centennial, Colorado. The Manager may determine to open, close or move any office at any time in its absolute discretion.</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2.5 </w:t>
      </w:r>
      <w:r>
        <w:rPr>
          <w:rFonts w:ascii="Times New Roman" w:hAnsi="Times New Roman"/>
          <w:b/>
          <w:color w:val="000000"/>
          <w:sz w:val="20"/>
          <w:u w:val="single"/>
        </w:rPr>
        <w:t>Registered Agent and Office</w:t>
      </w:r>
      <w:r>
        <w:rPr>
          <w:rFonts w:ascii="Times New Roman" w:hAnsi="Times New Roman"/>
          <w:color w:val="000000"/>
          <w:sz w:val="20"/>
        </w:rPr>
        <w:t>. The address of the Company’s registered office in the State of Delaware is Corporation Trust Center, 1209 Orange Street, City of Wilmington, County of New Castle, Delaware 19801. The name of the Company’s registered agent at such address is Corporation Trust Company. The Manager may at any time designate another registered agent or registered office or both.</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2.6 </w:t>
      </w:r>
      <w:r>
        <w:rPr>
          <w:rFonts w:ascii="Times New Roman" w:hAnsi="Times New Roman"/>
          <w:b/>
          <w:color w:val="000000"/>
          <w:sz w:val="20"/>
          <w:u w:val="single"/>
        </w:rPr>
        <w:t>Purposes</w:t>
      </w:r>
      <w:r>
        <w:rPr>
          <w:rFonts w:ascii="Times New Roman" w:hAnsi="Times New Roman"/>
          <w:color w:val="000000"/>
          <w:sz w:val="20"/>
        </w:rPr>
        <w:t>. The purpose of the Company is to:</w:t>
      </w:r>
    </w:p>
    <w:p>
      <w:pPr>
        <w:pStyle w:val="TextBody"/>
        <w:bidi w:val="0"/>
        <w:spacing w:before="90" w:after="283"/>
        <w:jc w:val="left"/>
        <w:rPr>
          <w:rFonts w:ascii="Times New Roman" w:hAnsi="Times New Roman"/>
          <w:sz w:val="20"/>
        </w:rPr>
      </w:pPr>
      <w:r>
        <w:rPr>
          <w:rFonts w:ascii="Times New Roman" w:hAnsi="Times New Roman"/>
          <w:color w:val="000000"/>
          <w:sz w:val="20"/>
        </w:rPr>
        <w:t>(a) operate and maintain a digital content network (“</w:t>
      </w:r>
      <w:r>
        <w:rPr>
          <w:rFonts w:ascii="Times New Roman" w:hAnsi="Times New Roman"/>
          <w:b/>
          <w:color w:val="000000"/>
          <w:sz w:val="20"/>
          <w:u w:val="single"/>
        </w:rPr>
        <w:t>DCN</w:t>
      </w:r>
      <w:r>
        <w:rPr>
          <w:rFonts w:ascii="Times New Roman" w:hAnsi="Times New Roman"/>
          <w:color w:val="000000"/>
          <w:sz w:val="20"/>
        </w:rPr>
        <w:t>”) that is able to distribute advertising, marketing, promotional and other digital content for display on theatre screens and video display monitors in theatres on a worldwide basis and that, among other things, will compete with all areas and forms of media (including cable and television broadcasters), advertising, marketing, promotional and/or any distribution of digital content via any media format on a worldwide basis;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provide advertising, marketing and promotional activities on behalf of any Person involved in the business of exhibiting theatrical motion pictures, including, but not limited to, the Founding Members and their Affiliates (including the Services as set forth in the Exhibitor Services Agreements) whether displayed over the DCN, as non-digital content for display on non-digital theatre screens, through lobby or other in-theatre promotions, or through sponsorships of special events;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 own, operate and maintain a business that provides advertising, marketing and promotional materials and other activities to fitness centers, health clubs and other out-of-home advertising venues such as airlines and theme parks; and</w:t>
      </w:r>
    </w:p>
    <w:p>
      <w:pPr>
        <w:pStyle w:val="TextBody"/>
        <w:bidi w:val="0"/>
        <w:spacing w:before="180" w:after="283"/>
        <w:jc w:val="left"/>
        <w:rPr>
          <w:rFonts w:ascii="Times New Roman" w:hAnsi="Times New Roman"/>
          <w:sz w:val="20"/>
        </w:rPr>
      </w:pPr>
      <w:r>
        <w:rPr>
          <w:rFonts w:ascii="Times New Roman" w:hAnsi="Times New Roman"/>
          <w:color w:val="000000"/>
          <w:sz w:val="20"/>
        </w:rPr>
        <w:t>(d) engage in all activities and transactions in furtherance of the foregoing purposes (collectively, the “</w:t>
      </w:r>
      <w:r>
        <w:rPr>
          <w:rFonts w:ascii="Times New Roman" w:hAnsi="Times New Roman"/>
          <w:b/>
          <w:color w:val="000000"/>
          <w:sz w:val="20"/>
        </w:rPr>
        <w:t>Joint Venture Purposes</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2.7 </w:t>
      </w:r>
      <w:r>
        <w:rPr>
          <w:rFonts w:ascii="Times New Roman" w:hAnsi="Times New Roman"/>
          <w:b/>
          <w:color w:val="000000"/>
          <w:sz w:val="20"/>
          <w:u w:val="single"/>
        </w:rPr>
        <w:t>Powers</w:t>
      </w:r>
      <w:r>
        <w:rPr>
          <w:rFonts w:ascii="Times New Roman" w:hAnsi="Times New Roman"/>
          <w:color w:val="000000"/>
          <w:sz w:val="20"/>
        </w:rPr>
        <w:t>. The Company shall have the power and authority to take any and all actions necessary, appropriate, desirable, advisable, incidental or convenient to, or for the furtherance of, the Joint Venture Purposes, alone or with other Persons.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ARTICLE 3</w:t>
      </w:r>
    </w:p>
    <w:p>
      <w:pPr>
        <w:pStyle w:val="TextBody"/>
        <w:bidi w:val="0"/>
        <w:spacing w:before="180" w:after="283"/>
        <w:jc w:val="center"/>
        <w:rPr>
          <w:rFonts w:ascii="Times New Roman" w:hAnsi="Times New Roman"/>
          <w:b/>
          <w:color w:val="000000"/>
          <w:sz w:val="20"/>
          <w:u w:val="single"/>
        </w:rPr>
      </w:pPr>
      <w:r>
        <w:rPr>
          <w:rFonts w:ascii="Times New Roman" w:hAnsi="Times New Roman"/>
          <w:b/>
          <w:color w:val="000000"/>
          <w:sz w:val="20"/>
          <w:u w:val="single"/>
        </w:rPr>
        <w:t>MEMBERS AND INTERESTS</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3.1 </w:t>
      </w:r>
      <w:r>
        <w:rPr>
          <w:rFonts w:ascii="Times New Roman" w:hAnsi="Times New Roman"/>
          <w:b/>
          <w:color w:val="000000"/>
          <w:sz w:val="20"/>
          <w:u w:val="single"/>
        </w:rPr>
        <w:t>Members</w:t>
      </w:r>
      <w:r>
        <w:rPr>
          <w:rFonts w:ascii="Times New Roman" w:hAnsi="Times New Roman"/>
          <w:b/>
          <w:color w:val="000000"/>
          <w:sz w:val="20"/>
        </w:rPr>
        <w:t>.</w:t>
      </w:r>
    </w:p>
    <w:p>
      <w:pPr>
        <w:pStyle w:val="TextBody"/>
        <w:bidi w:val="0"/>
        <w:spacing w:before="90" w:after="283"/>
        <w:jc w:val="left"/>
        <w:rPr>
          <w:rFonts w:ascii="Times New Roman" w:hAnsi="Times New Roman"/>
          <w:sz w:val="20"/>
        </w:rPr>
      </w:pPr>
      <w:r>
        <w:rPr>
          <w:rFonts w:ascii="Times New Roman" w:hAnsi="Times New Roman"/>
          <w:color w:val="000000"/>
          <w:sz w:val="20"/>
        </w:rPr>
        <w:t xml:space="preserve">(a) AMC, Regal and Cinemark were previously admitted as Members to the Company subject to the Second Amended Agreement. Upon the execution of this Agreement, NCM Inc. shall be admitted to the Company as a Member. Following the Common Unit Purchase and Over-Allotment Unit Purchase, each Person named as a Member on </w:t>
      </w:r>
      <w:r>
        <w:rPr>
          <w:rFonts w:ascii="Times New Roman" w:hAnsi="Times New Roman"/>
          <w:color w:val="000000"/>
          <w:sz w:val="20"/>
          <w:u w:val="single"/>
        </w:rPr>
        <w:t>Exhibit A</w:t>
      </w:r>
      <w:r>
        <w:rPr>
          <w:rFonts w:ascii="Times New Roman" w:hAnsi="Times New Roman"/>
          <w:color w:val="000000"/>
          <w:sz w:val="20"/>
        </w:rPr>
        <w:t xml:space="preserve"> hereto on the date hereof shall be deemed to own the number of Common Units and Preferred Units specified in </w:t>
      </w:r>
      <w:r>
        <w:rPr>
          <w:rFonts w:ascii="Times New Roman" w:hAnsi="Times New Roman"/>
          <w:color w:val="000000"/>
          <w:sz w:val="20"/>
          <w:u w:val="single"/>
        </w:rPr>
        <w:t>Exhibit A</w:t>
      </w:r>
      <w:r>
        <w:rPr>
          <w:rFonts w:ascii="Times New Roman" w:hAnsi="Times New Roman"/>
          <w:color w:val="000000"/>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Exhibit A</w:t>
      </w:r>
      <w:r>
        <w:rPr>
          <w:rFonts w:ascii="Times New Roman" w:hAnsi="Times New Roman"/>
          <w:color w:val="000000"/>
          <w:sz w:val="20"/>
        </w:rPr>
        <w:t xml:space="preserve"> hereto contains the name, address and number of Common Units and Preferred Units owned by each Member as of the date hereof following the Common Unit Purchase and Over-Allotment Unit Purchase and immediately prior to the Preferred Distribution. The Company shall revise </w:t>
      </w:r>
      <w:r>
        <w:rPr>
          <w:rFonts w:ascii="Times New Roman" w:hAnsi="Times New Roman"/>
          <w:color w:val="000000"/>
          <w:sz w:val="20"/>
          <w:u w:val="single"/>
        </w:rPr>
        <w:t>Exhibit A</w:t>
      </w:r>
      <w:r>
        <w:rPr>
          <w:rFonts w:ascii="Times New Roman" w:hAnsi="Times New Roman"/>
          <w:color w:val="000000"/>
          <w:sz w:val="20"/>
        </w:rPr>
        <w:t xml:space="preserve"> (i) from time to time to reflect the issuance, conversion or Transfer of Units in accordance with the terms of this Agreement and other modifications to or changes in the information set forth therein, and (ii) in accordance with Sections 3.4(f), 3.5 and 9.1. Any amendment or revision to </w:t>
      </w:r>
      <w:r>
        <w:rPr>
          <w:rFonts w:ascii="Times New Roman" w:hAnsi="Times New Roman"/>
          <w:color w:val="000000"/>
          <w:sz w:val="20"/>
          <w:u w:val="single"/>
        </w:rPr>
        <w:t>Exhibit A</w:t>
      </w:r>
      <w:r>
        <w:rPr>
          <w:rFonts w:ascii="Times New Roman" w:hAnsi="Times New Roman"/>
          <w:color w:val="000000"/>
          <w:sz w:val="20"/>
        </w:rPr>
        <w:t xml:space="preserve"> or to the Company’s records as contemplated by this Agreement to reflect information regarding Members or under Section 3.4(f), 3.5 or 9.1 shall be deemed to amend this Agreement, but shall not require the approval of the Manager or any Member.</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(c) One or more additional Persons may be admitted as a Member of the Company only upon (i) an issuance of Units pursuant to Section 3.4(f) or 3.5 or a Transfer of Units pursuant to Article 8, and (ii) the execution and delivery by such Person of a counterpart to this Agreement or other written agreement, in a form satisfactory to the Manager, to be bound by all the terms and conditions of this Agreement. Upon such execution, the Company shall amend </w:t>
      </w:r>
      <w:r>
        <w:rPr>
          <w:rFonts w:ascii="Times New Roman" w:hAnsi="Times New Roman"/>
          <w:color w:val="000000"/>
          <w:sz w:val="20"/>
          <w:u w:val="single"/>
        </w:rPr>
        <w:t>Exhibit A</w:t>
      </w:r>
      <w:r>
        <w:rPr>
          <w:rFonts w:ascii="Times New Roman" w:hAnsi="Times New Roman"/>
          <w:color w:val="000000"/>
          <w:sz w:val="20"/>
        </w:rPr>
        <w:t xml:space="preserve"> and shall amend this Agreement as the Manager may reasonably determine is necessary, to reflect the admission of such Person as a Member and such other information of such Person as indicated in </w:t>
      </w:r>
      <w:r>
        <w:rPr>
          <w:rFonts w:ascii="Times New Roman" w:hAnsi="Times New Roman"/>
          <w:color w:val="000000"/>
          <w:sz w:val="20"/>
          <w:u w:val="single"/>
        </w:rPr>
        <w:t>Exhibit A</w:t>
      </w:r>
      <w:r>
        <w:rPr>
          <w:rFonts w:ascii="Times New Roman" w:hAnsi="Times New Roman"/>
          <w:color w:val="000000"/>
          <w:sz w:val="20"/>
        </w:rPr>
        <w:t>. Unless admitted to the Company as a Member as provided in this Section 3.1 or Section 8.2, no Person is, or will be considered to be, a Member.</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(d) Subject to the other provisions of this Section 3.1 and Section 8.2, each Person that holds one or more Units in compliance with the terms of this Agreement shall be a Member. A Member will cease to be a Member when such Person ceases to own any Units in the Company, in which case </w:t>
      </w:r>
      <w:r>
        <w:rPr>
          <w:rFonts w:ascii="Times New Roman" w:hAnsi="Times New Roman"/>
          <w:color w:val="000000"/>
          <w:sz w:val="20"/>
          <w:u w:val="single"/>
        </w:rPr>
        <w:t>Exhibit A</w:t>
      </w:r>
      <w:r>
        <w:rPr>
          <w:rFonts w:ascii="Times New Roman" w:hAnsi="Times New Roman"/>
          <w:color w:val="000000"/>
          <w:sz w:val="20"/>
        </w:rPr>
        <w:t xml:space="preserve"> shall be amended to reflect that such Person is no longer a Member.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 Except as provided in the LLC Act, in no event shall any Member (or any former Member), by reason of its status as a Member (or former Member), have any liability for (i) the debts, duties or any other obligations of the Company, (ii) the repayment of any Capital Contribution of any other Member or (iii) any act or omission of any other Member.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 If a Founding Member and one or more of its transferees (which have the rights and powers of a Founding Member under Section 8.2(c)) hold Common Units in the Company at the same time, such Founding Member and transferees shall designate one of them to act on behalf of all of them and vote all of their Common Units with respect to any matter requiring approval of the Founding Members.</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3.2 </w:t>
      </w:r>
      <w:r>
        <w:rPr>
          <w:rFonts w:ascii="Times New Roman" w:hAnsi="Times New Roman"/>
          <w:b/>
          <w:color w:val="000000"/>
          <w:sz w:val="20"/>
          <w:u w:val="single"/>
        </w:rPr>
        <w:t>Meeting of Members</w:t>
      </w:r>
      <w:r>
        <w:rPr>
          <w:rFonts w:ascii="Times New Roman" w:hAnsi="Times New Roman"/>
          <w:b/>
          <w:color w:val="000000"/>
          <w:sz w:val="20"/>
        </w:rPr>
        <w:t>.</w:t>
      </w:r>
    </w:p>
    <w:p>
      <w:pPr>
        <w:pStyle w:val="TextBody"/>
        <w:bidi w:val="0"/>
        <w:spacing w:before="90" w:after="283"/>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Annual Meeting</w:t>
      </w:r>
      <w:r>
        <w:rPr>
          <w:rFonts w:ascii="Times New Roman" w:hAnsi="Times New Roman"/>
          <w:color w:val="000000"/>
          <w:sz w:val="20"/>
        </w:rPr>
        <w:t>. Subject to Section 3.2(g), an annual meeting of Members shall be held on such date and at such time as (i) shall be designated from time to time by the Manager, but no less often than once during each calendar year, and (ii) stated in the notice of the meeting, at which meeting the Members entitled to vote shall transact such business as may properly be brought before the meeting. At each annual meeting of the Members (i) the Manager shall discuss the matters and affairs of the Company, and (ii) the Members shall address such other matters as may be raised at the meeting by the Members or Manager.</w:t>
      </w:r>
    </w:p>
    <w:p>
      <w:pPr>
        <w:pStyle w:val="HorizontalLine"/>
        <w:pBdr>
          <w:bottom w:val="double" w:sz="2" w:space="0" w:color="808080"/>
        </w:pBdr>
        <w:bidi w:val="0"/>
        <w:spacing w:before="0" w:after="283"/>
        <w:jc w:val="left"/>
        <w:rPr/>
      </w:pPr>
      <w:r>
        <w:rPr/>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Special Meetings</w:t>
      </w:r>
      <w:r>
        <w:rPr>
          <w:rFonts w:ascii="Times New Roman" w:hAnsi="Times New Roman"/>
          <w:color w:val="000000"/>
          <w:sz w:val="20"/>
        </w:rPr>
        <w:t>. A special meeting of Members, for any purpose or purposes, may be called by the Manager and shall be called by the Manager upon the receipt by the Manager of the written request of any Member. Such request shall state the purpose or purposes of the proposed meeting.</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Place and Conduct of Meetings</w:t>
      </w:r>
      <w:r>
        <w:rPr>
          <w:rFonts w:ascii="Times New Roman" w:hAnsi="Times New Roman"/>
          <w:color w:val="000000"/>
          <w:sz w:val="20"/>
        </w:rPr>
        <w:t>. Meetings of the Members shall be held at such time and place, either within or without the State of Delaware, as shall be designated from time to time by the Manager and stated in the notice of the meeting or in a duly executed waiver of notice thereof. All meetings shall be conducted by such Person as the Manager may appoint pursuant to such rules for the conduct of the meeting as the Manager or such other Person deems appropriate. Such meetings may be held in person, by teleconference or by any other reasonable means, in each case at the discretion of the Manager.</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Notice of Meetings</w:t>
      </w:r>
      <w:r>
        <w:rPr>
          <w:rFonts w:ascii="Times New Roman" w:hAnsi="Times New Roman"/>
          <w:color w:val="000000"/>
          <w:sz w:val="20"/>
        </w:rPr>
        <w:t>. Written notice of an annual meeting or special meeting stating the place, date, and hour of the meeting and in the case of a special meeting, the purpose or purposes for which the meeting is called, shall be given not less than five calendar days nor more than 60 calendar days before the date of the meeting to each Member entitled to vote at such meeting, unless waived by each such Member.</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Quorum</w:t>
      </w:r>
      <w:r>
        <w:rPr>
          <w:rFonts w:ascii="Times New Roman" w:hAnsi="Times New Roman"/>
          <w:color w:val="000000"/>
          <w:sz w:val="20"/>
        </w:rPr>
        <w:t>. The presence of the holders of a majority of all the Common Units then issued and outstanding and entitled to vote thereat, whether in person or represented by a valid written proxy, shall constitute a quorum at all meetings of the Members for the transaction of business. If, however, such quorum shall not be present or represented at any meeting of the Members, the Members entitled to vote thereat, present in person or represented by proxy, shall have power to adjourn the meeting from time to time, without notice other than announcement at the meeting, until a quorum shall be present or represented.</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Voting</w:t>
      </w:r>
      <w:r>
        <w:rPr>
          <w:rFonts w:ascii="Times New Roman" w:hAnsi="Times New Roman"/>
          <w:color w:val="000000"/>
          <w:sz w:val="20"/>
        </w:rPr>
        <w:t>. All matters submitted to the vote of the Members shall be decided by a Majority Member Vote. Such votes may be cast in person or by valid written proxy, but no proxy shall be voted after three years from its date, unless such proxy provides for a longer period.</w:t>
      </w:r>
    </w:p>
    <w:p>
      <w:pPr>
        <w:pStyle w:val="TextBody"/>
        <w:bidi w:val="0"/>
        <w:jc w:val="left"/>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Action by Consent</w:t>
      </w:r>
      <w:r>
        <w:rPr>
          <w:rFonts w:ascii="Times New Roman" w:hAnsi="Times New Roman"/>
          <w:color w:val="000000"/>
          <w:sz w:val="20"/>
        </w:rPr>
        <w:t xml:space="preserve">. Any consent required herein or action required to be taken at any annual or special meeting of Members, or any action which may be taken at any annual or special meeting of such Members, may be taken without a meeting, without a vote, without prior written notice and with a consent or consents in writing signed by Members who are holders of outstanding Common Units having not less than the minimum number of votes that would be necessary to authorize or take such action at a meeting at which all Common Units entitled to vote thereon were present and voted. Prompt notice of the taking of the action without a meeting by less than unanimous written consent shall be given to those Members who are holders of Common Units and who have not consented in writing; </w:t>
      </w:r>
      <w:r>
        <w:rPr>
          <w:rFonts w:ascii="Times New Roman" w:hAnsi="Times New Roman"/>
          <w:color w:val="000000"/>
          <w:sz w:val="20"/>
          <w:u w:val="single"/>
        </w:rPr>
        <w:t>provided</w:t>
      </w:r>
      <w:r>
        <w:rPr>
          <w:rFonts w:ascii="Times New Roman" w:hAnsi="Times New Roman"/>
          <w:color w:val="000000"/>
          <w:sz w:val="20"/>
        </w:rPr>
        <w:t xml:space="preserve"> that the failure to give any such notice shall not affect the validity of the action taken by such written consent.</w:t>
      </w:r>
    </w:p>
    <w:p>
      <w:pPr>
        <w:pStyle w:val="TextBody"/>
        <w:bidi w:val="0"/>
        <w:spacing w:before="180" w:after="283"/>
        <w:jc w:val="left"/>
        <w:rPr>
          <w:rFonts w:ascii="Times New Roman" w:hAnsi="Times New Roman"/>
          <w:sz w:val="20"/>
        </w:rPr>
      </w:pPr>
      <w:r>
        <w:rPr>
          <w:rFonts w:ascii="Times New Roman" w:hAnsi="Times New Roman"/>
          <w:b/>
          <w:color w:val="000000"/>
          <w:sz w:val="20"/>
        </w:rPr>
        <w:t>3.3</w:t>
      </w:r>
      <w:r>
        <w:rPr>
          <w:rFonts w:ascii="Times New Roman" w:hAnsi="Times New Roman"/>
          <w:color w:val="000000"/>
          <w:sz w:val="20"/>
          <w:u w:val="single"/>
        </w:rPr>
        <w:t xml:space="preserve"> </w:t>
      </w:r>
      <w:r>
        <w:rPr>
          <w:rFonts w:ascii="Times New Roman" w:hAnsi="Times New Roman"/>
          <w:b/>
          <w:color w:val="000000"/>
          <w:sz w:val="20"/>
          <w:u w:val="single"/>
        </w:rPr>
        <w:t>Certain Duties and Obligations of the Members</w:t>
      </w:r>
      <w:r>
        <w:rPr>
          <w:rFonts w:ascii="Times New Roman" w:hAnsi="Times New Roman"/>
          <w:color w:val="000000"/>
          <w:sz w:val="20"/>
        </w:rPr>
        <w:t>. The Company shall be a partnership only for income tax purposes and this Agreement shall not be deemed to create a partnership, joint venture, agency or other relationship among the Members creating fiduciary or quasi-fiduciary duties or similar duties and obligations or to subject the Members to joint and several or vicarious liability or to impose any duty, obligation or liability that would arise therefrom with respect to any or all of the Members or their Affiliates. Except as otherwise provided in this Agreement, no Member shall have any authority to act for, bind, commit or assume any obligation or responsibility on behalf of the Company, its properties or any other Member. No Member, in its capacity as a Member under this Agreement, shall be responsible or liable for any Indebtedness or obligation of another Member. The Company shall not be responsible or liable for any Indebtedness or obligation of any Member, incurred either before or after the execution and delivery of this Agreement by such Member, except as to those responsibilities, liabilities, Indebtedness or obligations incurred pursuant to and as limited by the terms of this Agreement, the Contribution and Unit Holders Agreement, the Contribution Agreement and the LLC Act.</w:t>
      </w:r>
    </w:p>
    <w:p>
      <w:pPr>
        <w:pStyle w:val="TextBody"/>
        <w:bidi w:val="0"/>
        <w:spacing w:before="180" w:after="283"/>
        <w:jc w:val="left"/>
        <w:rPr>
          <w:rFonts w:ascii="Times New Roman" w:hAnsi="Times New Roman"/>
          <w:sz w:val="20"/>
        </w:rPr>
      </w:pPr>
      <w:r>
        <w:rPr>
          <w:rFonts w:ascii="Times New Roman" w:hAnsi="Times New Roman"/>
          <w:b/>
          <w:color w:val="000000"/>
          <w:sz w:val="20"/>
        </w:rPr>
        <w:t>3.4</w:t>
      </w:r>
      <w:r>
        <w:rPr>
          <w:rFonts w:ascii="Times New Roman" w:hAnsi="Times New Roman"/>
          <w:color w:val="000000"/>
          <w:sz w:val="20"/>
        </w:rPr>
        <w:t xml:space="preserve"> </w:t>
      </w:r>
      <w:r>
        <w:rPr>
          <w:rFonts w:ascii="Times New Roman" w:hAnsi="Times New Roman"/>
          <w:b/>
          <w:color w:val="000000"/>
          <w:sz w:val="20"/>
          <w:u w:val="single"/>
        </w:rPr>
        <w:t>Units</w:t>
      </w:r>
      <w:r>
        <w:rPr>
          <w:rFonts w:ascii="Times New Roman" w:hAnsi="Times New Roman"/>
          <w:color w:val="000000"/>
          <w:sz w:val="20"/>
        </w:rPr>
        <w:t>.</w:t>
      </w:r>
    </w:p>
    <w:p>
      <w:pPr>
        <w:pStyle w:val="TextBody"/>
        <w:bidi w:val="0"/>
        <w:spacing w:before="90" w:after="283"/>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Recapitalization</w:t>
      </w:r>
      <w:r>
        <w:rPr>
          <w:rFonts w:ascii="Times New Roman" w:hAnsi="Times New Roman"/>
          <w:color w:val="000000"/>
          <w:sz w:val="20"/>
        </w:rPr>
        <w:t>. Pursuant to the Third Amendment (i) each Class A Unit that was issued and outstanding under the First Amended Agreement, as amended by the First Amendment and the Second Amendment, was split into 44,291 Class A Units, and (ii) following the split of Class A Units described in the preceding clause (i), each issued and outstanding Class A Unit was recapitalized into one (1) Common Unit and one (1) Preferred Unit.</w:t>
      </w:r>
    </w:p>
    <w:p>
      <w:pPr>
        <w:pStyle w:val="HorizontalLine"/>
        <w:pBdr>
          <w:bottom w:val="double" w:sz="2" w:space="0" w:color="808080"/>
        </w:pBdr>
        <w:bidi w:val="0"/>
        <w:spacing w:before="0" w:after="283"/>
        <w:jc w:val="left"/>
        <w:rPr/>
      </w:pPr>
      <w:r>
        <w:rPr/>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Common Unit Purchase</w:t>
      </w:r>
      <w:r>
        <w:rPr>
          <w:rFonts w:ascii="Times New Roman" w:hAnsi="Times New Roman"/>
          <w:color w:val="000000"/>
          <w:sz w:val="20"/>
        </w:rPr>
        <w:t>. In connection with the execution of this Agreement (i) NCM Inc. is making its required Capital Contribution to the Company as set forth in the Subscription Agreement, and (ii) in exchange for NCM Inc.’s Capital Contribution, the Company is issuing to NCM Inc. 38,000,000 Common Units (collectively, the “</w:t>
      </w:r>
      <w:r>
        <w:rPr>
          <w:rFonts w:ascii="Times New Roman" w:hAnsi="Times New Roman"/>
          <w:b/>
          <w:color w:val="000000"/>
          <w:sz w:val="20"/>
          <w:u w:val="single"/>
        </w:rPr>
        <w:t>Common Unit Purchase</w:t>
      </w:r>
      <w:r>
        <w:rPr>
          <w:rFonts w:ascii="Times New Roman" w:hAnsi="Times New Roman"/>
          <w:color w:val="000000"/>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Over-Allotment Unit Purchase</w:t>
      </w:r>
      <w:r>
        <w:rPr>
          <w:rFonts w:ascii="Times New Roman" w:hAnsi="Times New Roman"/>
          <w:color w:val="000000"/>
          <w:sz w:val="20"/>
        </w:rPr>
        <w:t>. Pursuant to the terms of the Unit Purchase Agreement, the Founding Members have agreed to sell to NCM Inc. a number of Common Units equal to the number of shares of NCM Inc. common stock sold to the Underwriters pursuant to the Underwriters’ option to purchase an additional 4,000,0000 shares of NCM Inc. common stock under the Underwriting Agreement (the “</w:t>
      </w:r>
      <w:r>
        <w:rPr>
          <w:rFonts w:ascii="Times New Roman" w:hAnsi="Times New Roman"/>
          <w:b/>
          <w:color w:val="000000"/>
          <w:sz w:val="20"/>
          <w:u w:val="single"/>
        </w:rPr>
        <w:t>Over-Allotment Option</w:t>
      </w:r>
      <w:r>
        <w:rPr>
          <w:rFonts w:ascii="Times New Roman" w:hAnsi="Times New Roman"/>
          <w:color w:val="000000"/>
          <w:sz w:val="20"/>
        </w:rPr>
        <w:t xml:space="preserve">”). In connection with the Underwriters exercise of the Over-Allotment Option for 4,000,000 shares of NCM Inc. common stock on the date of this Agreement and immediately following the Common Unit Purchase, each Founding Member hereby sells, conveys, transfers and assigns to NCM Inc. the number of Common Units, in exchange for the cash consideration, set forth opposite such Founding Member’s name on </w:t>
      </w:r>
      <w:r>
        <w:rPr>
          <w:rFonts w:ascii="Times New Roman" w:hAnsi="Times New Roman"/>
          <w:color w:val="000000"/>
          <w:sz w:val="20"/>
          <w:u w:val="single"/>
        </w:rPr>
        <w:t>Exhibit B</w:t>
      </w:r>
      <w:r>
        <w:rPr>
          <w:rFonts w:ascii="Times New Roman" w:hAnsi="Times New Roman"/>
          <w:color w:val="000000"/>
          <w:sz w:val="20"/>
        </w:rPr>
        <w:t xml:space="preserve"> hereto (the “</w:t>
      </w:r>
      <w:r>
        <w:rPr>
          <w:rFonts w:ascii="Times New Roman" w:hAnsi="Times New Roman"/>
          <w:b/>
          <w:color w:val="000000"/>
          <w:sz w:val="20"/>
          <w:u w:val="single"/>
        </w:rPr>
        <w:t>Over-Allotment Unit Purchase</w:t>
      </w:r>
      <w:r>
        <w:rPr>
          <w:rFonts w:ascii="Times New Roman" w:hAnsi="Times New Roman"/>
          <w:color w:val="000000"/>
          <w:sz w:val="20"/>
        </w:rPr>
        <w:t>”). The Members hereby acknowledge and agree that NCM Inc. shall have all of the rights of a Member (but not a Founding Member) with respect to the Common Units purchased pursuant to the Over-Allotment Unit Purchase.</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Common Units</w:t>
      </w:r>
      <w:r>
        <w:rPr>
          <w:rFonts w:ascii="Times New Roman" w:hAnsi="Times New Roman"/>
          <w:color w:val="000000"/>
          <w:sz w:val="20"/>
        </w:rPr>
        <w:t xml:space="preserve">. The Common Units shall consist of equal whole, fractional units into which Interests in the Company shall be divided. The Common Units shall be entitled to share in distributions and allocations as provided in Sections 5.4, 6.4 and 7.3, and as otherwise provided in this Agreement.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Preferred Units; Preferred Distribution</w:t>
      </w:r>
      <w:r>
        <w:rPr>
          <w:rFonts w:ascii="Times New Roman" w:hAnsi="Times New Roman"/>
          <w:color w:val="000000"/>
          <w:sz w:val="20"/>
        </w:rPr>
        <w:t>. In connection with the execution of this Agreement and immediately following the Common Unit Purchase, the Over-Allotment Unit Purchase and the Company’s payment of the Initial ESA Modification Payment, the Company shall incur $725,000,000 of term Indebtedness pursuant to the Senior Credit Facility (as defined in this Agreement as in effect on February 13, 2007) (the “</w:t>
      </w:r>
      <w:r>
        <w:rPr>
          <w:rFonts w:ascii="Times New Roman" w:hAnsi="Times New Roman"/>
          <w:b/>
          <w:color w:val="000000"/>
          <w:sz w:val="20"/>
          <w:u w:val="single"/>
        </w:rPr>
        <w:t>Preferred Unit Indebtedness</w:t>
      </w:r>
      <w:r>
        <w:rPr>
          <w:rFonts w:ascii="Times New Roman" w:hAnsi="Times New Roman"/>
          <w:color w:val="000000"/>
          <w:sz w:val="20"/>
        </w:rPr>
        <w:t>”) for the purpose of redeeming the Preferred Units. The total amount to be paid in redemption and complete satisfaction of all of the issued and outstanding Preferred Units shall be $769,525,602 (the “</w:t>
      </w:r>
      <w:r>
        <w:rPr>
          <w:rFonts w:ascii="Times New Roman" w:hAnsi="Times New Roman"/>
          <w:b/>
          <w:color w:val="000000"/>
          <w:sz w:val="20"/>
          <w:u w:val="single"/>
        </w:rPr>
        <w:t>Preferred Distribution</w:t>
      </w:r>
      <w:r>
        <w:rPr>
          <w:rFonts w:ascii="Times New Roman" w:hAnsi="Times New Roman"/>
          <w:color w:val="000000"/>
          <w:sz w:val="20"/>
        </w:rPr>
        <w:t xml:space="preserve">”), determined as follows (i) the amount of the Preferred Unit Indebtedness, </w:t>
      </w:r>
      <w:r>
        <w:rPr>
          <w:rFonts w:ascii="Times New Roman" w:hAnsi="Times New Roman"/>
          <w:color w:val="000000"/>
          <w:sz w:val="20"/>
          <w:u w:val="single"/>
        </w:rPr>
        <w:t>less</w:t>
      </w:r>
      <w:r>
        <w:rPr>
          <w:rFonts w:ascii="Times New Roman" w:hAnsi="Times New Roman"/>
          <w:color w:val="000000"/>
          <w:sz w:val="20"/>
        </w:rPr>
        <w:t xml:space="preserve"> (ii) $15,250,000 (the expenses associated with the Preferred Unit Indebtedness), </w:t>
      </w:r>
      <w:r>
        <w:rPr>
          <w:rFonts w:ascii="Times New Roman" w:hAnsi="Times New Roman"/>
          <w:color w:val="000000"/>
          <w:sz w:val="20"/>
          <w:u w:val="single"/>
        </w:rPr>
        <w:t>plus</w:t>
      </w:r>
      <w:r>
        <w:rPr>
          <w:rFonts w:ascii="Times New Roman" w:hAnsi="Times New Roman"/>
          <w:color w:val="000000"/>
          <w:sz w:val="20"/>
        </w:rPr>
        <w:t xml:space="preserve"> (iii) $59,775,602 (the amount by which the Capital Contribution made by NCM Inc. to the Company pursuant to the Subscription Agreement exceeds the Initial ESA Modification Payment). The 55,850,951 issued and outstanding Preferred Units shall share equally in the Preferred Distribution and each Preferred Unit shall be entitled to receive $13.7782 (the “</w:t>
      </w:r>
      <w:r>
        <w:rPr>
          <w:rFonts w:ascii="Times New Roman" w:hAnsi="Times New Roman"/>
          <w:b/>
          <w:color w:val="000000"/>
          <w:sz w:val="20"/>
          <w:u w:val="single"/>
        </w:rPr>
        <w:t>Preferred Unit Amount</w:t>
      </w:r>
      <w:r>
        <w:rPr>
          <w:rFonts w:ascii="Times New Roman" w:hAnsi="Times New Roman"/>
          <w:color w:val="000000"/>
          <w:sz w:val="20"/>
        </w:rPr>
        <w:t xml:space="preserve">”) in redemption and complete satisfaction of all amounts to which each Preferred Unit is entitled under this Section 3.4(e). In the redemption of the Preferred Units, each Founding Member shall receive a whole dollar amount equal to the product of (x) the Preferred Unit Amount, </w:t>
      </w:r>
      <w:r>
        <w:rPr>
          <w:rFonts w:ascii="Times New Roman" w:hAnsi="Times New Roman"/>
          <w:color w:val="000000"/>
          <w:sz w:val="20"/>
          <w:u w:val="single"/>
        </w:rPr>
        <w:t>times</w:t>
      </w:r>
      <w:r>
        <w:rPr>
          <w:rFonts w:ascii="Times New Roman" w:hAnsi="Times New Roman"/>
          <w:color w:val="000000"/>
          <w:sz w:val="20"/>
        </w:rPr>
        <w:t xml:space="preserve"> (y) the number of Preferred Units held by such Founding Member. The amount to be paid to each Founding Member in redemption and complete satisfaction of all of such Founding Member’s Preferred Units is set forth on </w:t>
      </w:r>
      <w:r>
        <w:rPr>
          <w:rFonts w:ascii="Times New Roman" w:hAnsi="Times New Roman"/>
          <w:color w:val="000000"/>
          <w:sz w:val="20"/>
          <w:u w:val="single"/>
        </w:rPr>
        <w:t>Exhibit A</w:t>
      </w:r>
      <w:r>
        <w:rPr>
          <w:rFonts w:ascii="Times New Roman" w:hAnsi="Times New Roman"/>
          <w:color w:val="000000"/>
          <w:sz w:val="20"/>
        </w:rPr>
        <w:t>. All of the issued and outstanding Preferred Units shall automatically terminate and cease to be outstanding on payment of the Preferred Unit Amount to which each Preferred Unit is entitled under this Section 3.4(e).</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Adjustment of Common Units</w:t>
      </w:r>
      <w:r>
        <w:rPr>
          <w:rFonts w:ascii="Times New Roman" w:hAnsi="Times New Roman"/>
          <w:color w:val="000000"/>
          <w:sz w:val="20"/>
        </w:rPr>
        <w:t>. The Common Units of the Founding Members and their Affiliates shall be adjusted from time to time as provided in the Common Unit Adjustment Agreement, which is incorporated herein by reference.</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Unit Splits, Ratios and Other Unit Adjustments</w:t>
      </w:r>
      <w:r>
        <w:rPr>
          <w:rFonts w:ascii="Times New Roman" w:hAnsi="Times New Roman"/>
          <w:color w:val="000000"/>
          <w:sz w:val="20"/>
        </w:rPr>
        <w:t xml:space="preserve">. The Company shall undertake all actions, including, without limitation, a reclassification, distribution, division or recapitalization, with respect to the Common Units, to maintain at all times a one-to-one ratio between the number of Common Units owned by NCM Inc. and the number of outstanding shares of NCM Inc. common stock, disregarding, for purposes of maintaining the one-to-one ratio, Unvested NCM Inc. Shares, treasury stock, preferred stock or other securities of NCM Inc. that are not convertible into or exercisable or exchangeable for common stock of NCM Inc. In the event NCM Inc. issues, transfers from treasury stock or repurchases NCM Inc. common stock in a transaction not contemplated in this Agreement, the Manager shall have the authority to take all actions such that, after giving effect to all such issuances, transfers or repurchases, the number of outstanding Common Units owned by NCM Inc. will equal on a one-for-one basis the number of outstanding shares of NCM Inc. common stock. In the event NCM Inc. issues, transfers from treasury stock or repurchases NCM Inc. preferred stock in a transaction not contemplated in this Agreement, the Manager shall have the authority to take all actions such that, after giving effect to all such issuances, transfers or repurchases, NCM Inc. holds mirror equity interests in the Company which (in the good faith determination by the Manager) are </w:t>
      </w:r>
    </w:p>
    <w:p>
      <w:pPr>
        <w:pStyle w:val="HorizontalLine"/>
        <w:pBdr>
          <w:bottom w:val="double" w:sz="2" w:space="0" w:color="808080"/>
        </w:pBdr>
        <w:bidi w:val="0"/>
        <w:spacing w:before="0" w:after="283"/>
        <w:jc w:val="left"/>
        <w:rPr/>
      </w:pPr>
      <w:r>
        <w:rPr/>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the aggregate substantially equivalent to the outstanding NCM Inc. preferred stock. The Company shall not undertake any subdivision (by any Unit split, Unit distribution, reclassification, recapitalization or similar event) or combination (by reverse Unit split, reclassification, recapitalization or similar event) of the Units that is not accompanied by an identical subdivision or combination of the NCM Inc. common stock to maintain at all times a one-to-one ratio between the number of Common Units owned by NCM Inc. and the number of outstanding shares of NCM Inc. common stock, unless such action is necessary to maintain at all times a one-to-one ratio between the number of Common Units owned by NCM Inc. and the number of outstanding shares of NCM Inc. common stock as contemplated by the first sentence of this Section 3.4(g).</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(h) </w:t>
      </w:r>
      <w:r>
        <w:rPr>
          <w:rFonts w:ascii="Times New Roman" w:hAnsi="Times New Roman"/>
          <w:color w:val="000000"/>
          <w:sz w:val="20"/>
          <w:u w:val="single"/>
        </w:rPr>
        <w:t>Certificates; Transfer</w:t>
      </w:r>
      <w:r>
        <w:rPr>
          <w:rFonts w:ascii="Times New Roman" w:hAnsi="Times New Roman"/>
          <w:color w:val="000000"/>
          <w:sz w:val="20"/>
        </w:rPr>
        <w:t xml:space="preserve">. Common Units shall be evidenced by a certificate issued by the Company to the holder thereof and substantially in the form of </w:t>
      </w:r>
      <w:r>
        <w:rPr>
          <w:rFonts w:ascii="Times New Roman" w:hAnsi="Times New Roman"/>
          <w:color w:val="000000"/>
          <w:sz w:val="20"/>
          <w:u w:val="single"/>
        </w:rPr>
        <w:t>Exhibit C</w:t>
      </w:r>
      <w:r>
        <w:rPr>
          <w:rFonts w:ascii="Times New Roman" w:hAnsi="Times New Roman"/>
          <w:color w:val="000000"/>
          <w:sz w:val="20"/>
        </w:rPr>
        <w:t xml:space="preserve"> attached hereto. Such certificates shall be entered in the books of the Company as they are issued, and shall be signed by a duly designated officer of the Company and may be sealed with the Company’s seal or a facsimile thereof. Upon any Transfer permitted under this Agreement (i) the Transferring Member shall surrender to the Company a certificate or certificates representing at least the number of Common Units being Transferred, and (ii) the Company shall issue (x) to the transferee a certificate for the number of Common Units Transferred, and (y) to the Transferring Member a certificate representing the remaining number of Common Units equal to the difference (if any) between the number of Common Units evidenced by the certificate or certificates surrendered pursuant to clause (i) and the number of Common Units Transferred. No Transfer of Common Units shall be valid as against the Company except upon surrender to and cancellation of the appropriate certificate or certificates, accompanied by an assignment or Transfer by the Member, subject to any restrictions on Transfer contained in this Agreement. The Company may issue a new certificate for Common Units in place of any certificate or certificates previously issued by it, alleged to have been lost or destroyed, upon the making of an affidavit of that fact, and providing an indemnity in form and substance reasonably satisfactory to the Manager, by the Person claiming the certificate or certificates to be lost or destroyed.</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Series B Preferred Units</w:t>
      </w:r>
      <w:r>
        <w:rPr>
          <w:rFonts w:ascii="Times New Roman" w:hAnsi="Times New Roman"/>
          <w:color w:val="000000"/>
          <w:sz w:val="20"/>
        </w:rPr>
        <w:t>. The Series B Preferred Units shall consist of 50 Units in the Company with terms that are substantially the same as (as determined in good faith by the Manager, but including term, entitlement to distributions and absence of voting rights) the terms of the 50 shares of Series B Preferred Stock as set forth in that certain Certificate of Designation of Series B Non-Convertible Preferred Stock of NCM, Inc. issued as of the date hereof. For the avoidance of doubt, the Series B Preferred Units shall not constitute “Preferred Units” as otherwise used pursuant to this Agreement. Appropriate adjustments shall be made (in the Manager’s good faith discretion) to the terms of this Agreement (including distributions and allocations to be made pursuant to Articles 5 and 6 of this Agreement) to give due effect to the terms of such Series B Preferred Units.</w:t>
      </w:r>
    </w:p>
    <w:p>
      <w:pPr>
        <w:pStyle w:val="TextBody"/>
        <w:bidi w:val="0"/>
        <w:spacing w:before="180" w:after="283"/>
        <w:jc w:val="left"/>
        <w:rPr>
          <w:rFonts w:ascii="Times New Roman" w:hAnsi="Times New Roman"/>
          <w:sz w:val="20"/>
        </w:rPr>
      </w:pPr>
      <w:r>
        <w:rPr>
          <w:rFonts w:ascii="Times New Roman" w:hAnsi="Times New Roman"/>
          <w:b/>
          <w:color w:val="000000"/>
          <w:sz w:val="20"/>
        </w:rPr>
        <w:t>3.5</w:t>
      </w:r>
      <w:r>
        <w:rPr>
          <w:rFonts w:ascii="Times New Roman" w:hAnsi="Times New Roman"/>
          <w:color w:val="000000"/>
          <w:sz w:val="20"/>
        </w:rPr>
        <w:t xml:space="preserve"> </w:t>
      </w:r>
      <w:r>
        <w:rPr>
          <w:rFonts w:ascii="Times New Roman" w:hAnsi="Times New Roman"/>
          <w:b/>
          <w:color w:val="000000"/>
          <w:sz w:val="20"/>
          <w:u w:val="single"/>
        </w:rPr>
        <w:t>Authorization and Issuance of Additional Units</w:t>
      </w:r>
      <w:r>
        <w:rPr>
          <w:rFonts w:ascii="Times New Roman" w:hAnsi="Times New Roman"/>
          <w:color w:val="000000"/>
          <w:sz w:val="20"/>
        </w:rPr>
        <w:t>.</w:t>
      </w:r>
    </w:p>
    <w:p>
      <w:pPr>
        <w:pStyle w:val="TextBody"/>
        <w:bidi w:val="0"/>
        <w:spacing w:before="90" w:after="283"/>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In General</w:t>
      </w:r>
      <w:r>
        <w:rPr>
          <w:rFonts w:ascii="Times New Roman" w:hAnsi="Times New Roman"/>
          <w:color w:val="000000"/>
          <w:sz w:val="20"/>
        </w:rPr>
        <w:t>. The Company shall only be permitted to issue additional Units or other Equity Interests in the Company to the Persons and on the terms and conditions provided for in Section 3.4 and this Section 3.5. The Manager may cause the Company to issue additional Common Units authorized under this Agreement at such times and upon such terms as the Manager shall determine. The Manager shall amend this Agreement as necessary in connection with the issuance of additional Common Units and admission of additional Members under this Section 3.5.</w:t>
      </w:r>
    </w:p>
    <w:p>
      <w:pPr>
        <w:pStyle w:val="TextBody"/>
        <w:bidi w:val="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Exercise of Redemption Right</w:t>
      </w:r>
      <w:r>
        <w:rPr>
          <w:rFonts w:ascii="Times New Roman" w:hAnsi="Times New Roman"/>
          <w:color w:val="000000"/>
          <w:sz w:val="20"/>
        </w:rPr>
        <w:t>. In connection with the exercise of a Redeeming Member’s Redemption Rights under Section 9.1(a), NCM Inc. shall contribute to the Company the consideration the Redeeming Member is entitled to receive under Section 9.1(b). NCM Inc., at its option, shall determine whether to contribute, pursuant to Section 9.1(b), the Share Settlement or the Cash Settlement. Unless the Redeeming Member has timely delivered a Retraction Notice as provided in Section 9.1(b), on the Redemption Date (to be effective immediately prior to the close of business on the Redemption Date) (i) NCM Inc. shall make its capital contribution to the Company (in the form of the Share Settlement or the Cash Settlement) required under this Section 3.5(b), and (ii) the Company shall issue to NCM Inc. a number of Common Units equal to the number of Redeemed Units surrendered by the Redeeming Member. The timely delivery of a Retraction Notice shall terminate all of the Company’s and NCM Inc.’s rights and obligations under this Section 3.5(b) arising from the Redemption Notice.</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Equity Compensation Issued by NCM Inc</w:t>
      </w:r>
      <w:r>
        <w:rPr>
          <w:rFonts w:ascii="Times New Roman" w:hAnsi="Times New Roman"/>
          <w:color w:val="000000"/>
          <w:sz w:val="20"/>
        </w:rPr>
        <w:t>.</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(i) In connection with the exercise of Options, NCM Inc. shall have the right to acquire additional Common Units from the Company. NCM Inc. shall exercise its rights under this Section 3.5(c)(i) by </w:t>
      </w:r>
    </w:p>
    <w:p>
      <w:pPr>
        <w:pStyle w:val="HorizontalLine"/>
        <w:pBdr>
          <w:bottom w:val="double" w:sz="2" w:space="0" w:color="808080"/>
        </w:pBdr>
        <w:bidi w:val="0"/>
        <w:spacing w:before="0" w:after="283"/>
        <w:jc w:val="left"/>
        <w:rPr/>
      </w:pPr>
      <w:r>
        <w:rPr/>
      </w:r>
    </w:p>
    <w:p>
      <w:pPr>
        <w:pStyle w:val="TextBody"/>
        <w:bidi w:val="0"/>
        <w:spacing w:before="90" w:after="283"/>
        <w:jc w:val="left"/>
        <w:rPr>
          <w:rFonts w:ascii="Times New Roman" w:hAnsi="Times New Roman"/>
          <w:sz w:val="20"/>
        </w:rPr>
      </w:pPr>
      <w:r>
        <w:rPr>
          <w:rFonts w:ascii="Times New Roman" w:hAnsi="Times New Roman"/>
          <w:color w:val="000000"/>
          <w:sz w:val="20"/>
        </w:rPr>
        <w:t>giving written notice (the “</w:t>
      </w:r>
      <w:r>
        <w:rPr>
          <w:rFonts w:ascii="Times New Roman" w:hAnsi="Times New Roman"/>
          <w:b/>
          <w:color w:val="000000"/>
          <w:sz w:val="20"/>
          <w:u w:val="single"/>
        </w:rPr>
        <w:t>Equity Compensation Notice</w:t>
      </w:r>
      <w:r>
        <w:rPr>
          <w:rFonts w:ascii="Times New Roman" w:hAnsi="Times New Roman"/>
          <w:color w:val="000000"/>
          <w:sz w:val="20"/>
        </w:rPr>
        <w:t xml:space="preserve">”) to the Company and all Members following exercise of the Options. The Equity Compensation Notice shall specify the net number of shares of NCM Inc. common stock issued by NCM Inc. pursuant to exercise of the Options. The Company shall issue the Common Units to which NCM Inc. is entitled under Section 3.5(c)(i) within three (3) Business Days after delivery of the Equity Compensation Notice (to be effective immediately prior to the close of business on such date). The number of additional Common Units that NCM Inc. shall be entitled to receive under this Section 3.5(c)(i) shall be equal to the net number of shares of NCM Inc. common stock issued by NCM Inc. pursuant to the exercise of the Options. The net number of shares of NCM Inc. common stock issued by NCM Inc. pursuant to exercise of the Options shall be equal to (i) the number of shares of NCM Inc. common stock with respect to which the Options were exercised, </w:t>
      </w:r>
      <w:r>
        <w:rPr>
          <w:rFonts w:ascii="Times New Roman" w:hAnsi="Times New Roman"/>
          <w:color w:val="000000"/>
          <w:sz w:val="20"/>
          <w:u w:val="single"/>
        </w:rPr>
        <w:t>less</w:t>
      </w:r>
      <w:r>
        <w:rPr>
          <w:rFonts w:ascii="Times New Roman" w:hAnsi="Times New Roman"/>
          <w:color w:val="000000"/>
          <w:sz w:val="20"/>
        </w:rPr>
        <w:t xml:space="preserve"> (ii) any shares of NCM Inc. common stock transferred to or withheld by NCM Inc. (e.g., in connection with a stock swap or otherwise) in satisfaction of the exercise price or taxes payable as a result of the exercise of the Options. In consideration of the Common Units issued by the Company to NCM Inc. under this Section 3.5(c)(i), NCM Inc. shall contribute to the Company the cash consideration, if any, received by NCM Inc. in exchange for the net shares of NCM Inc. common stock issued pursuant to exercise of the Options. NCM Inc. shall contribute any cash consideration to which the Company is entitled under this Section 3.5(c)(i) on the same date (and to be effective as of the same time) that the Company issues the Common Units to NCM Inc.</w:t>
      </w:r>
    </w:p>
    <w:p>
      <w:pPr>
        <w:pStyle w:val="TextBody"/>
        <w:bidi w:val="0"/>
        <w:spacing w:before="180" w:after="283"/>
        <w:jc w:val="left"/>
        <w:rPr>
          <w:rFonts w:ascii="Times New Roman" w:hAnsi="Times New Roman"/>
          <w:sz w:val="20"/>
        </w:rPr>
      </w:pPr>
      <w:r>
        <w:rPr>
          <w:rFonts w:ascii="Times New Roman" w:hAnsi="Times New Roman"/>
          <w:color w:val="000000"/>
          <w:sz w:val="20"/>
        </w:rPr>
        <w:t>(ii) In connection with the grant of NCM Inc. common stock pursuant to the Equity Incentive Plan (including, without limitation, the issuance of restricted and non-restricted NCM Inc. common stock, the payment of bonuses in NCM Inc. common stock, the issuance of NCM Inc. common stock in settlement of stock appreciation rights or otherwise), other than through the exercise of Options as contemplated in Section 3.5(c)(i), NCM Inc. shall deliver an Equity Compensation Notice to the Company and all Members following the date on which shares of such NCM Inc. common stock are vested under applicable law (“</w:t>
      </w:r>
      <w:r>
        <w:rPr>
          <w:rFonts w:ascii="Times New Roman" w:hAnsi="Times New Roman"/>
          <w:b/>
          <w:color w:val="000000"/>
          <w:sz w:val="20"/>
          <w:u w:val="single"/>
        </w:rPr>
        <w:t>Vested NCM Inc. Shares</w:t>
      </w:r>
      <w:r>
        <w:rPr>
          <w:rFonts w:ascii="Times New Roman" w:hAnsi="Times New Roman"/>
          <w:color w:val="000000"/>
          <w:sz w:val="20"/>
        </w:rPr>
        <w:t>”). The Equity Compensation Notice shall specify the number of Vested NCM Inc. Shares. Within three (3) Business Days after delivery of the Equity Compensation Notice (to be effective immediately prior to the close of business on such date) (i) the Company shall (x) issue to NCM Inc. a number of Common Units equal to the number of Vested NCM Inc. Shares, and (y) make a special distribution to NCM Inc. from Available Cash (to the extent such distribution is not restricted under Section 10.2.4 of the 2023 Credit Facility) in respect of such Common Units in an amount equal to any dividends paid or payable by NCM Inc. in respect of such Vested NCM Inc. Shares, and (ii) NCM Inc. shall contribute to the Company any cash consideration received by NCM Inc. in respect of such Vested NCM Inc. Shares.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Other Issuances</w:t>
      </w:r>
      <w:r>
        <w:rPr>
          <w:rFonts w:ascii="Times New Roman" w:hAnsi="Times New Roman"/>
          <w:color w:val="000000"/>
          <w:sz w:val="20"/>
        </w:rPr>
        <w:t>. In the event that NCM Inc. issues, transfers or delivers from treasury stock or available shares or repurchases shares of NCM Inc. common stock in any transaction not contemplated in this Agreement (including but not limited to an at-the-market offering, registered offering, or private placement), the Manager and the Company shall take all actions such that, after giving effect to all such issuances, transfers, deliveries or repurchases, the number of outstanding Common Units owned, directly or indirectly, by NCM Inc. will equal on a one-for-one basis the number of outstanding shares of NCM Inc.’s common stock. Analogous principles shall apply mutatis mutandis to Series B Preferred Units.</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3.6 </w:t>
      </w:r>
      <w:r>
        <w:rPr>
          <w:rFonts w:ascii="Times New Roman" w:hAnsi="Times New Roman"/>
          <w:b/>
          <w:color w:val="000000"/>
          <w:sz w:val="20"/>
          <w:u w:val="single"/>
        </w:rPr>
        <w:t>Business Opportunities; Non-Competition</w:t>
      </w:r>
      <w:r>
        <w:rPr>
          <w:rFonts w:ascii="Times New Roman" w:hAnsi="Times New Roman"/>
          <w:color w:val="000000"/>
          <w:sz w:val="20"/>
        </w:rPr>
        <w:t>. Except as provided in this Agreement and as may be otherwise provided in any written agreement with the Company to which a Member or its Affiliates is a party (including Section 12.07 of the Exhibitor Services Agreements), each Member and their Affiliates may have other business interests or may engage in other business ventures of any nature or description whatsoever regardless of whether they compete with the business and purpose of the Company set forth in Section 2.6.</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ARTICLE 4</w:t>
      </w:r>
    </w:p>
    <w:p>
      <w:pPr>
        <w:pStyle w:val="TextBody"/>
        <w:bidi w:val="0"/>
        <w:spacing w:before="180" w:after="283"/>
        <w:jc w:val="center"/>
        <w:rPr>
          <w:rFonts w:ascii="Times New Roman" w:hAnsi="Times New Roman"/>
          <w:b/>
          <w:color w:val="000000"/>
          <w:sz w:val="20"/>
          <w:u w:val="single"/>
        </w:rPr>
      </w:pPr>
      <w:r>
        <w:rPr>
          <w:rFonts w:ascii="Times New Roman" w:hAnsi="Times New Roman"/>
          <w:b/>
          <w:color w:val="000000"/>
          <w:sz w:val="20"/>
          <w:u w:val="single"/>
        </w:rPr>
        <w:t>MANAGEMENT AND OPERATIONS</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4.1 </w:t>
      </w:r>
      <w:r>
        <w:rPr>
          <w:rFonts w:ascii="Times New Roman" w:hAnsi="Times New Roman"/>
          <w:b/>
          <w:color w:val="000000"/>
          <w:sz w:val="20"/>
          <w:u w:val="single"/>
        </w:rPr>
        <w:t>Manager</w:t>
      </w:r>
      <w:r>
        <w:rPr>
          <w:rFonts w:ascii="Times New Roman" w:hAnsi="Times New Roman"/>
          <w:color w:val="000000"/>
          <w:sz w:val="20"/>
        </w:rPr>
        <w:t>. The Company shall be managed by one manager (the “</w:t>
      </w:r>
      <w:r>
        <w:rPr>
          <w:rFonts w:ascii="Times New Roman" w:hAnsi="Times New Roman"/>
          <w:b/>
          <w:color w:val="000000"/>
          <w:sz w:val="20"/>
          <w:u w:val="single"/>
        </w:rPr>
        <w:t>Manager</w:t>
      </w:r>
      <w:r>
        <w:rPr>
          <w:rFonts w:ascii="Times New Roman" w:hAnsi="Times New Roman"/>
          <w:color w:val="000000"/>
          <w:sz w:val="20"/>
        </w:rPr>
        <w:t xml:space="preserve">”) that shall be NCM Inc. NCM Inc. may not be removed as a Manager except as provided in Section 4.7. Any Manager that is properly removed pursuant to Section 4.7 shall be replaced in the manner provided in Section 4.8. Except to the extent deemed appropriate by NCM Inc. in connection with its status under the Investment Company Act of 1940, so long as NCM Inc. is the Manager, NCM Inc. shall not, directly or indirectly enter into or conduct any business other than (i) in connection with the ownership, acquisition or disposition of Units as a Member, (ii) the management of the </w:t>
      </w:r>
    </w:p>
    <w:p>
      <w:pPr>
        <w:pStyle w:val="HorizontalLine"/>
        <w:pBdr>
          <w:bottom w:val="double" w:sz="2" w:space="0" w:color="808080"/>
        </w:pBdr>
        <w:bidi w:val="0"/>
        <w:spacing w:before="0" w:after="283"/>
        <w:jc w:val="left"/>
        <w:rPr/>
      </w:pPr>
      <w:r>
        <w:rPr/>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business of the Company as provided herein, (iii) NCM Inc.’s operation as a public reporting company with a class of securities registered under the Exchange Act, and (iv) such other activities that are incidental to the foregoing. </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4.2 </w:t>
      </w:r>
      <w:r>
        <w:rPr>
          <w:rFonts w:ascii="Times New Roman" w:hAnsi="Times New Roman"/>
          <w:b/>
          <w:color w:val="000000"/>
          <w:sz w:val="20"/>
          <w:u w:val="single"/>
        </w:rPr>
        <w:t>Management Authority</w:t>
      </w:r>
      <w:r>
        <w:rPr>
          <w:rFonts w:ascii="Times New Roman" w:hAnsi="Times New Roman"/>
          <w:color w:val="000000"/>
          <w:sz w:val="20"/>
        </w:rPr>
        <w:t>. Except as provided in Section 4.3, the Manager shall have authority on behalf of the Company to make all decisions with respect to the Company’s business without the approval of the Members. In connection with the implementation, consummation or administration of any matter within the scope of the Manager’s authority, the Manager is authorized, without the approval of the Members, to execute and deliver on behalf of the Company contracts, instruments, conveyances, checks, drafts and other documents of any kind or character to the extent the Manager deems it necessary or desirable. The Manager may delegate to officers, employees, agents or representatives of the Company or the Manager any or all of the foregoing powers by written authorization identifying specifically or generally the powers delegated or acts authorized.</w:t>
      </w:r>
    </w:p>
    <w:p>
      <w:pPr>
        <w:pStyle w:val="TextBody"/>
        <w:bidi w:val="0"/>
        <w:jc w:val="left"/>
        <w:rPr>
          <w:rFonts w:ascii="Times New Roman" w:hAnsi="Times New Roman"/>
          <w:sz w:val="20"/>
        </w:rPr>
      </w:pPr>
      <w:r>
        <w:rPr>
          <w:rFonts w:ascii="Times New Roman" w:hAnsi="Times New Roman"/>
          <w:b/>
          <w:color w:val="000000"/>
          <w:sz w:val="20"/>
        </w:rPr>
        <w:t>4.3</w:t>
      </w:r>
      <w:r>
        <w:rPr>
          <w:rFonts w:ascii="Times New Roman" w:hAnsi="Times New Roman"/>
          <w:color w:val="000000"/>
          <w:sz w:val="20"/>
        </w:rPr>
        <w:t xml:space="preserve"> </w:t>
      </w:r>
      <w:r>
        <w:rPr>
          <w:rFonts w:ascii="Times New Roman" w:hAnsi="Times New Roman"/>
          <w:b/>
          <w:color w:val="000000"/>
          <w:sz w:val="20"/>
          <w:u w:val="single"/>
        </w:rPr>
        <w:t>Founding Member Approval Rights</w:t>
      </w:r>
      <w:r>
        <w:rPr>
          <w:rFonts w:ascii="Times New Roman" w:hAnsi="Times New Roman"/>
          <w:color w:val="000000"/>
          <w:sz w:val="20"/>
        </w:rPr>
        <w:t>.</w:t>
      </w:r>
    </w:p>
    <w:p>
      <w:pPr>
        <w:pStyle w:val="TextBody"/>
        <w:bidi w:val="0"/>
        <w:spacing w:before="90" w:after="283"/>
        <w:jc w:val="left"/>
        <w:rPr>
          <w:rFonts w:ascii="Times New Roman" w:hAnsi="Times New Roman"/>
          <w:sz w:val="20"/>
        </w:rPr>
      </w:pPr>
      <w:r>
        <w:rPr>
          <w:rFonts w:ascii="Times New Roman" w:hAnsi="Times New Roman"/>
          <w:color w:val="000000"/>
          <w:sz w:val="20"/>
        </w:rPr>
        <w:t>(a) The Manager shall not take, or cause the Company to take, action with respect to the matters provided for in Section 4.3(b) without Founding Member Approval (“</w:t>
      </w:r>
      <w:r>
        <w:rPr>
          <w:rFonts w:ascii="Times New Roman" w:hAnsi="Times New Roman"/>
          <w:b/>
          <w:color w:val="000000"/>
          <w:sz w:val="20"/>
          <w:u w:val="single"/>
        </w:rPr>
        <w:t>Founding Member Approval Rights</w:t>
      </w:r>
      <w:r>
        <w:rPr>
          <w:rFonts w:ascii="Times New Roman" w:hAnsi="Times New Roman"/>
          <w:color w:val="000000"/>
          <w:sz w:val="20"/>
        </w:rPr>
        <w:t>”) if (i) an individual designated by a Founding Member pursuant to the Director Designation Agreement is not nominated or appointed to the board of directors of NCM Inc. under circumstances constituting a breach of the Director Designation Agreement, or (ii) such designee (or if the designee is not elected in circumstances under which the Founding Member can designate a successor, such successor designee) is not elected to the board of directors of NCM Inc. after being designated in accordance with the Director Designation Agreement. Upon the occurrence of a condition giving rise to Founding Member Approval Rights, the Founding Member Approval Rights shall continue until the earlier of (x) the date on which the conditions that gave rise to Founding Member Approval Rights no longer exist, or (y) the delivery of written notice waiving the Founding Member Approval Rights by the Founding Member(s) whose designees or successor designees were not nominated, appointed or elected to the board of directors of NCM Inc. A Founding Member that designated an individual who is either not nominated, appointed or elected to the board of directors of NCM Inc. under circumstances giving rise to the Founding Member Approval Rights under this Section 4.3 may waive the Founding Member Approval Rights by delivering written notice to the Company and the other Founding Members. Any waiver by a Founding Member of its Founding Member Approval Rights shall only serve as a waiver with respect to the specific conditions that gave rise to the Founding Member Approval Rights being waived and shall not constitute a waiver with respect to any other rights under this Agreement and any Founding Member Approval Rights that the Founding Member may have in the future as a result of the existence of a condition giving rise to Founding Member Approval Rights subsequent to such waiver.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The matters provided for in this Section 4.3(b) are not intended to modify the Manager’s responsibilities for managing the day-to-day business and affairs of the Company. Subject to the foregoing and notwithstanding anything to the contrary in this Agreement, the Company shall not take, cause to be taken, or agree to take or authorize any of the following actions without Founding Member Approval during the periods of time provided for in Section 4.3(a):</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(i) the approval of any Budget or any amendment or modification of the Budget;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(ii) the incurrence of any Indebtedness or entering into or consummating any other financing transaction, in either case for an amount that is not provided for in the Budget;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(iii) the entering into or consummation of any agreements or arrangements involving annual payments by the Company (including the fair market value of any barter) in excess of $5 million (as adjusted by the CPI Adjustment), except as otherwise provided for in the Budget, or any material modification of any such agreements or arrangements;</w:t>
      </w:r>
    </w:p>
    <w:p>
      <w:pPr>
        <w:pStyle w:val="TextBody"/>
        <w:bidi w:val="0"/>
        <w:jc w:val="left"/>
        <w:rPr>
          <w:rFonts w:ascii="Times New Roman" w:hAnsi="Times New Roman"/>
          <w:color w:val="000000"/>
          <w:sz w:val="20"/>
        </w:rPr>
      </w:pPr>
      <w:r>
        <w:rPr>
          <w:rFonts w:ascii="Times New Roman" w:hAnsi="Times New Roman"/>
          <w:color w:val="000000"/>
          <w:sz w:val="20"/>
        </w:rPr>
        <w:t>(iv) the entering into or consummation of any agreements or arrangements involving annual receipts (including the fair market value of any barter) in excess of $20 million (as adjusted by the CPI Adjustment), or any material modification of any such agreements or arrangements;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(v) except as contemplated herein, the declaration, setting aside or payment of any redemption of, dividends on, or the making of any other distributions in respect of, any of its Units or other Equity Interests in the Company, as the case may be, payable in cash, stock, property or otherwise, or any reorganization or recapitalization or split, combination or reclassification or similar transaction of any of its Units, limited liability company interests or capital stock, as the case may be;</w:t>
      </w:r>
    </w:p>
    <w:p>
      <w:pPr>
        <w:pStyle w:val="HorizontalLine"/>
        <w:pBdr>
          <w:bottom w:val="double" w:sz="2" w:space="0" w:color="808080"/>
        </w:pBdr>
        <w:bidi w:val="0"/>
        <w:spacing w:before="0" w:after="283"/>
        <w:jc w:val="left"/>
        <w:rPr/>
      </w:pPr>
      <w:r>
        <w:rPr/>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(vi) the amendment of any provision of this Agreement to authorize, and the issuance of, any additional Units or classes of Units or other Equity Interests and the designations, preferences and relative, participating or other rights, powers duties thereof;</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(vii) the hiring or termination of employment of the chief executive officer, chief financial officer, chief technology officer or chief sales and marking officer of the Company, or the entering into, amendment or termination of any employment, severance, change of control or other contract with any employee that has a written employment agreement with the Company;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(viii) any change in the Joint Venture Purposes, or the provision by the Company of any services beyond the scope of the Services or Services outside of the United States or Canada;</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(ix) the entering into of any agreement with respect to or the taking of any material steps to facilitate a transaction that constitutes a Change of Control of the Company or a proposal for such a transaction;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(x) the leasing (as lessor), licensing (as licensor) or other Transfer of assets (including securities) (x) having a fair market value or for consideration exceeding $10 million (as adjusted by the CPI Adjustment), taken as a whole, or (y) to which the revenues or the profits attributable exceed $10 million (as adjusted by the CPI Adjustment), taken as a whole, in any one transaction or series of related transactions, in each case, determined using the most recent quarterly consolidated financial statement of the Company;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(xi) the entering into of any agreement with respect to or consummation of any acquisition of any business or assets that has or have a fair market value in excess of $10 million (as adjusted by the CPI Adjustment) taken as a whole, in any one transaction or series of related transactions, whether by purchase and sale, merger, consolidation, restructuring, recapitalization or otherwise;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(xii) the settlement of claims or suits in which the Company is a party for an amount that exceeds the relevant provision(s) in the Budget by more than $1 million (as adjusted by the CPI Adjustment) or where equitable or injunctive relief is included as part of such settlement;</w:t>
      </w:r>
    </w:p>
    <w:p>
      <w:pPr>
        <w:pStyle w:val="TextBody"/>
        <w:bidi w:val="0"/>
        <w:jc w:val="left"/>
        <w:rPr>
          <w:rFonts w:ascii="Times New Roman" w:hAnsi="Times New Roman"/>
          <w:color w:val="000000"/>
          <w:sz w:val="20"/>
        </w:rPr>
      </w:pPr>
      <w:r>
        <w:rPr>
          <w:rFonts w:ascii="Times New Roman" w:hAnsi="Times New Roman"/>
          <w:color w:val="000000"/>
          <w:sz w:val="20"/>
        </w:rPr>
        <w:t>(xiii) the entering into, modification or termination of any material contract or transaction or series of related transactions (including by way of barter) between (x) the Company or any of its Subsidiaries and (y)(1) any Member or any Affiliate of any Member, or (2) any Person in which any Founding Member has taken, or is negotiating to take, a material financial interest, in each case, other than relating to the purchase or sale of products or services in the ordinary course of business of the Company;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(xiv) the entering into of any agreement for the Company to provide to any new Member or Affiliate of any new Member any services similar to those set forth in the Exhibitor Services Agreements, or the admission to the Company of any new Member;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(xv) the entering into, or the modification or termination of, any agreement for the Company to provide any services to any Person (other than a Member or Affiliate of a Member), that requires capital expenditures or guaranteed payments in excess of $1 million (as adjusted by the CPI Adjustment) annually;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(xvi) the dissolution of the Company; the adoption of a plan of liquidation of the Company; any action by the Company to commence any suit, case, proceeding or other action (x) under any existing or future law of any jurisdiction relating to bankruptcy, insolvency, reorganization or relief of debtors seeking to have an order for relief entered with respect to the Company, or seeking to adjudicate the Company as bankrupt or insolvent, or seeking reorganization, arrangement, adjustment, winding-up, liquidation, dissolution, composition or other relief with respect to the Company, or (y) seeking appointment of a receiver, trustee, custodian or other similar official for the Company, or for all or any material portion of the assets of the Company, or making a general assignment for the benefit of the creditors of the Company;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(xvii) approval of any tax matter pursuant to Section 6.2;</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(xviii) valuation determinations pursuant to Section 5.5;</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(xix) any amendment or change to any provision in this Section 4.3 or Article 8; and</w:t>
      </w:r>
    </w:p>
    <w:p>
      <w:pPr>
        <w:pStyle w:val="HorizontalLine"/>
        <w:pBdr>
          <w:bottom w:val="double" w:sz="2" w:space="0" w:color="808080"/>
        </w:pBdr>
        <w:bidi w:val="0"/>
        <w:spacing w:before="0" w:after="283"/>
        <w:jc w:val="left"/>
        <w:rPr/>
      </w:pPr>
      <w:r>
        <w:rPr/>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(xx) any expenditure by the Company to replace, upgrade or modify any equipment or software owned by any of the Founding Members or their Affiliates.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 A Founding Member shall permanently cease to be entitled to participate in giving Founding Member Approval if at any time the Founding Member owns less than five percent of the then issued and outstanding Common Units, including Common Units acquired from another Founding Member or an Affiliate of another Founding Member (which, for purposes of this Section 4.3(c), shall be calculated to include (i) all shares of NCM Inc. common stock beneficially owned by such Founding Member as of the date of determination as a result of the exercise of the Founding Member’s Redemption Right, (ii) any shares of NCM Inc. common stock issued in connection with any dividend or distribution on NCM Inc. common stock so received as a result of the exercise of the Founding Member’s Redemption Right, and (iii) any shares of NCM Inc. common stock acquired from another Founding Member provided that such other Founding Member acquired such shares of NCM Inc. common stock in a transaction described in clause (i) or (ii) above, but excluding (x) any shares of NCM Inc. common stock otherwise acquired by the Founding Members, and (y) any Common Units issued to NCM Inc. by the Company pursuant to Section 3.5(b) in connection with the exercise of a Founding Member’s Redemption Right (unless the Founding Member has disposed of any of the shares of NCM Inc. common stock received in connection with the exercise of the Founding Member’s Redemption Right (other than to another Founding Member in a transaction described in clause (iii) above), in which case a number of Common Units issued to NCM Inc. by the Company pursuant to Section 3.5(b) in connection with such exercise of the Founding Member’s Redemption Right equal to the number of shares of NCM Inc. common stock disposed of by such Founding Member shall be included in determining such Founding Member’s ownership interest)).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 Except for the matters provided for in Section 4.3(b), the Founding Member Approval rights shall not affect the Manager’s right to conduct the Company’s business under this Agreement.</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4.4 </w:t>
      </w:r>
      <w:r>
        <w:rPr>
          <w:rFonts w:ascii="Times New Roman" w:hAnsi="Times New Roman"/>
          <w:b/>
          <w:color w:val="000000"/>
          <w:sz w:val="20"/>
          <w:u w:val="single"/>
        </w:rPr>
        <w:t>Duties</w:t>
      </w:r>
      <w:r>
        <w:rPr>
          <w:rFonts w:ascii="Times New Roman" w:hAnsi="Times New Roman"/>
          <w:color w:val="000000"/>
          <w:sz w:val="20"/>
        </w:rPr>
        <w:t>. The Manager shall carry out its duties in good faith, in a manner that it believes to be in the best interests of the Company. The Manager shall devote such time to the business and affairs of the Company as it may determine, in its reasonable discretion, is necessary for the efficient carrying on of the Company’s business.</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4.5 </w:t>
      </w:r>
      <w:r>
        <w:rPr>
          <w:rFonts w:ascii="Times New Roman" w:hAnsi="Times New Roman"/>
          <w:b/>
          <w:color w:val="000000"/>
          <w:sz w:val="20"/>
          <w:u w:val="single"/>
        </w:rPr>
        <w:t>Reliance by Third Parties</w:t>
      </w:r>
      <w:r>
        <w:rPr>
          <w:rFonts w:ascii="Times New Roman" w:hAnsi="Times New Roman"/>
          <w:color w:val="000000"/>
          <w:sz w:val="20"/>
        </w:rPr>
        <w:t>. No third party dealing with the Company shall be required to ascertain whether the Manager is acting in accordance with the provisions of this Agreement. All third parties may rely on a document executed by the Manager as binding the Company. The foregoing provisions shall not apply to third parties who are Affiliates of a Member or a Manager. If the Manager acts without authority it shall be liable to the Members for any damages arising out of its unauthorized actions.</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4.6 </w:t>
      </w:r>
      <w:r>
        <w:rPr>
          <w:rFonts w:ascii="Times New Roman" w:hAnsi="Times New Roman"/>
          <w:b/>
          <w:color w:val="000000"/>
          <w:sz w:val="20"/>
          <w:u w:val="single"/>
        </w:rPr>
        <w:t>Resignation</w:t>
      </w:r>
      <w:r>
        <w:rPr>
          <w:rFonts w:ascii="Times New Roman" w:hAnsi="Times New Roman"/>
          <w:color w:val="000000"/>
          <w:sz w:val="20"/>
        </w:rPr>
        <w:t>. The Manager may resign at any time by giving written notice to the Members. Unless otherwise specified in the notice, the resignation shall take effect upon receipt thereof by the Members, and the acceptance of the resignation shall not be necessary to make it effective.</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4.7 </w:t>
      </w:r>
      <w:r>
        <w:rPr>
          <w:rFonts w:ascii="Times New Roman" w:hAnsi="Times New Roman"/>
          <w:b/>
          <w:color w:val="000000"/>
          <w:sz w:val="20"/>
          <w:u w:val="single"/>
        </w:rPr>
        <w:t>Removal</w:t>
      </w:r>
      <w:r>
        <w:rPr>
          <w:rFonts w:ascii="Times New Roman" w:hAnsi="Times New Roman"/>
          <w:color w:val="000000"/>
          <w:sz w:val="20"/>
        </w:rPr>
        <w:t>. The Manager may only be removed by NCM Inc.</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4.8 </w:t>
      </w:r>
      <w:r>
        <w:rPr>
          <w:rFonts w:ascii="Times New Roman" w:hAnsi="Times New Roman"/>
          <w:b/>
          <w:color w:val="000000"/>
          <w:sz w:val="20"/>
          <w:u w:val="single"/>
        </w:rPr>
        <w:t>Vacancies</w:t>
      </w:r>
      <w:r>
        <w:rPr>
          <w:rFonts w:ascii="Times New Roman" w:hAnsi="Times New Roman"/>
          <w:color w:val="000000"/>
          <w:sz w:val="20"/>
        </w:rPr>
        <w:t>. Vacancies in the position of Manager occurring for any reason shall be filled by NCM Inc.</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4.9 </w:t>
      </w:r>
      <w:r>
        <w:rPr>
          <w:rFonts w:ascii="Times New Roman" w:hAnsi="Times New Roman"/>
          <w:b/>
          <w:color w:val="000000"/>
          <w:sz w:val="20"/>
          <w:u w:val="single"/>
        </w:rPr>
        <w:t>Information Relating to the Company</w:t>
      </w:r>
      <w:r>
        <w:rPr>
          <w:rFonts w:ascii="Times New Roman" w:hAnsi="Times New Roman"/>
          <w:color w:val="000000"/>
          <w:sz w:val="20"/>
        </w:rPr>
        <w:t xml:space="preserve">. Upon request, the Manager shall supply to a Member (i) any information required to be available to the Members under the LLC Act, and (ii) any other information requested by such Member regarding the Company or its activities, </w:t>
      </w:r>
      <w:r>
        <w:rPr>
          <w:rFonts w:ascii="Times New Roman" w:hAnsi="Times New Roman"/>
          <w:color w:val="000000"/>
          <w:sz w:val="20"/>
          <w:u w:val="single"/>
        </w:rPr>
        <w:t>provided</w:t>
      </w:r>
      <w:r>
        <w:rPr>
          <w:rFonts w:ascii="Times New Roman" w:hAnsi="Times New Roman"/>
          <w:color w:val="000000"/>
          <w:sz w:val="20"/>
        </w:rPr>
        <w:t xml:space="preserve"> that obtaining the information described in this clause (ii) is not unduly burdensome to the Manager. During ordinary business hours, each Member and its authorized representative shall have access to all books, records and materials in the Company’s offices regarding the Company or its activities.</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4.10 </w:t>
      </w:r>
      <w:r>
        <w:rPr>
          <w:rFonts w:ascii="Times New Roman" w:hAnsi="Times New Roman"/>
          <w:b/>
          <w:color w:val="000000"/>
          <w:sz w:val="20"/>
          <w:u w:val="single"/>
        </w:rPr>
        <w:t>Insurance</w:t>
      </w:r>
      <w:r>
        <w:rPr>
          <w:rFonts w:ascii="Times New Roman" w:hAnsi="Times New Roman"/>
          <w:color w:val="000000"/>
          <w:sz w:val="20"/>
        </w:rPr>
        <w:t>. The Company shall maintain or cause to be maintained in force at all times, for the protection of the Company and the Members to the extent of their insurable interests, such insurance as the Manager believes is warranted for the operations being conducted.</w:t>
      </w:r>
    </w:p>
    <w:p>
      <w:pPr>
        <w:pStyle w:val="TextBody"/>
        <w:bidi w:val="0"/>
        <w:jc w:val="left"/>
        <w:rPr>
          <w:rFonts w:ascii="Times New Roman" w:hAnsi="Times New Roman"/>
          <w:sz w:val="20"/>
        </w:rPr>
      </w:pPr>
      <w:r>
        <w:rPr>
          <w:rFonts w:ascii="Times New Roman" w:hAnsi="Times New Roman"/>
          <w:b/>
          <w:color w:val="000000"/>
          <w:sz w:val="20"/>
        </w:rPr>
        <w:t xml:space="preserve">4.11 </w:t>
      </w:r>
      <w:r>
        <w:rPr>
          <w:rFonts w:ascii="Times New Roman" w:hAnsi="Times New Roman"/>
          <w:b/>
          <w:color w:val="000000"/>
          <w:sz w:val="20"/>
          <w:u w:val="single"/>
        </w:rPr>
        <w:t>Transactions Between Company and Manager</w:t>
      </w:r>
      <w:r>
        <w:rPr>
          <w:rFonts w:ascii="Times New Roman" w:hAnsi="Times New Roman"/>
          <w:color w:val="000000"/>
          <w:sz w:val="20"/>
        </w:rPr>
        <w:t xml:space="preserve">. The Manager may cause the Company to contract and deal with the Manager, or any Affiliate of the Manager, provided such contracts and dealings are on terms comparable to and competitive with those available to the Company from others dealing at arm’s length or are approved by a Majority Member Vote. The Members hereby approve the Common Unit Adjustment Agreement, the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Exhibitor Services Agreements, the Loews Agreement, the Management Services Agreement, the Software License Agreement, the 2023 Credit Facility, the Subscription Agreement and the Tax Receivable Agreement.</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4.12 </w:t>
      </w:r>
      <w:r>
        <w:rPr>
          <w:rFonts w:ascii="Times New Roman" w:hAnsi="Times New Roman"/>
          <w:b/>
          <w:color w:val="000000"/>
          <w:sz w:val="20"/>
          <w:u w:val="single"/>
        </w:rPr>
        <w:t>Officers</w:t>
      </w:r>
      <w:r>
        <w:rPr>
          <w:rFonts w:ascii="Times New Roman" w:hAnsi="Times New Roman"/>
          <w:color w:val="000000"/>
          <w:sz w:val="20"/>
        </w:rPr>
        <w:t>.</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(a) The Manager may, from time to time, designate one or more Persons to fill one or more officer positions of the Company. Any officers so designated shall have such titles and authority and perform such duties as the Manager may, from time to time, delegate to them. If the title given to a particular officer is one commonly used for officers of a business corporation, the assignment of such title shall constitute the delegation to such officer of the authority and duties that are normally associated with that office, subject to any specific delegation of authority and duties made to such officer, or restrictions placed thereon, by the Manager. Each officer shall hold office until his or her successor is duly designated, until his or her death or until he or she resigns or is removed in the manner hereinafter provided. Any number of offices may be held by the same Person. The salaries or other compensation, if any, of the officers of the Company shall be fixed from time to time by the Manager.</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(b) Any officer of the Company may resign at any time by giving written notice thereof to the Manager. Any officer may be removed, either with or without cause, by the Manager whenever in its judgment the best interests of the Company will be served thereby;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such removal shall be without prejudice to the contract rights, if any, of the Person so removed. Designation of an officer shall not, by itself, create contract rights.</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4.13 </w:t>
      </w:r>
      <w:r>
        <w:rPr>
          <w:rFonts w:ascii="Times New Roman" w:hAnsi="Times New Roman"/>
          <w:b/>
          <w:color w:val="000000"/>
          <w:sz w:val="20"/>
          <w:u w:val="single"/>
        </w:rPr>
        <w:t>Management Fee; Reimbursement of Expenses</w:t>
      </w:r>
      <w:r>
        <w:rPr>
          <w:rFonts w:ascii="Times New Roman" w:hAnsi="Times New Roman"/>
          <w:color w:val="000000"/>
          <w:sz w:val="20"/>
        </w:rPr>
        <w:t>. Except as provided in the Management Services Agreement, the Manager shall not be entitled to compensation for performance of its duties hereunder unless such compensation has been approved by a Majority Member Vote. The Manager shall be reimbursed by the Company for any reasonable out-of-pocket expenses incurred on behalf of the Company.</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4.14 </w:t>
      </w:r>
      <w:r>
        <w:rPr>
          <w:rFonts w:ascii="Times New Roman" w:hAnsi="Times New Roman"/>
          <w:b/>
          <w:color w:val="000000"/>
          <w:sz w:val="20"/>
          <w:u w:val="single"/>
        </w:rPr>
        <w:t>Limitation of Liability; Exculpation</w:t>
      </w:r>
      <w:r>
        <w:rPr>
          <w:rFonts w:ascii="Times New Roman" w:hAnsi="Times New Roman"/>
          <w:b/>
          <w:color w:val="000000"/>
          <w:sz w:val="20"/>
        </w:rPr>
        <w:t>.</w:t>
      </w:r>
    </w:p>
    <w:p>
      <w:pPr>
        <w:pStyle w:val="TextBody"/>
        <w:bidi w:val="0"/>
        <w:spacing w:before="90" w:after="283"/>
        <w:jc w:val="left"/>
        <w:rPr>
          <w:rFonts w:ascii="Times New Roman" w:hAnsi="Times New Roman"/>
          <w:sz w:val="20"/>
        </w:rPr>
      </w:pPr>
      <w:r>
        <w:rPr>
          <w:rFonts w:ascii="Times New Roman" w:hAnsi="Times New Roman"/>
          <w:color w:val="000000"/>
          <w:sz w:val="20"/>
        </w:rPr>
        <w:t>(a) No Manager, Member or officer of the Company, nor any of their respective Subsidiaries or Affiliates (including any stockholder of REG, Marquee Holdings, Cinemark or NCM Inc. that would be deemed an Affiliate but for the exception set forth in subsections (iii), (iv), (v) or (vi) of the definition of Affiliate herein, or any of such stockholder’s Affiliates) nor any of their respective direct or indirect officers, directors, trustees, members, partners, equity holders, employees or agents, nor any of their heirs, executors, successors and assigns (individually, an “</w:t>
      </w:r>
      <w:r>
        <w:rPr>
          <w:rFonts w:ascii="Times New Roman" w:hAnsi="Times New Roman"/>
          <w:b/>
          <w:color w:val="000000"/>
          <w:sz w:val="20"/>
          <w:u w:val="single"/>
        </w:rPr>
        <w:t>Indemnitee</w:t>
      </w:r>
      <w:r>
        <w:rPr>
          <w:rFonts w:ascii="Times New Roman" w:hAnsi="Times New Roman"/>
          <w:color w:val="000000"/>
          <w:sz w:val="20"/>
        </w:rPr>
        <w:t>”), shall be liable to the Company or any Member for any act or omission by such Indemnitee in connection with the conduct of affairs of the Company or otherwise incurred in connection with the Company or this Agreement or the matters contemplated herein, in each case unless such act or omission was the result of gross negligence or willful misconduct or constitutes a breach of, or a failure to comply with, any agreement between (x) such Indemnitee and (y) the Company or its Subsidiaries and Affiliates.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Notwithstanding any other provision of this Agreement or otherwise applicable provision of law or equity, whenever in this Agreement a Manager, Member or officer of the Company is permitted or required to make a decision (i) in its “sole discretion” or “discretion,” with “complete discretion” or under a grant of similar authority or latitude, such Manager, Member or officer shall be entitled to consider only such interests and factors as it desires, including its own interests, and shall, to the fullest extent permitted by applicable law, have no duty or obligation to give any consideration to any interest of or factors affecting the Company or the Members, or (ii) in its “good faith” or under another expressed standard, such Manager, Member or officer shall act under such express standard and shall not be subject to any other or different standards.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 Any Manager, Member, Liquidator or officer of the Company may consult with legal counsel and accountants selected by it at its expense or with legal counsel and accountants for the Company at the Company’s expense. Each Manager, Member, Liquidator and officer of the Company shall be fully protected in relying in good faith upon the records of the Company and upon information, opinions, reports, or statements presented by another Manager, Member, Liquidator or officer, or employee of the Company, or committees of the Company, Manager or Members, or by any other Person (including, without limitation, legal counsel and public accountants) as to matters that the Manager, Member, Liquidator or officer reasonably believes are within such other Person’s professional or expert competence, including information, opinions, reports or statements as to the value and amount of the assets, liabilities, Net Income or Net Losses of the Company, or the value and amount of assets or reserves or contracts, agreements or other undertakings that would be sufficient to pay claims and obligations of the Company or to make </w:t>
      </w:r>
    </w:p>
    <w:p>
      <w:pPr>
        <w:pStyle w:val="HorizontalLine"/>
        <w:pBdr>
          <w:bottom w:val="double" w:sz="2" w:space="0" w:color="808080"/>
        </w:pBdr>
        <w:bidi w:val="0"/>
        <w:spacing w:before="0" w:after="283"/>
        <w:jc w:val="left"/>
        <w:rPr/>
      </w:pPr>
      <w:r>
        <w:rPr/>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reasonable provision to pay such claims and obligations, or any other facts pertinent to the existence and amount of assets from which distributions to Members or creditors might properly be paid.</w:t>
      </w:r>
    </w:p>
    <w:p>
      <w:pPr>
        <w:pStyle w:val="TextBody"/>
        <w:bidi w:val="0"/>
        <w:spacing w:before="180" w:after="283"/>
        <w:jc w:val="left"/>
        <w:rPr>
          <w:rFonts w:ascii="Times New Roman" w:hAnsi="Times New Roman"/>
          <w:sz w:val="20"/>
        </w:rPr>
      </w:pP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u w:val="single"/>
        </w:rPr>
        <w:t>Indemnification</w:t>
      </w:r>
      <w:r>
        <w:rPr>
          <w:rFonts w:ascii="Times New Roman" w:hAnsi="Times New Roman"/>
          <w:color w:val="000000"/>
          <w:sz w:val="20"/>
        </w:rPr>
        <w:t>.</w:t>
      </w:r>
    </w:p>
    <w:p>
      <w:pPr>
        <w:pStyle w:val="TextBody"/>
        <w:bidi w:val="0"/>
        <w:spacing w:before="90" w:after="283"/>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Indemnification Rights</w:t>
      </w:r>
      <w:r>
        <w:rPr>
          <w:rFonts w:ascii="Times New Roman" w:hAnsi="Times New Roman"/>
          <w:color w:val="000000"/>
          <w:sz w:val="20"/>
        </w:rPr>
        <w:t>. The Company shall indemnify and hold harmless each Indemnitee from and against any and all losses, claims, demands, costs, damages, liabilities, expenses of any nature (including attorneys’ fees and disbursements), judgments, fines, settlements (whether on an individual or joint and several basis) and other amounts arising from any and all claims, demands, actions, suits or proceedings, whether civil, criminal, administrative, arbitral or investigative, in which the Indemnitee was involved or may be involved, or threatened to be involved, as a party or otherwise, arising out of or in connection with the business of the Company, this Agreement, any Person’s status as a Manager, Member or officer of the Company or any action taken by any Manager, Member or officer of the Company or under this Agreement or otherwise on behalf of the Company (collectively, “</w:t>
      </w:r>
      <w:r>
        <w:rPr>
          <w:rFonts w:ascii="Times New Roman" w:hAnsi="Times New Roman"/>
          <w:b/>
          <w:color w:val="000000"/>
          <w:sz w:val="20"/>
          <w:u w:val="single"/>
        </w:rPr>
        <w:t>Liabilities</w:t>
      </w:r>
      <w:r>
        <w:rPr>
          <w:rFonts w:ascii="Times New Roman" w:hAnsi="Times New Roman"/>
          <w:color w:val="000000"/>
          <w:sz w:val="20"/>
        </w:rPr>
        <w:t xml:space="preserve">”), regardless of whether the Indemnitee continues to be a Manager, Member or officer of the Company, or an Affiliate, officer, director, employee, trustee, member or partner or agent of a Manager, Member or officer of the Company, to the fullest extent permitted by the LLC Act and all other applicable laws; </w:t>
      </w:r>
      <w:r>
        <w:rPr>
          <w:rFonts w:ascii="Times New Roman" w:hAnsi="Times New Roman"/>
          <w:color w:val="000000"/>
          <w:sz w:val="20"/>
          <w:u w:val="single"/>
        </w:rPr>
        <w:t>provided</w:t>
      </w:r>
      <w:r>
        <w:rPr>
          <w:rFonts w:ascii="Times New Roman" w:hAnsi="Times New Roman"/>
          <w:color w:val="000000"/>
          <w:sz w:val="20"/>
        </w:rPr>
        <w:t xml:space="preserve"> that an Indemnitee shall be entitled to indemnification hereunder only to the extent that such Indemnitee’s conduct did not result from gross negligence or willful misconduct. The termination of any proceeding by settlement, judgment, order, conviction, or upon a plea of nolo contendere or its equivalent shall not, of itself, create a presumption that such Indemnitee’s conduct resulted from gross negligence or willful misconduct.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Expenses</w:t>
      </w:r>
      <w:r>
        <w:rPr>
          <w:rFonts w:ascii="Times New Roman" w:hAnsi="Times New Roman"/>
          <w:color w:val="000000"/>
          <w:sz w:val="20"/>
        </w:rPr>
        <w:t>. Expenses incurred by an Indemnitee in defending against any Liability or potential Liability subject to this Section 4.15 shall, from time to time, be advanced by the Company prior to the final disposition of such Liability upon receipt by the Company of an undertaking reasonably acceptable in form and substance to the Manager by or on behalf of the Indemnitee to repay such amount if it shall be determined that such Person is not entitled to be indemnified as authorized in this Section 4.15.</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Indemnification Rights Non-Exclusive; Rights of Indemnified Parties</w:t>
      </w:r>
      <w:r>
        <w:rPr>
          <w:rFonts w:ascii="Times New Roman" w:hAnsi="Times New Roman"/>
          <w:color w:val="000000"/>
          <w:sz w:val="20"/>
        </w:rPr>
        <w:t>. The indemnification provided by this Section 4.15 shall be in addition to any other rights to which those indemnified may be entitled under any agreement, by a Majority Member Vote, as a matter of law or equity, or otherwise. Such indemnification shall continue with respect to an Indemnitee even though it has ceased to serve in any particular capacity and shall inure to the benefit of its heirs, executors, successors, assigns and other legal representatives.</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Assets of the Company</w:t>
      </w:r>
      <w:r>
        <w:rPr>
          <w:rFonts w:ascii="Times New Roman" w:hAnsi="Times New Roman"/>
          <w:color w:val="000000"/>
          <w:sz w:val="20"/>
        </w:rPr>
        <w:t>. Any indemnification under this Section 4.15 shall be satisfied solely out of the assets of the Company, and no Member shall be subject to personal liability or required to fund or cause to be funded any obligation by reason of these indemnification provisions.</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Other Liability Insurance</w:t>
      </w:r>
      <w:r>
        <w:rPr>
          <w:rFonts w:ascii="Times New Roman" w:hAnsi="Times New Roman"/>
          <w:color w:val="000000"/>
          <w:sz w:val="20"/>
        </w:rPr>
        <w:t>. The Company may purchase and maintain insurance, at the Company’s expense, on behalf of such Persons as the Manager shall reasonably determine, against any liability that may be asserted against, or any expense that may be incurred by, such Person in connection with the activities of the Company and its Subsidiaries or Affiliates regardless of whether the Company would have the obligation to indemnify such Person against such liability under the provisions of this Agreement.</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4.16 </w:t>
      </w:r>
      <w:r>
        <w:rPr>
          <w:rFonts w:ascii="Times New Roman" w:hAnsi="Times New Roman"/>
          <w:b/>
          <w:color w:val="000000"/>
          <w:sz w:val="20"/>
          <w:u w:val="single"/>
        </w:rPr>
        <w:t>Title to Assets</w:t>
      </w:r>
      <w:r>
        <w:rPr>
          <w:rFonts w:ascii="Times New Roman" w:hAnsi="Times New Roman"/>
          <w:color w:val="000000"/>
          <w:sz w:val="20"/>
        </w:rPr>
        <w:t>. Unless specifically licensed or leased to the Company, title to the assets of the Company, whether real, personal or mixed and whether tangible or intangible, shall be deemed to be owned by the Company as an entity, and no Members, individually or collectively, shall have any ownership interest in such assets (other than licensed or leased assets) or any portion thereof.</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ARTICLE 5</w:t>
      </w:r>
    </w:p>
    <w:p>
      <w:pPr>
        <w:pStyle w:val="TextBody"/>
        <w:bidi w:val="0"/>
        <w:spacing w:before="180" w:after="283"/>
        <w:jc w:val="center"/>
        <w:rPr>
          <w:rFonts w:ascii="Times New Roman" w:hAnsi="Times New Roman"/>
          <w:b/>
          <w:color w:val="000000"/>
          <w:sz w:val="20"/>
          <w:u w:val="single"/>
        </w:rPr>
      </w:pPr>
      <w:r>
        <w:rPr>
          <w:rFonts w:ascii="Times New Roman" w:hAnsi="Times New Roman"/>
          <w:b/>
          <w:color w:val="000000"/>
          <w:sz w:val="20"/>
          <w:u w:val="single"/>
        </w:rPr>
        <w:t>CAPITAL CONTRIBUTIONS; DISTRIBUTIONS</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5.1 </w:t>
      </w:r>
      <w:r>
        <w:rPr>
          <w:rFonts w:ascii="Times New Roman" w:hAnsi="Times New Roman"/>
          <w:b/>
          <w:color w:val="000000"/>
          <w:sz w:val="20"/>
          <w:u w:val="single"/>
        </w:rPr>
        <w:t>Capital Contributions</w:t>
      </w:r>
      <w:r>
        <w:rPr>
          <w:rFonts w:ascii="Times New Roman" w:hAnsi="Times New Roman"/>
          <w:b/>
          <w:color w:val="000000"/>
          <w:sz w:val="20"/>
        </w:rPr>
        <w:t>.</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(a) The AMC Founding Member, as the successor to NCN, and the Regal Founding Member have made their required Capital Contributions to the Company as set forth in the Contribution and Unit Holders Agreement, Cinemark Media has made its required Capital Contribution to the Company as set forth in the Contribution Agreement and NCM Inc. has made its required Capital Contribution to the Company as set forth in the Subscription </w:t>
      </w:r>
    </w:p>
    <w:p>
      <w:pPr>
        <w:pStyle w:val="HorizontalLine"/>
        <w:pBdr>
          <w:bottom w:val="double" w:sz="2" w:space="0" w:color="808080"/>
        </w:pBdr>
        <w:bidi w:val="0"/>
        <w:spacing w:before="0" w:after="283"/>
        <w:jc w:val="left"/>
        <w:rPr/>
      </w:pPr>
      <w:r>
        <w:rPr/>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Agreement. Except as provided in Sections 3.5(b), 3.5(c), 5.1(b) and otherwise in this Agreement, no Member shall be required to make any other capital contribution to, or provide credit support for, the Company.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In addition to the Capital Contributions that NCM Inc. has made as provided in Section 5.1(a), NCM Inc. shall make the following additional Capital Contributions to the Company:</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(i) On or before the due date of the Company’s obligation to make a payment under Section 3.02(a) of the Tax Receivable Agreement, NCM Inc. shall contribute to the Company an amount equal to any ESA-Related Tax Benefit Payment;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(ii) On or before the due date of the Company’s obligation to make a payment under Section 3.02(b) of the Tax Receivable Agreement, NCM Inc. shall contribute to the Company an amount equal to any increase in any ESA-Related Tax Benefit Payment.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 Except as provided in Article 9 of this Agreement, no Member shall be entitled to withdraw, or demand the return of, any part its Capital Contributions or Capital Account. No Member shall be entitled to interest on or with respect to any Capital Contribution or Capital Account.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 Except as otherwise provided in this Agreement, no Person shall have any preemptive, preferential or similar right to subscribe for or to acquire any Units.</w:t>
      </w:r>
    </w:p>
    <w:p>
      <w:pPr>
        <w:pStyle w:val="TextBody"/>
        <w:bidi w:val="0"/>
        <w:spacing w:before="180" w:after="283"/>
        <w:jc w:val="left"/>
        <w:rPr>
          <w:rFonts w:ascii="Times New Roman" w:hAnsi="Times New Roman"/>
          <w:sz w:val="20"/>
        </w:rPr>
      </w:pPr>
      <w:r>
        <w:rPr>
          <w:rFonts w:ascii="Times New Roman" w:hAnsi="Times New Roman"/>
          <w:b/>
          <w:color w:val="000000"/>
          <w:sz w:val="20"/>
        </w:rPr>
        <w:t>5.2</w:t>
      </w:r>
      <w:r>
        <w:rPr>
          <w:rFonts w:ascii="Times New Roman" w:hAnsi="Times New Roman"/>
          <w:color w:val="000000"/>
          <w:sz w:val="20"/>
        </w:rPr>
        <w:t xml:space="preserve"> </w:t>
      </w:r>
      <w:r>
        <w:rPr>
          <w:rFonts w:ascii="Times New Roman" w:hAnsi="Times New Roman"/>
          <w:b/>
          <w:color w:val="000000"/>
          <w:sz w:val="20"/>
          <w:u w:val="single"/>
        </w:rPr>
        <w:t>Loans from Members</w:t>
      </w:r>
      <w:r>
        <w:rPr>
          <w:rFonts w:ascii="Times New Roman" w:hAnsi="Times New Roman"/>
          <w:color w:val="000000"/>
          <w:sz w:val="20"/>
        </w:rPr>
        <w:t xml:space="preserve">. Loans by Members to the Company shall not be considered contributions to the capital of the Company hereunder. If any Member shall advance funds to the Company in excess of the amounts required to be contributed to the capital of the Company, the making of such advances shall not result in any increase in the amount of the Capital Account of such Member and shall be payable or collectible in accordance with the terms and conditions upon which advances are made; </w:t>
      </w:r>
      <w:r>
        <w:rPr>
          <w:rFonts w:ascii="Times New Roman" w:hAnsi="Times New Roman"/>
          <w:color w:val="000000"/>
          <w:sz w:val="20"/>
          <w:u w:val="single"/>
        </w:rPr>
        <w:t>provided</w:t>
      </w:r>
      <w:r>
        <w:rPr>
          <w:rFonts w:ascii="Times New Roman" w:hAnsi="Times New Roman"/>
          <w:color w:val="000000"/>
          <w:sz w:val="20"/>
        </w:rPr>
        <w:t xml:space="preserve"> that the terms of any such loan shall not be less favorable to the Company, taken as a whole, than would be available to the Company from unrelated lenders and such loan shall be approved by the Manager (or a Majority Member Vote in the event the Manager is making the loan to the Company).</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5.3 </w:t>
      </w:r>
      <w:r>
        <w:rPr>
          <w:rFonts w:ascii="Times New Roman" w:hAnsi="Times New Roman"/>
          <w:b/>
          <w:color w:val="000000"/>
          <w:sz w:val="20"/>
          <w:u w:val="single"/>
        </w:rPr>
        <w:t>Loans from Third Parties</w:t>
      </w:r>
      <w:r>
        <w:rPr>
          <w:rFonts w:ascii="Times New Roman" w:hAnsi="Times New Roman"/>
          <w:color w:val="000000"/>
          <w:sz w:val="20"/>
        </w:rPr>
        <w:t xml:space="preserve">. The Company may incur Indebtedness, or enter into other similar credit, guarantee, financing or refinancing arrangements for any purpose with any Person upon such terms as the Manager determines appropriate; </w:t>
      </w:r>
      <w:r>
        <w:rPr>
          <w:rFonts w:ascii="Times New Roman" w:hAnsi="Times New Roman"/>
          <w:color w:val="000000"/>
          <w:sz w:val="20"/>
          <w:u w:val="single"/>
        </w:rPr>
        <w:t>provided</w:t>
      </w:r>
      <w:r>
        <w:rPr>
          <w:rFonts w:ascii="Times New Roman" w:hAnsi="Times New Roman"/>
          <w:color w:val="000000"/>
          <w:sz w:val="20"/>
        </w:rPr>
        <w:t xml:space="preserve"> that the Company shall not incur any Indebtedness that is recourse to any Member, except to the extent otherwise agreed to in writing by the applicable Member in its sole discretion.</w:t>
      </w:r>
    </w:p>
    <w:p>
      <w:pPr>
        <w:pStyle w:val="TextBody"/>
        <w:bidi w:val="0"/>
        <w:spacing w:before="180" w:after="283"/>
        <w:jc w:val="left"/>
        <w:rPr>
          <w:rFonts w:ascii="Times New Roman" w:hAnsi="Times New Roman"/>
          <w:sz w:val="20"/>
        </w:rPr>
      </w:pPr>
      <w:r>
        <w:rPr>
          <w:rFonts w:ascii="Times New Roman" w:hAnsi="Times New Roman"/>
          <w:b/>
          <w:color w:val="000000"/>
          <w:sz w:val="20"/>
        </w:rPr>
        <w:t>5.4</w:t>
      </w:r>
      <w:r>
        <w:rPr>
          <w:rFonts w:ascii="Times New Roman" w:hAnsi="Times New Roman"/>
          <w:color w:val="000000"/>
          <w:sz w:val="20"/>
        </w:rPr>
        <w:t xml:space="preserve"> </w:t>
      </w:r>
      <w:r>
        <w:rPr>
          <w:rFonts w:ascii="Times New Roman" w:hAnsi="Times New Roman"/>
          <w:b/>
          <w:color w:val="000000"/>
          <w:sz w:val="20"/>
          <w:u w:val="single"/>
        </w:rPr>
        <w:t>Distributions</w:t>
      </w:r>
      <w:r>
        <w:rPr>
          <w:rFonts w:ascii="Times New Roman" w:hAnsi="Times New Roman"/>
          <w:color w:val="000000"/>
          <w:sz w:val="20"/>
        </w:rPr>
        <w:t>. Except as provided in Section 3.5(c)(ii), all distributions made by the Company, if any, shall be made in accordance with this Section 5.4.</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Nonliquidating Distributions</w:t>
      </w:r>
      <w:r>
        <w:rPr>
          <w:rFonts w:ascii="Times New Roman" w:hAnsi="Times New Roman"/>
          <w:color w:val="000000"/>
          <w:sz w:val="20"/>
        </w:rPr>
        <w:t>. The Manager will cause the Company to make distributions of the Distribution Amount in the following manner:</w:t>
      </w:r>
    </w:p>
    <w:p>
      <w:pPr>
        <w:pStyle w:val="TextBody"/>
        <w:bidi w:val="0"/>
        <w:jc w:val="left"/>
        <w:rPr>
          <w:rFonts w:ascii="Times New Roman" w:hAnsi="Times New Roman"/>
          <w:sz w:val="20"/>
        </w:rPr>
      </w:pPr>
      <w:r>
        <w:rPr>
          <w:rFonts w:ascii="Times New Roman" w:hAnsi="Times New Roman"/>
          <w:color w:val="000000"/>
          <w:sz w:val="20"/>
        </w:rPr>
        <w:t>(i) Within 60 calendar days following the last day of each Fiscal Period (or the next Business Day if the 60</w:t>
      </w:r>
      <w:r>
        <w:rPr>
          <w:rFonts w:ascii="Times New Roman" w:hAnsi="Times New Roman"/>
          <w:color w:val="000000"/>
          <w:sz w:val="10"/>
        </w:rPr>
        <w:t>th</w:t>
      </w:r>
      <w:r>
        <w:rPr>
          <w:rFonts w:ascii="Times New Roman" w:hAnsi="Times New Roman"/>
          <w:color w:val="000000"/>
          <w:sz w:val="20"/>
        </w:rPr>
        <w:t xml:space="preserve"> calendar day is not a Business Day), the Company shall make a distribution in an amount equal to the Distribution Amount for such Fiscal Period, excluding the Deferred Distribution Amount, to the Members.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 No later than 5 calendar days prior to the date that the Distribution Amount will be paid (or the next Business Day if the 5th calendar day is not a Business Day), the Company shall notify each member of the total Distribution Amount that is payable to the Member. Each Member (the “</w:t>
      </w:r>
      <w:r>
        <w:rPr>
          <w:rFonts w:ascii="Times New Roman" w:hAnsi="Times New Roman"/>
          <w:b/>
          <w:color w:val="000000"/>
          <w:sz w:val="20"/>
        </w:rPr>
        <w:t>Deferring Member</w:t>
      </w:r>
      <w:r>
        <w:rPr>
          <w:rFonts w:ascii="Times New Roman" w:hAnsi="Times New Roman"/>
          <w:color w:val="000000"/>
          <w:sz w:val="20"/>
        </w:rPr>
        <w:t>”) may choose to defer all or any portion of its share of the Distribution Amount by notifying the Company of the total amount that the Member is deferring within such 5-calendar day period (such</w:t>
      </w:r>
    </w:p>
    <w:p>
      <w:pPr>
        <w:pStyle w:val="TextBody"/>
        <w:bidi w:val="0"/>
        <w:jc w:val="left"/>
        <w:rPr>
          <w:rFonts w:ascii="Times New Roman" w:hAnsi="Times New Roman"/>
          <w:sz w:val="20"/>
        </w:rPr>
      </w:pPr>
      <w:r>
        <w:rPr>
          <w:rFonts w:ascii="Times New Roman" w:hAnsi="Times New Roman"/>
          <w:color w:val="000000"/>
          <w:sz w:val="20"/>
        </w:rPr>
        <w:t>amount, the “</w:t>
      </w:r>
      <w:r>
        <w:rPr>
          <w:rFonts w:ascii="Times New Roman" w:hAnsi="Times New Roman"/>
          <w:b/>
          <w:color w:val="000000"/>
          <w:sz w:val="20"/>
        </w:rPr>
        <w:t>Deferred Distribution Amount</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Each Deferring Member may require that the Company distribute the Deferred Distribution Amount, or a portion of the total amount, upon 30 days written notice subject to any restrictions in the 2023 Credit Facility and the Company’s availability of sufficient cash to distribute the requested amount. The Manager may determine to distribute the Deferred Distribution Amounts prior to the end of the 30 day notice period. If the distribution of the Deferred Distribution Amount is restricted by the 2023 Credit Facility, then the distribution shall be made promptly following the date that the 2023 Credit Facility does not restrict the distribution.</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Deferred Distribution Amounts shall be treated as accrued liabilities. The Deferred Distribution Amount shall not accrue interest. The Deferred Distribution Amounts shall not be used to fund the distribution of Distribution Amounts and no Member other than the Deferring Member shall have any ownership claim to the Deferred Distribution Amount.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(ii) Except as provided in Section 5.4(b), all distributions of the Distribution Amounts shall be made among the Members pro rata in accordance with their Percentage Interests; </w:t>
      </w:r>
      <w:r>
        <w:rPr>
          <w:rFonts w:ascii="Times New Roman" w:hAnsi="Times New Roman"/>
          <w:color w:val="000000"/>
          <w:sz w:val="20"/>
          <w:u w:val="single"/>
        </w:rPr>
        <w:t>provided</w:t>
      </w:r>
      <w:r>
        <w:rPr>
          <w:rFonts w:ascii="Times New Roman" w:hAnsi="Times New Roman"/>
          <w:color w:val="000000"/>
          <w:sz w:val="20"/>
        </w:rPr>
        <w:t xml:space="preserve"> that if (i) the Company is in default under any Funded Indebtedness, (ii) the distribution would cause the Company to default under any Funded Indebtedness, or (iii) restrictions imposed on the Company’s funds pursuant to any Funded Indebtedness, cause (x) the product of the Distribution Amount </w:t>
      </w:r>
      <w:r>
        <w:rPr>
          <w:rFonts w:ascii="Times New Roman" w:hAnsi="Times New Roman"/>
          <w:color w:val="000000"/>
          <w:sz w:val="20"/>
          <w:u w:val="single"/>
        </w:rPr>
        <w:t>times</w:t>
      </w:r>
      <w:r>
        <w:rPr>
          <w:rFonts w:ascii="Times New Roman" w:hAnsi="Times New Roman"/>
          <w:color w:val="000000"/>
          <w:sz w:val="20"/>
        </w:rPr>
        <w:t xml:space="preserve"> NCM Inc.’s Percentage interest, to be less than the sum of (y) the product of the Tax Distribution Amount </w:t>
      </w:r>
      <w:r>
        <w:rPr>
          <w:rFonts w:ascii="Times New Roman" w:hAnsi="Times New Roman"/>
          <w:color w:val="000000"/>
          <w:sz w:val="20"/>
          <w:u w:val="single"/>
        </w:rPr>
        <w:t>times</w:t>
      </w:r>
      <w:r>
        <w:rPr>
          <w:rFonts w:ascii="Times New Roman" w:hAnsi="Times New Roman"/>
          <w:color w:val="000000"/>
          <w:sz w:val="20"/>
        </w:rPr>
        <w:t xml:space="preserve"> NCM Inc.’s Percentage Interest, </w:t>
      </w:r>
      <w:r>
        <w:rPr>
          <w:rFonts w:ascii="Times New Roman" w:hAnsi="Times New Roman"/>
          <w:color w:val="000000"/>
          <w:sz w:val="20"/>
          <w:u w:val="single"/>
        </w:rPr>
        <w:t>plus</w:t>
      </w:r>
      <w:r>
        <w:rPr>
          <w:rFonts w:ascii="Times New Roman" w:hAnsi="Times New Roman"/>
          <w:color w:val="000000"/>
          <w:sz w:val="20"/>
        </w:rPr>
        <w:t xml:space="preserve"> the Tax Receivable Distribution Amount, then the Company shall distribute the Tax Distribution Amount among the Members pro rata in accordance with their Percentage Interests and distribute the Tax Receivable Distribution Amount to NCM Inc.; provided further that the Deferred Distribution Amounts shall only be distributed to the applicable Deferring Member.</w:t>
      </w:r>
    </w:p>
    <w:p>
      <w:pPr>
        <w:pStyle w:val="TextBody"/>
        <w:bidi w:val="0"/>
        <w:spacing w:before="180" w:after="283"/>
        <w:jc w:val="left"/>
        <w:rPr>
          <w:rFonts w:ascii="Times New Roman" w:hAnsi="Times New Roman"/>
          <w:sz w:val="20"/>
        </w:rPr>
      </w:pPr>
      <w:r>
        <w:rPr>
          <w:rFonts w:ascii="Times New Roman" w:hAnsi="Times New Roman"/>
          <w:color w:val="000000"/>
          <w:sz w:val="20"/>
        </w:rPr>
        <w:t>(iii) The Company shall determine Available Cash (i) for each Fiscal Period, and (ii) for each Fiscal Year (the “</w:t>
      </w:r>
      <w:r>
        <w:rPr>
          <w:rFonts w:ascii="Times New Roman" w:hAnsi="Times New Roman"/>
          <w:b/>
          <w:color w:val="000000"/>
          <w:sz w:val="20"/>
          <w:u w:val="single"/>
        </w:rPr>
        <w:t>Distribution Year</w:t>
      </w:r>
      <w:r>
        <w:rPr>
          <w:rFonts w:ascii="Times New Roman" w:hAnsi="Times New Roman"/>
          <w:color w:val="000000"/>
          <w:sz w:val="20"/>
        </w:rPr>
        <w:t>”) in connection with the preparation of the audited report delivered to the Members for the Distribution Year, as provided in Section 6.9(c). To the extent Available Cash for the Distribution Year is greater than the total Distribution Amount distributed to the Members under Section 5.4(a)(i) with respect to the four Fiscal Periods in such Distribution Year (the “</w:t>
      </w:r>
      <w:r>
        <w:rPr>
          <w:rFonts w:ascii="Times New Roman" w:hAnsi="Times New Roman"/>
          <w:b/>
          <w:color w:val="000000"/>
          <w:sz w:val="20"/>
          <w:u w:val="single"/>
        </w:rPr>
        <w:t>Distribution Increase</w:t>
      </w:r>
      <w:r>
        <w:rPr>
          <w:rFonts w:ascii="Times New Roman" w:hAnsi="Times New Roman"/>
          <w:color w:val="000000"/>
          <w:sz w:val="20"/>
        </w:rPr>
        <w:t>”), the Distribution Increase will be added to Available Cash for the second Fiscal Period in the Fiscal Year following the Distribution Year. To the extent Available Cash for the Distribution Year is less than the total Distribution Amount distributed to the Members under Section 5.4(a)(i) with respect to the four Fiscal Periods in such Distribution Year (the “</w:t>
      </w:r>
      <w:r>
        <w:rPr>
          <w:rFonts w:ascii="Times New Roman" w:hAnsi="Times New Roman"/>
          <w:b/>
          <w:color w:val="000000"/>
          <w:sz w:val="20"/>
          <w:u w:val="single"/>
        </w:rPr>
        <w:t>Distribution Decrease</w:t>
      </w:r>
      <w:r>
        <w:rPr>
          <w:rFonts w:ascii="Times New Roman" w:hAnsi="Times New Roman"/>
          <w:color w:val="000000"/>
          <w:sz w:val="20"/>
        </w:rPr>
        <w:t>”), the Distribution Decrease will be subtracted from Available Cash for the second Fiscal Period in the Fiscal Year following the Distribution Year. Any Distribution Increase or Distribution Decrease provided for in this Section 5.4(a)(iii) shall be taken into account in the distributions made to the Members under Section 5.4(a)(i) following the last day of the second Fiscal Period in the Fiscal Year following the Distribution Year.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(iv) Within three (3) Business days of receiving or being deemed to receive any ESA-Related Payment from an ESA Party pursuant to Sections 3.02 or 5.03 of the Tax Receivable Agreement, the Company shall distribute such ESA-Related Payment to NCM Inc.</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Liquidating Distributions</w:t>
      </w:r>
      <w:r>
        <w:rPr>
          <w:rFonts w:ascii="Times New Roman" w:hAnsi="Times New Roman"/>
          <w:color w:val="000000"/>
          <w:sz w:val="20"/>
        </w:rPr>
        <w:t>. All distributions made in connection with the sale, exchange or other disposition of all or substantially all of the Company’s assets, or with respect to the winding up and liquidation of the Company, shall be made among the Members pro rata in accordance with their Percentage Interests.</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Sole Discretion of the Manager</w:t>
      </w:r>
      <w:r>
        <w:rPr>
          <w:rFonts w:ascii="Times New Roman" w:hAnsi="Times New Roman"/>
          <w:color w:val="000000"/>
          <w:sz w:val="20"/>
        </w:rPr>
        <w:t>. Except as specified in Sections 3.4(e), 3.5(c)(ii), 4.3, 5.4(a), 5.4(b), 7.3 or 9.1(a), (i) the Company shall have no obligation to distribute any cash or other property of the Company to the Members, (ii) the Manager shall have sole discretion in determining whether to distribute any cash or other property of the Company, when available, and in determining the timing, kind and amount of any and all distributions, and (iii) no Member is entitled to receive any distribution unless and until declared by the Manager.</w:t>
      </w:r>
    </w:p>
    <w:p>
      <w:pPr>
        <w:pStyle w:val="TextBody"/>
        <w:bidi w:val="0"/>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Distributions in Kind</w:t>
      </w:r>
      <w:r>
        <w:rPr>
          <w:rFonts w:ascii="Times New Roman" w:hAnsi="Times New Roman"/>
          <w:color w:val="000000"/>
          <w:sz w:val="20"/>
        </w:rPr>
        <w:t>. No Member has any right to demand or receive property other than cash. However, the Manager may, in its sole discretion, elect to make distributions, entirely or in part, in property of the Company other than cash. Property distributed in kind shall be deemed to have been sold for their valuation determined in accordance with Section 5.5.</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Limitations on Distributions</w:t>
      </w:r>
      <w:r>
        <w:rPr>
          <w:rFonts w:ascii="Times New Roman" w:hAnsi="Times New Roman"/>
          <w:color w:val="000000"/>
          <w:sz w:val="20"/>
        </w:rPr>
        <w:t>. Notwithstanding anything in this Agreement to the contrary, no distribution shall be made in violation of the LLC Act.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Exculpation</w:t>
      </w:r>
      <w:r>
        <w:rPr>
          <w:rFonts w:ascii="Times New Roman" w:hAnsi="Times New Roman"/>
          <w:color w:val="000000"/>
          <w:sz w:val="20"/>
        </w:rPr>
        <w:t>. The Members hereby consent and agree that, except as expressly provided herein or required by applicable law and except for distributions not made in compliance with this Agreement, no Member shall have an obligation to return cash or other property paid or distributed to such Member by the Company, whether such obligation would have arisen under § 18-502(b) of the LLC Act or otherwise.</w:t>
      </w:r>
    </w:p>
    <w:p>
      <w:pPr>
        <w:pStyle w:val="HorizontalLine"/>
        <w:pBdr>
          <w:bottom w:val="double" w:sz="2" w:space="0" w:color="808080"/>
        </w:pBdr>
        <w:bidi w:val="0"/>
        <w:spacing w:before="0" w:after="283"/>
        <w:jc w:val="left"/>
        <w:rPr/>
      </w:pPr>
      <w:r>
        <w:rPr/>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5.5 </w:t>
      </w:r>
      <w:r>
        <w:rPr>
          <w:rFonts w:ascii="Times New Roman" w:hAnsi="Times New Roman"/>
          <w:b/>
          <w:color w:val="000000"/>
          <w:sz w:val="20"/>
          <w:u w:val="single"/>
        </w:rPr>
        <w:t>Valuation</w:t>
      </w:r>
      <w:r>
        <w:rPr>
          <w:rFonts w:ascii="Times New Roman" w:hAnsi="Times New Roman"/>
          <w:color w:val="000000"/>
          <w:sz w:val="20"/>
        </w:rPr>
        <w:t xml:space="preserve">. All valuation determinations to be made under this Agreement shall be made pursuant to the terms of this Section, which determinations shall be conclusive and binding on the Company, all Members, former Members, their successors, assigns, legal representatives and any other Person, except for computational errors or fraud, and to the fullest extent permitted by law, no such Person shall have the right to an accounting or an appraisal of the assets of the Company or any successor thereto except for computational errors or fraud. Valuations shall be determined by a reasonable method of valuation determined by the Manager, which may include an independent appraisal, a reasonable estimate by the Manager or some other reasonable method of valuation. Distributions of property in kind shall be valued at fair market value; </w:t>
      </w:r>
      <w:r>
        <w:rPr>
          <w:rFonts w:ascii="Times New Roman" w:hAnsi="Times New Roman"/>
          <w:color w:val="000000"/>
          <w:sz w:val="20"/>
          <w:u w:val="single"/>
        </w:rPr>
        <w:t>provided</w:t>
      </w:r>
      <w:r>
        <w:rPr>
          <w:rFonts w:ascii="Times New Roman" w:hAnsi="Times New Roman"/>
          <w:color w:val="000000"/>
          <w:sz w:val="20"/>
        </w:rPr>
        <w:t xml:space="preserve"> that any valuation under this Section shall be determined by an independent appraiser selected by the Manager if so requested by any Founding Member.</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ARTICLE 6</w:t>
      </w:r>
    </w:p>
    <w:p>
      <w:pPr>
        <w:pStyle w:val="TextBody"/>
        <w:bidi w:val="0"/>
        <w:spacing w:before="180" w:after="283"/>
        <w:jc w:val="center"/>
        <w:rPr>
          <w:rFonts w:ascii="Times New Roman" w:hAnsi="Times New Roman"/>
          <w:b/>
          <w:color w:val="000000"/>
          <w:sz w:val="20"/>
          <w:u w:val="single"/>
        </w:rPr>
      </w:pPr>
      <w:r>
        <w:rPr>
          <w:rFonts w:ascii="Times New Roman" w:hAnsi="Times New Roman"/>
          <w:b/>
          <w:color w:val="000000"/>
          <w:sz w:val="20"/>
          <w:u w:val="single"/>
        </w:rPr>
        <w:t>BOOKS AND RECORDS; TAX; CAPITAL ACCOUNTS; ALLOCATIONS</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6.1 </w:t>
      </w:r>
      <w:r>
        <w:rPr>
          <w:rFonts w:ascii="Times New Roman" w:hAnsi="Times New Roman"/>
          <w:b/>
          <w:color w:val="000000"/>
          <w:sz w:val="20"/>
          <w:u w:val="single"/>
        </w:rPr>
        <w:t>General Accounting Matters</w:t>
      </w:r>
      <w:r>
        <w:rPr>
          <w:rFonts w:ascii="Times New Roman" w:hAnsi="Times New Roman"/>
          <w:color w:val="000000"/>
          <w:sz w:val="20"/>
        </w:rPr>
        <w:t>.</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(a) Allocations of Net Income or Net Losses pursuant to Section 6.4 shall be made at the end of each Fiscal Period, at such times as the Carrying Value of Company assets is adjusted pursuant to the definition thereof and at such other times as required by this Agreement.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Each Member shall be supplied with the information of the Company necessary to enable such Member to prepare in a timely manner (and in any event within 120 days after the end of the Company Fiscal Year) its federal, state and local income tax returns and such other financial or other statements and reports that the Manager deems appropriate.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 The Manager shall keep or cause to be kept books and records pertaining to the Company’s business showing all of its assets and liabilities, receipts and disbursements, Net Income and Net Losses, Members’ Capital Accounts and all transactions entered into by the Company. Such books and records of the Company shall be kept at the office of the Company and the Members and their representatives shall at all reasonable times have free access thereto for the purpose of inspecting or copying the same.</w:t>
      </w:r>
    </w:p>
    <w:p>
      <w:pPr>
        <w:pStyle w:val="TextBody"/>
        <w:bidi w:val="0"/>
        <w:jc w:val="left"/>
        <w:rPr>
          <w:rFonts w:ascii="Times New Roman" w:hAnsi="Times New Roman"/>
          <w:color w:val="000000"/>
          <w:sz w:val="20"/>
        </w:rPr>
      </w:pPr>
      <w:r>
        <w:rPr>
          <w:rFonts w:ascii="Times New Roman" w:hAnsi="Times New Roman"/>
          <w:color w:val="000000"/>
          <w:sz w:val="20"/>
        </w:rPr>
        <w:t>(d) The Company’s books of account shall be kept on an accrual basis or as otherwise provided by the Manager and otherwise in accordance with GAAP, except that for income tax purposes such books shall be kept in accordance with applicable tax accounting principles.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 The Company shall, and shall cause each of its Subsidiaries to, (i) maintain accurate books and records reflecting its assets and liabilities and maintain proper and adequate “internal control over financial reporting” (as such term is defined in Rules 13a-15(f) and 15d-15(f) promulgated under the Exchange Act, and as such rules may be amended and supplemented from time to time); and (ii) deliver to any Member, immediately upon request, certifications and statements with respect to the Company and its Subsidiaries satisfying the requirements of Rule 13a-l4(a) or 15d-14(a) under the Exchange Act, and 18 U.S.C. § 1350 (Section 906 of the Sarbanes-Oxley Act of 2002).</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 Subject to the confidentiality provisions of this Agreement, the Company will permit representatives of a Member and its Affiliates, at their expense, to obtain all books and accounts, documents and other information (other than documents and information relating to pricing or other proprietary information of any Member or its Affiliates collected pursuant to any Exhibitor Services Agreement) in the possession of the Company and its Subsidiaries, if any, as may reasonably be requested in order to enable such Member to monitor its investment in the Company and to exercise its rights under this Agreement and, to the extent applicable, to provide such other access and information as may be reasonably required to enable such Member to account for the investment in the Company and otherwise comply with the requirements of applicable laws, generally accepted accounting principles and requirements of any Governmental Authority.</w:t>
      </w:r>
    </w:p>
    <w:p>
      <w:pPr>
        <w:pStyle w:val="TextBody"/>
        <w:bidi w:val="0"/>
        <w:spacing w:before="180" w:after="283"/>
        <w:jc w:val="left"/>
        <w:rPr>
          <w:rFonts w:ascii="Times New Roman" w:hAnsi="Times New Roman"/>
          <w:sz w:val="20"/>
        </w:rPr>
      </w:pPr>
      <w:r>
        <w:rPr>
          <w:rFonts w:ascii="Times New Roman" w:hAnsi="Times New Roman"/>
          <w:b/>
          <w:color w:val="000000"/>
          <w:sz w:val="20"/>
        </w:rPr>
        <w:t>6.2</w:t>
      </w:r>
      <w:r>
        <w:rPr>
          <w:rFonts w:ascii="Times New Roman" w:hAnsi="Times New Roman"/>
          <w:color w:val="000000"/>
          <w:sz w:val="20"/>
          <w:u w:val="single"/>
        </w:rPr>
        <w:t xml:space="preserve"> </w:t>
      </w:r>
      <w:r>
        <w:rPr>
          <w:rFonts w:ascii="Times New Roman" w:hAnsi="Times New Roman"/>
          <w:b/>
          <w:color w:val="000000"/>
          <w:sz w:val="20"/>
          <w:u w:val="single"/>
        </w:rPr>
        <w:t>Certain Tax Matters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Times New Roman" w:hAnsi="Times New Roman"/>
          <w:color w:val="000000"/>
          <w:sz w:val="20"/>
        </w:rPr>
        <w:t>(a) The Company shall make the TEFRA Election for all taxable years of the Company. The “tax matters partner” for purposes of Section 6231(a)(7) of the Code shall be NCM Inc. (the “</w:t>
      </w:r>
      <w:r>
        <w:rPr>
          <w:rFonts w:ascii="Times New Roman" w:hAnsi="Times New Roman"/>
          <w:b/>
          <w:color w:val="000000"/>
          <w:sz w:val="20"/>
          <w:u w:val="single"/>
        </w:rPr>
        <w:t>Tax Matters Member</w:t>
      </w:r>
      <w:r>
        <w:rPr>
          <w:rFonts w:ascii="Times New Roman" w:hAnsi="Times New Roman"/>
          <w:color w:val="000000"/>
          <w:sz w:val="20"/>
        </w:rPr>
        <w:t xml:space="preserve">”). The Tax Matters Member shall have all the rights, duties, powers and obligations provided for in Sections 6221 </w:t>
      </w:r>
    </w:p>
    <w:p>
      <w:pPr>
        <w:pStyle w:val="HorizontalLine"/>
        <w:pBdr>
          <w:bottom w:val="double" w:sz="2" w:space="0" w:color="808080"/>
        </w:pBdr>
        <w:bidi w:val="0"/>
        <w:spacing w:before="0" w:after="283"/>
        <w:jc w:val="left"/>
        <w:rPr/>
      </w:pPr>
      <w:r>
        <w:rPr/>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through 6232 of the Code with respect to the Company. The Tax Matters Member shall inform each other Significant Member of all significant matters that may come to its attention in its capacity as such by giving notice thereof within ten (10) days after becoming aware thereof and, within such time, shall forward to each other Significant Member copies of all significant written communications it may receive in such capacity. This provision is not intended to authorize the Tax Matters Member to take any action left to the determination of an individual Member under Sections 6222 through 6231 of the Code. All references to Code Sections in this Section 6.2(a) (including in the definition of TEFRA) are to such Sections as they existed prior to the enactment of the Bipartisan Budget Act of 2015, Pub. L No. 114-74. This Section 6.2(a) shall apply only with respect to taxable years of the Company that end on or before December 27, 2018, regardless of the year in which an audit or other tax proceeding with respect to such taxable year may arise.</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(b) This Section 6.2(b) shall apply with respect to taxable years of the Company beginning on or after December 28, 2018 (other than with respect to an audit or other tax proceeding for a taxable year described in Section 6.2(a) above). All references to Code Sections in this Section 6.2(b) are to such Code Sections as they existed following the enactment of the Bipartisan Budget Act of 2015, Pub. L No. 114-74, as the same may be amended from time to time. The Company shall make an election under Code Section 6221(b) on its federal income tax return for each taxable year in which the Company is eligible to make such an election. For any taxable year for which the Company does not make such election or the election is otherwise inapplicable:</w:t>
      </w:r>
    </w:p>
    <w:p>
      <w:pPr>
        <w:pStyle w:val="TextBody"/>
        <w:bidi w:val="0"/>
        <w:spacing w:before="90" w:after="283"/>
        <w:jc w:val="left"/>
        <w:rPr>
          <w:rFonts w:ascii="Times New Roman" w:hAnsi="Times New Roman"/>
          <w:sz w:val="20"/>
        </w:rPr>
      </w:pPr>
      <w:r>
        <w:rPr>
          <w:rFonts w:ascii="Times New Roman" w:hAnsi="Times New Roman"/>
          <w:color w:val="000000"/>
          <w:sz w:val="20"/>
        </w:rPr>
        <w:t>(i) The Company will designate NCM Inc. as its “partnership representative” within the meaning of Code Section 6223 (and NCM Inc. shall serve in any similar capacity under state, local or foreign law) by making such designation on its respective federal income tax return for each taxable year in which the Company is in existence or otherwise in a manner consistent with the Code and the regulations promulgated thereunder (the “</w:t>
      </w:r>
      <w:r>
        <w:rPr>
          <w:rFonts w:ascii="Times New Roman" w:hAnsi="Times New Roman"/>
          <w:b/>
          <w:color w:val="000000"/>
          <w:sz w:val="20"/>
          <w:u w:val="single"/>
        </w:rPr>
        <w:t>Partnership Representative</w:t>
      </w:r>
      <w:r>
        <w:rPr>
          <w:rFonts w:ascii="Times New Roman" w:hAnsi="Times New Roman"/>
          <w:color w:val="000000"/>
          <w:sz w:val="20"/>
        </w:rPr>
        <w:t>”). NCM Inc. shall remain the Partnership Representative until it is replaced by a successor Partnership Representative designated by a unanimous vote of the Significant Members in accordance with the procedures set forth in the Code and the regulations promulgated thereunder; provided, however, NCM Inc. (or any successor Partnership Representative) may resign, in its sole discretion, as the Partnership Representative in accordance with the procedures set forth in the Code and the regulations promulgated thereunder. Subject to the provisions of this Section 6.2(b), the Partnership Representative shall be authorized to undertake all actions on behalf of the Company specified under Code Sections 6221 through 6231 and the Treasury Regulations promulgated thereunder. The Partnership Representative (in the case of a Partnership Representative other than an individual) shall further designate an individual to act on behalf of the Partnership Representative (the “</w:t>
      </w:r>
      <w:r>
        <w:rPr>
          <w:rFonts w:ascii="Times New Roman" w:hAnsi="Times New Roman"/>
          <w:b/>
          <w:color w:val="000000"/>
          <w:sz w:val="20"/>
          <w:u w:val="single"/>
        </w:rPr>
        <w:t>Designated Individual</w:t>
      </w:r>
      <w:r>
        <w:rPr>
          <w:rFonts w:ascii="Times New Roman" w:hAnsi="Times New Roman"/>
          <w:color w:val="000000"/>
          <w:sz w:val="20"/>
        </w:rPr>
        <w:t>”), which Designated Individual may be removed and replaced by the Partnership Representative, in its sole discretion, in a manner consistent with the Code and the regulations promulgated thereunder. Subject to the provisions of this Section 6.2(b), the Partnership Representative shall be authorized to undertake all actions on behalf of the Company specified under Code Sections 6221 through 6231 and the regulations promulgated thereunder.</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(ii) If an audit or tax proceeding results in an imputed underpayment under Code Section 6225, then the Partnership Representative shall cause the Company to make an election under Code Section 6226(a) no later than forty five (45) days after the date of the notice of final partnership adjustment. The Partnership Representative shall cause the Company to furnish to each Member for any portion of the year or years audited a statement reflecting the Member’s allocable share of the adjusted items as determined in the notice of final partnership adjustment and each such Member shall take such adjustments into account as required under Code Section 6226(b) and shall be liable for any related interest, penalty, addition to tax or additional amount.</w:t>
      </w:r>
    </w:p>
    <w:p>
      <w:pPr>
        <w:pStyle w:val="TextBody"/>
        <w:bidi w:val="0"/>
        <w:spacing w:before="90" w:after="283"/>
        <w:jc w:val="left"/>
        <w:rPr>
          <w:rFonts w:ascii="Times New Roman" w:hAnsi="Times New Roman"/>
          <w:sz w:val="20"/>
        </w:rPr>
      </w:pPr>
      <w:r>
        <w:rPr>
          <w:rFonts w:ascii="Times New Roman" w:hAnsi="Times New Roman"/>
          <w:color w:val="000000"/>
          <w:sz w:val="20"/>
        </w:rPr>
        <w:t xml:space="preserve">(iii) </w:t>
      </w:r>
      <w:r>
        <w:rPr>
          <w:rFonts w:ascii="Times New Roman" w:hAnsi="Times New Roman"/>
          <w:color w:val="000000"/>
          <w:sz w:val="20"/>
          <w:u w:val="single"/>
        </w:rPr>
        <w:t>Reserved</w:t>
      </w:r>
      <w:r>
        <w:rPr>
          <w:rFonts w:ascii="Times New Roman" w:hAnsi="Times New Roman"/>
          <w:color w:val="000000"/>
          <w:sz w:val="20"/>
        </w:rPr>
        <w:t>.</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(iv) Each Member agrees to cooperate with reasonable requests by the Partnership Representative for information regarding such Member as may be necessary or appropriate in connection with any tax audit or related proceeding, and to provide such information (which may be freely disclosed to the Internal Revenue Service or other relevant taxing authorities) that is either (a) related to such Member’s investment in the Company if such information can be obtained or prepared by such Member using commercially reasonable efforts or (b) unrelated to such Member’s investment in the Company if the Member elects, in its sole discretion, to provide such information, which shall be deemed to be the Confidential Information of such Member.</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(v) All reasonable costs and expenses incurred by the Partnership Representative in its capacity as such during the course of an audit or other tax proceeding shall be borne pro rata by the Members in accordance with their Interest.</w:t>
      </w:r>
    </w:p>
    <w:p>
      <w:pPr>
        <w:pStyle w:val="HorizontalLine"/>
        <w:pBdr>
          <w:bottom w:val="double" w:sz="2" w:space="0" w:color="808080"/>
        </w:pBdr>
        <w:bidi w:val="0"/>
        <w:spacing w:before="0" w:after="283"/>
        <w:jc w:val="left"/>
        <w:rPr/>
      </w:pPr>
      <w:r>
        <w:rPr/>
      </w:r>
    </w:p>
    <w:p>
      <w:pPr>
        <w:pStyle w:val="TextBody"/>
        <w:bidi w:val="0"/>
        <w:spacing w:before="90" w:after="283"/>
        <w:jc w:val="left"/>
        <w:rPr/>
      </w:pPr>
      <w:r>
        <w:rPr/>
        <w:t> </w:t>
      </w:r>
    </w:p>
    <w:p>
      <w:pPr>
        <w:pStyle w:val="TextBody"/>
        <w:bidi w:val="0"/>
        <w:spacing w:before="90" w:after="283"/>
        <w:jc w:val="left"/>
        <w:rPr/>
      </w:pPr>
      <w:r>
        <w:rPr/>
        <w:t> </w:t>
      </w:r>
    </w:p>
    <w:p>
      <w:pPr>
        <w:pStyle w:val="TextBody"/>
        <w:bidi w:val="0"/>
        <w:spacing w:before="90" w:after="283"/>
        <w:jc w:val="left"/>
        <w:rPr/>
      </w:pPr>
      <w:r>
        <w:rPr/>
        <w:t> </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6.3 </w:t>
      </w:r>
      <w:r>
        <w:rPr>
          <w:rFonts w:ascii="Times New Roman" w:hAnsi="Times New Roman"/>
          <w:b/>
          <w:color w:val="000000"/>
          <w:sz w:val="20"/>
          <w:u w:val="single"/>
        </w:rPr>
        <w:t>Capital Accounts</w:t>
      </w:r>
      <w:r>
        <w:rPr>
          <w:rFonts w:ascii="Times New Roman" w:hAnsi="Times New Roman"/>
          <w:color w:val="000000"/>
          <w:sz w:val="20"/>
        </w:rPr>
        <w:t>.</w:t>
      </w:r>
    </w:p>
    <w:p>
      <w:pPr>
        <w:pStyle w:val="TextBody"/>
        <w:bidi w:val="0"/>
        <w:spacing w:before="90" w:after="283"/>
        <w:jc w:val="left"/>
        <w:rPr>
          <w:rFonts w:ascii="Times New Roman" w:hAnsi="Times New Roman"/>
          <w:sz w:val="20"/>
        </w:rPr>
      </w:pPr>
      <w:r>
        <w:rPr>
          <w:rFonts w:ascii="Times New Roman" w:hAnsi="Times New Roman"/>
          <w:color w:val="000000"/>
          <w:sz w:val="20"/>
        </w:rPr>
        <w:t>(a) The Company shall maintain for each Member on the books of the Company a capital account (a “</w:t>
      </w:r>
      <w:r>
        <w:rPr>
          <w:rFonts w:ascii="Times New Roman" w:hAnsi="Times New Roman"/>
          <w:b/>
          <w:color w:val="000000"/>
          <w:sz w:val="20"/>
          <w:u w:val="single"/>
        </w:rPr>
        <w:t>Capital Account</w:t>
      </w:r>
      <w:r>
        <w:rPr>
          <w:rFonts w:ascii="Times New Roman" w:hAnsi="Times New Roman"/>
          <w:color w:val="000000"/>
          <w:sz w:val="20"/>
        </w:rPr>
        <w:t>”). Each Member’s Capital Account shall be maintained in accordance with the provisions of Treasury Regulations Section 1.704-1(b)(2)(iv) and the provisions of this Agreement.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The Capital Account of a Member shall be credited with the amount of all Capital Contributions by such Member to the Company. The Capital Account of a Member shall be increased by the amount of any Net Income (or items of gross income) allocated to such Member pursuant to this Article 6, and decreased by (i) the amount of any Net Losses (or items of loss or deduction) allocated to such Member pursuant to this Article 6 and (ii) the amount of any cash distributed to such Member and (iii) the fair market value of any asset distributed in kind to such Member (net of all liabilities secured by such asset that such Member is considered to assume or take subject to under Section 752 of the Code). The Capital Account of the Member also shall be adjusted appropriately to reflect any other adjustment required pursuant to Treasury Regulations Section 1.704-1 or 1.704-2.</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 In the event that any Interest in the Company is Transferred, the transferee of such Interest shall succeed to the portion of the transferor’s Capital Account attributable to such Interest.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 For purposes of this Article 6, the Manager may apply any reasonable convention in determining the date during the same month on which any Member is admitted to the Company.</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6.4 </w:t>
      </w:r>
      <w:r>
        <w:rPr>
          <w:rFonts w:ascii="Times New Roman" w:hAnsi="Times New Roman"/>
          <w:b/>
          <w:color w:val="000000"/>
          <w:sz w:val="20"/>
          <w:u w:val="single"/>
        </w:rPr>
        <w:t>Allocations</w:t>
      </w:r>
      <w:r>
        <w:rPr>
          <w:rFonts w:ascii="Times New Roman" w:hAnsi="Times New Roman"/>
          <w:color w:val="000000"/>
          <w:sz w:val="20"/>
        </w:rPr>
        <w:t>.</w:t>
      </w:r>
    </w:p>
    <w:p>
      <w:pPr>
        <w:pStyle w:val="TextBody"/>
        <w:bidi w:val="0"/>
        <w:spacing w:before="90" w:after="283"/>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General</w:t>
      </w:r>
      <w:r>
        <w:rPr>
          <w:rFonts w:ascii="Times New Roman" w:hAnsi="Times New Roman"/>
          <w:color w:val="000000"/>
          <w:sz w:val="20"/>
        </w:rPr>
        <w:t>. Except as provided in Section 6.4(b) and as otherwise provided in this Agreement, Net Income and Net Losses, and, to the extent necessary, individual items of Company income, gain, loss and deduction, shall be allocated to the Members in such amounts, to the maximum extent possible, to make the Adjusted Capital Account Balances of the Members (after the application of this Section 6.4(a)) to be in proportion to the Members’ Percentage Interests.</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Special Allocations</w:t>
      </w:r>
      <w:r>
        <w:rPr>
          <w:rFonts w:ascii="Times New Roman" w:hAnsi="Times New Roman"/>
          <w:color w:val="000000"/>
          <w:sz w:val="20"/>
        </w:rPr>
        <w:t>.</w:t>
      </w:r>
    </w:p>
    <w:p>
      <w:pPr>
        <w:pStyle w:val="TextBody"/>
        <w:bidi w:val="0"/>
        <w:spacing w:before="90" w:after="283"/>
        <w:jc w:val="left"/>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Qualified Income Offset</w:t>
      </w:r>
      <w:r>
        <w:rPr>
          <w:rFonts w:ascii="Times New Roman" w:hAnsi="Times New Roman"/>
          <w:color w:val="000000"/>
          <w:sz w:val="20"/>
        </w:rPr>
        <w:t>. If any Member receives an unexpected adjustment, allocation, or distribution described in Section l.704-l(b)(2)(ii)(d)(4-6) of the Treasury Regulations in any Fiscal Year or other period which would cause such Member to have a deficit Adjusted Capital Account Balance as of the end of such Fiscal Year or other period, items of Company income and gain (consisting of a pro rata portion of each item of Company income, including gross income and gain) shall be specifically allocated to such Member in an amount and manner sufficient to eliminate, to the extent required by the Treasury Regulations, the deficit in such Member’s Adjusted Capital Account Balance as quickly as possible. This Section 6.4(b)(i) is intended to comply with the qualified income offset provision in Section l.704-l(b)(2)(ii)(d) of the Treasury Regulations and shall be interpreted consistently therewith.</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Gross Income Allocation</w:t>
      </w:r>
      <w:r>
        <w:rPr>
          <w:rFonts w:ascii="Times New Roman" w:hAnsi="Times New Roman"/>
          <w:color w:val="000000"/>
          <w:sz w:val="20"/>
        </w:rPr>
        <w:t>. If any Member would otherwise have a deficit Adjusted Capital Account Balance as of the last day of any Fiscal Year or other period, individual items of income and gain of the Company shall be specifically allocated to such Member (in the manner specified in Section 6.4(b)(i)) so as to eliminate such deficit as quickly as possible.</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(iii) </w:t>
      </w:r>
      <w:r>
        <w:rPr>
          <w:rFonts w:ascii="Times New Roman" w:hAnsi="Times New Roman"/>
          <w:color w:val="000000"/>
          <w:sz w:val="20"/>
          <w:u w:val="single"/>
        </w:rPr>
        <w:t>Partnership Minimum Gain Chargeback</w:t>
      </w:r>
      <w:r>
        <w:rPr>
          <w:rFonts w:ascii="Times New Roman" w:hAnsi="Times New Roman"/>
          <w:color w:val="000000"/>
          <w:sz w:val="20"/>
        </w:rPr>
        <w:t>. If there is a net decrease in Partnership Minimum Gain during a Fiscal Year or other period, each Member shall be allocated items of Company gross income and gain for such Fiscal Year or other period (and, if necessary, subsequent Fiscal Years or periods) in proportion to, and to the extent of, such Member’s share of such net decrease, except to the extent such allocation would not be required by Section 1.704-2(f) of the Treasury Regulations. The amounts referred to in this Section 6.4(b)(iii), and the items to be so allocated shall be determined in accordance with Section 1.704-2 of the Treasury Regulations. This Section 6.4(b)(iii) is intended to constitute a “minimum gain chargeback” provision as described in Section 1.704-2(f) or 1.704-2(j)(2) of the Treasury Regulations and shall be interpreted consistently therewith.</w:t>
      </w:r>
    </w:p>
    <w:p>
      <w:pPr>
        <w:pStyle w:val="HorizontalLine"/>
        <w:pBdr>
          <w:bottom w:val="double" w:sz="2" w:space="0" w:color="808080"/>
        </w:pBdr>
        <w:bidi w:val="0"/>
        <w:spacing w:before="0" w:after="283"/>
        <w:jc w:val="left"/>
        <w:rPr/>
      </w:pPr>
      <w:r>
        <w:rPr/>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(iv) </w:t>
      </w:r>
      <w:r>
        <w:rPr>
          <w:rFonts w:ascii="Times New Roman" w:hAnsi="Times New Roman"/>
          <w:color w:val="000000"/>
          <w:sz w:val="20"/>
          <w:u w:val="single"/>
        </w:rPr>
        <w:t>Partner Nonrecourse Debt Minimum Gain Chargeback</w:t>
      </w:r>
      <w:r>
        <w:rPr>
          <w:rFonts w:ascii="Times New Roman" w:hAnsi="Times New Roman"/>
          <w:color w:val="000000"/>
          <w:sz w:val="20"/>
        </w:rPr>
        <w:t>. If there is a net decrease in Partner Nonrecourse Debt Minimum Gain during a Fiscal Year or other period, then each Member shall be allocated items of Company gross income or gain equal to such Member’s share of such net decrease, except to the extent such allocation would not be required under Section l.704-2(i)(4) or 1.704-2(j)(2) of the Treasury Regulations. The amounts referred to in this Section 6.4(b)(iv) and the items to be so allocated shall be determined in accordance with Section 1.704-2 of the Treasury Regulations. This Section 6.4(b)(iv) is intended to comply with the minimum gain chargeback requirement contained in Section 1.704-2(i)(4) of the Treasury Regulations and shall be interpreted consistently therewith.</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(v) </w:t>
      </w:r>
      <w:r>
        <w:rPr>
          <w:rFonts w:ascii="Times New Roman" w:hAnsi="Times New Roman"/>
          <w:color w:val="000000"/>
          <w:sz w:val="20"/>
          <w:u w:val="single"/>
        </w:rPr>
        <w:t>Limitations on Net Loss Allocations</w:t>
      </w:r>
      <w:r>
        <w:rPr>
          <w:rFonts w:ascii="Times New Roman" w:hAnsi="Times New Roman"/>
          <w:color w:val="000000"/>
          <w:sz w:val="20"/>
        </w:rPr>
        <w:t>. With respect to any Member, notwithstanding the provisions of Section 6.4(a), the amount of Net Losses for any Fiscal Year or other period that would otherwise be allocated to a Member under Section 6.4(a) shall not cause or increase a deficit Adjusted Capital Account Balance. Any Net Losses in excess of the limitation set forth in this Section 6.4(b)(v) shall be allocated among the Members, pro rata, to the extent each, respectively, is liable or exposed with respect to any debt or other obligations of the Company.</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(vi) </w:t>
      </w:r>
      <w:r>
        <w:rPr>
          <w:rFonts w:ascii="Times New Roman" w:hAnsi="Times New Roman"/>
          <w:color w:val="000000"/>
          <w:sz w:val="20"/>
          <w:u w:val="single"/>
        </w:rPr>
        <w:t>Partner Nonrecourse Deductions</w:t>
      </w:r>
      <w:r>
        <w:rPr>
          <w:rFonts w:ascii="Times New Roman" w:hAnsi="Times New Roman"/>
          <w:color w:val="000000"/>
          <w:sz w:val="20"/>
        </w:rPr>
        <w:t>. Partner nonrecourse deductions (as described in Section 1.704-2(i) of the Treasury Regulations) for any Fiscal Year or other period shall be specifically allocated to the Members who bear the economic risk of loss with respect to Partner Nonrecourse Debt to which such partner nonrecourse deductions are attributable in accordance with Section 1.704-2(i)(1) of the Treasury Regulations.</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(vii) </w:t>
      </w:r>
      <w:r>
        <w:rPr>
          <w:rFonts w:ascii="Times New Roman" w:hAnsi="Times New Roman"/>
          <w:color w:val="000000"/>
          <w:sz w:val="20"/>
          <w:u w:val="single"/>
        </w:rPr>
        <w:t>Nonrecourse Deductions</w:t>
      </w:r>
      <w:r>
        <w:rPr>
          <w:rFonts w:ascii="Times New Roman" w:hAnsi="Times New Roman"/>
          <w:color w:val="000000"/>
          <w:sz w:val="20"/>
        </w:rPr>
        <w:t>. Nonrecourse deductions (as described in Section 1.704-2(b) of the Treasury Regulations) for any Fiscal Year or other period shall be allocated to the Members in accordance with their relative Percentage Interests.</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(viii) </w:t>
      </w:r>
      <w:r>
        <w:rPr>
          <w:rFonts w:ascii="Times New Roman" w:hAnsi="Times New Roman"/>
          <w:color w:val="000000"/>
          <w:sz w:val="20"/>
          <w:u w:val="single"/>
        </w:rPr>
        <w:t>Excess Nonrecourse Liabilities</w:t>
      </w:r>
      <w:r>
        <w:rPr>
          <w:rFonts w:ascii="Times New Roman" w:hAnsi="Times New Roman"/>
          <w:color w:val="000000"/>
          <w:sz w:val="20"/>
        </w:rPr>
        <w:t>. If the built-in gain in Company assets subject to Nonrecourse Debts exceeds the gain described in Section 1.752-3(a)(2) of the Treasury Regulations, the Excess Nonrecourse Liabilities shall be allocated among the Members in accordance with their relative Percentage Interests.</w:t>
      </w:r>
    </w:p>
    <w:p>
      <w:pPr>
        <w:pStyle w:val="TextBody"/>
        <w:bidi w:val="0"/>
        <w:jc w:val="left"/>
        <w:rPr>
          <w:rFonts w:ascii="Times New Roman" w:hAnsi="Times New Roman"/>
          <w:sz w:val="20"/>
        </w:rPr>
      </w:pPr>
      <w:r>
        <w:rPr>
          <w:rFonts w:ascii="Times New Roman" w:hAnsi="Times New Roman"/>
          <w:color w:val="000000"/>
          <w:sz w:val="20"/>
        </w:rPr>
        <w:t xml:space="preserve">(ix) </w:t>
      </w:r>
      <w:r>
        <w:rPr>
          <w:rFonts w:ascii="Times New Roman" w:hAnsi="Times New Roman"/>
          <w:color w:val="000000"/>
          <w:sz w:val="20"/>
          <w:u w:val="single"/>
        </w:rPr>
        <w:t>Ordering Rules</w:t>
      </w:r>
      <w:r>
        <w:rPr>
          <w:rFonts w:ascii="Times New Roman" w:hAnsi="Times New Roman"/>
          <w:color w:val="000000"/>
          <w:sz w:val="20"/>
        </w:rPr>
        <w:t>. Anything contained in this Agreement to the contrary notwithstanding, allocations for any Fiscal Period or other period of nonrecourse deductions (as described in Section 1.704-2(b) of the Treasury Regulations) or partner nonrecourse deductions (as described in Section 1.704-2(i) of the Treasury Regulations), or of items required to be allocated pursuant to the minimum gain chargeback requirements contained in Sections 6.4(b)(iii) and 6.4(b)(iv), shall be made before any other allocations hereunder.</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(x) </w:t>
      </w:r>
      <w:r>
        <w:rPr>
          <w:rFonts w:ascii="Times New Roman" w:hAnsi="Times New Roman"/>
          <w:color w:val="000000"/>
          <w:sz w:val="20"/>
          <w:u w:val="single"/>
        </w:rPr>
        <w:t>Special Allocation</w:t>
      </w:r>
      <w:r>
        <w:rPr>
          <w:rFonts w:ascii="Times New Roman" w:hAnsi="Times New Roman"/>
          <w:color w:val="000000"/>
          <w:sz w:val="20"/>
        </w:rPr>
        <w:t>. If, for federal income tax purposes, the Company is deemed to have made a deductible payment to a Member that is not actually paid, then notwithstanding Section 6.4(a), the deduction attributable to such payment shall be specially allocated to such Member.</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Curative Provisions</w:t>
      </w:r>
      <w:r>
        <w:rPr>
          <w:rFonts w:ascii="Times New Roman" w:hAnsi="Times New Roman"/>
          <w:color w:val="000000"/>
          <w:sz w:val="20"/>
        </w:rPr>
        <w:t>. The allocations set forth in Section 6.4(b)(i)-(viii) (the “</w:t>
      </w:r>
      <w:r>
        <w:rPr>
          <w:rFonts w:ascii="Times New Roman" w:hAnsi="Times New Roman"/>
          <w:b/>
          <w:color w:val="000000"/>
          <w:sz w:val="20"/>
          <w:u w:val="single"/>
        </w:rPr>
        <w:t>Regulatory Allocations</w:t>
      </w:r>
      <w:r>
        <w:rPr>
          <w:rFonts w:ascii="Times New Roman" w:hAnsi="Times New Roman"/>
          <w:color w:val="000000"/>
          <w:sz w:val="20"/>
        </w:rPr>
        <w:t>”) are intended to comply with certain requirements of Section 1.704-1(b) and 1.704-2 of the Treasury Regulations. The Regulatory Allocations may not be consistent with the manner in which the Members intend to allocate Net Income and Net Losses or make Company contributions. Accordingly, notwithstanding the other provisions of this Agreement, but subject to the Regulatory Allocations, Members shall reallocate items of income, gain, deductions and loss among the Members so as to eliminate the effect of the Regulatory Allocations and thereby cause the respective Capital Accounts of the Members to be in the amounts (or as close thereto as possible) they would have been if Net Income and Net Losses (and such other items of income, gain, deduction and loss) had been allocated without reference to the Regulatory Allocations. In general, the Members anticipate that this will be accomplished by specially allocating other Net Income and Net Losses (and such other items of income, gain, deduction and loss) among the Members so that the net amount of the Regulatory Allocations and such special allocations to each such Member is zero. In addition, if in any Fiscal Year or other period there is a decrease in Partnership Minimum Gain, or in Partner Nonrecourse Debt Minimum Gain, and application of the minimum gain chargeback requirements set forth in this Section 6.4 would cause a distortion in the economic arrangement among the Members, the Manager may, if it does not expect that the Company will have sufficient other income to correct such distortion, request the Internal Revenue Service to waive either or both of such minimum gain chargeback requirements. If such request is granted, this Agreement shall be applied in such instance as if it did not contain such minimum gain chargeback requirements.</w:t>
      </w:r>
    </w:p>
    <w:p>
      <w:pPr>
        <w:pStyle w:val="HorizontalLine"/>
        <w:pBdr>
          <w:bottom w:val="double" w:sz="2" w:space="0" w:color="808080"/>
        </w:pBdr>
        <w:bidi w:val="0"/>
        <w:spacing w:before="0" w:after="283"/>
        <w:jc w:val="left"/>
        <w:rPr/>
      </w:pPr>
      <w:r>
        <w:rPr/>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6.5 </w:t>
      </w:r>
      <w:r>
        <w:rPr>
          <w:rFonts w:ascii="Times New Roman" w:hAnsi="Times New Roman"/>
          <w:b/>
          <w:color w:val="000000"/>
          <w:sz w:val="20"/>
          <w:u w:val="single"/>
        </w:rPr>
        <w:t>Allocations of Net Income and Net Losses for Federal Income Tax Purposes</w:t>
      </w:r>
      <w:r>
        <w:rPr>
          <w:rFonts w:ascii="Times New Roman" w:hAnsi="Times New Roman"/>
          <w:color w:val="000000"/>
          <w:sz w:val="20"/>
        </w:rPr>
        <w:t>. The Company’s ordinary income and losses and capital gains and losses as determined for federal income tax purposes (and each item of income, gain, loss or deduction entering into the computation thereof) shall be allocated to the Members in the same proportions as the corresponding “book” items are allocated pursuant to Section 6.4 of this Agreement. Notwithstanding the foregoing sentence, federal income tax items relating to any Section 704(c) Property shall be allocated among the Members in accordance with Section 704(c) of the Code and Treasury Regulations Section 1.704-1(b)(2)(iv)(g) to take into account the difference between the fair market value and the tax basis of such Section 704(c) Property using any method approved by the Manager and prescribed under Treasury Regulations corresponding to Section 704(c) of the Code. Items described in this Section 6.5 shall neither be credited nor charged to the Members’ Capital Accounts.</w:t>
      </w:r>
    </w:p>
    <w:p>
      <w:pPr>
        <w:pStyle w:val="TextBody"/>
        <w:bidi w:val="0"/>
        <w:jc w:val="left"/>
        <w:rPr>
          <w:rFonts w:ascii="Times New Roman" w:hAnsi="Times New Roman"/>
          <w:sz w:val="20"/>
        </w:rPr>
      </w:pPr>
      <w:r>
        <w:rPr>
          <w:rFonts w:ascii="Times New Roman" w:hAnsi="Times New Roman"/>
          <w:b/>
          <w:color w:val="000000"/>
          <w:sz w:val="20"/>
        </w:rPr>
        <w:t xml:space="preserve">6.6 </w:t>
      </w:r>
      <w:r>
        <w:rPr>
          <w:rFonts w:ascii="Times New Roman" w:hAnsi="Times New Roman"/>
          <w:b/>
          <w:color w:val="000000"/>
          <w:sz w:val="20"/>
          <w:u w:val="single"/>
        </w:rPr>
        <w:t>Elections</w:t>
      </w:r>
      <w:r>
        <w:rPr>
          <w:rFonts w:ascii="Times New Roman" w:hAnsi="Times New Roman"/>
          <w:color w:val="000000"/>
          <w:sz w:val="20"/>
        </w:rPr>
        <w:t xml:space="preserve">. Except as otherwise expressly provided herein, all elections required or permitted to be made by the Company under the Code or other applicable tax law, and all decisions with respect to the calculation of its taxable income or tax loss under the Code or other applicable tax law, shall be made in such manner as may be reasonably determined by the Manager; </w:t>
      </w:r>
      <w:r>
        <w:rPr>
          <w:rFonts w:ascii="Times New Roman" w:hAnsi="Times New Roman"/>
          <w:color w:val="000000"/>
          <w:sz w:val="20"/>
          <w:u w:val="single"/>
        </w:rPr>
        <w:t>provided</w:t>
      </w:r>
      <w:r>
        <w:rPr>
          <w:rFonts w:ascii="Times New Roman" w:hAnsi="Times New Roman"/>
          <w:color w:val="000000"/>
          <w:sz w:val="20"/>
        </w:rPr>
        <w:t xml:space="preserve"> that the Company shall make (i) the election to amortize organizational expenses pursuant to Section 709 of the Code and the regulations promulgated thereunder, and (ii) the TEFRA Election as provided in Section 6.2.</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6.7 </w:t>
      </w:r>
      <w:r>
        <w:rPr>
          <w:rFonts w:ascii="Times New Roman" w:hAnsi="Times New Roman"/>
          <w:b/>
          <w:color w:val="000000"/>
          <w:sz w:val="20"/>
          <w:u w:val="single"/>
        </w:rPr>
        <w:t>Tax Year</w:t>
      </w:r>
      <w:r>
        <w:rPr>
          <w:rFonts w:ascii="Times New Roman" w:hAnsi="Times New Roman"/>
          <w:color w:val="000000"/>
          <w:sz w:val="20"/>
        </w:rPr>
        <w:t>. The taxable year of the Company shall be the same as its Fiscal Year.</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6.8 </w:t>
      </w:r>
      <w:r>
        <w:rPr>
          <w:rFonts w:ascii="Times New Roman" w:hAnsi="Times New Roman"/>
          <w:b/>
          <w:color w:val="000000"/>
          <w:sz w:val="20"/>
          <w:u w:val="single"/>
        </w:rPr>
        <w:t>Withholding Requirements</w:t>
      </w:r>
      <w:r>
        <w:rPr>
          <w:rFonts w:ascii="Times New Roman" w:hAnsi="Times New Roman"/>
          <w:color w:val="000000"/>
          <w:sz w:val="20"/>
        </w:rPr>
        <w:t xml:space="preserve">. Notwithstanding any provision herein to the contrary, the Manager is authorized to take any and all actions that it determines to be necessary or appropriate to ensure that the Company satisfies any and all withholding and tax payment obligations under Section 1441, 1445, 1446 or any other provision of the Code or other applicable law. Without limiting the generality of the foregoing, the Manager may withhold from distributions the amount that it determines is required to be withheld from the amount otherwise distributable to any Member pursuant to Article 5;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such amount shall be deemed to have been distributed to such Member for purposes of applying Article 5 and this Article 6. The Manager will not withhold any amounts from cash or other property distributable to any Member to satisfy any withholding and tax payment obligations to the extent that such Member demonstrates to the Manager’s satisfaction that such Member is not subject to such withholding and tax payment obligation. In the event that the Manager withholds or pays tax in respect of any Member for any period in excess of the amount of cash or other property otherwise distributable to such Member for such period (or there is a determination by any taxing authority that the Company should have withheld or paid any tax for any period in excess of the tax, if any, that it actually withheld or paid for such period), such excess amount (or such additional amount) shall be treated as a recourse loan to such Member that shall bear interest at the rate of ten percent per annum and be payable on demand.</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6.9 </w:t>
      </w:r>
      <w:r>
        <w:rPr>
          <w:rFonts w:ascii="Times New Roman" w:hAnsi="Times New Roman"/>
          <w:b/>
          <w:color w:val="000000"/>
          <w:sz w:val="20"/>
          <w:u w:val="single"/>
        </w:rPr>
        <w:t>Reports to Members</w:t>
      </w:r>
      <w:r>
        <w:rPr>
          <w:rFonts w:ascii="Times New Roman" w:hAnsi="Times New Roman"/>
          <w:color w:val="000000"/>
          <w:sz w:val="20"/>
        </w:rPr>
        <w:t>.</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(a) The books of account and records of the Company shall be audited as of the end of each Fiscal Year by the Company’s independent public accountants.</w:t>
      </w:r>
    </w:p>
    <w:p>
      <w:pPr>
        <w:pStyle w:val="TextBody"/>
        <w:bidi w:val="0"/>
        <w:spacing w:before="180" w:after="45"/>
        <w:jc w:val="left"/>
        <w:rPr>
          <w:rFonts w:ascii="Times New Roman" w:hAnsi="Times New Roman"/>
          <w:sz w:val="20"/>
        </w:rPr>
      </w:pPr>
      <w:r>
        <w:rPr>
          <w:rFonts w:ascii="Times New Roman" w:hAnsi="Times New Roman"/>
          <w:color w:val="000000"/>
          <w:sz w:val="20"/>
        </w:rPr>
        <w:t>(b) Within 60 calendar days after the end of each Fiscal Period of each Fiscal Year of the Company (or the next Business Day if the 60</w:t>
      </w:r>
      <w:r>
        <w:rPr>
          <w:rFonts w:ascii="Times New Roman" w:hAnsi="Times New Roman"/>
          <w:color w:val="000000"/>
          <w:sz w:val="10"/>
        </w:rPr>
        <w:t>th</w:t>
      </w:r>
      <w:r>
        <w:rPr>
          <w:rFonts w:ascii="Times New Roman" w:hAnsi="Times New Roman"/>
          <w:color w:val="000000"/>
          <w:sz w:val="20"/>
        </w:rPr>
        <w:t xml:space="preserve"> calendar day is not a Business Day), the Company shall send to each Person who was a Member during such period an unaudited report setting forth the following as of the end of such Fiscal Period:</w:t>
      </w:r>
    </w:p>
    <w:p>
      <w:pPr>
        <w:pStyle w:val="TextBody"/>
        <w:bidi w:val="0"/>
        <w:spacing w:before="135" w:after="283"/>
        <w:jc w:val="left"/>
        <w:rPr>
          <w:rFonts w:ascii="Times New Roman" w:hAnsi="Times New Roman"/>
          <w:color w:val="000000"/>
          <w:sz w:val="20"/>
        </w:rPr>
      </w:pPr>
      <w:r>
        <w:rPr>
          <w:rFonts w:ascii="Times New Roman" w:hAnsi="Times New Roman"/>
          <w:color w:val="000000"/>
          <w:sz w:val="20"/>
        </w:rPr>
        <w:t>(i) unless such Fiscal Period is the last Fiscal Period of the Fiscal Year, an unaudited balance sheet as of the end of such period;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(ii) unless such Fiscal Period is the last Fiscal Period of the Fiscal Year, an unaudited income statement of the Company for such period;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(iii) a statement of each Member’s Capital Account;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(iv) a summary of the Company’s activities during such period;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(v) a cash flow statement.</w:t>
      </w:r>
    </w:p>
    <w:p>
      <w:pPr>
        <w:pStyle w:val="HorizontalLine"/>
        <w:pBdr>
          <w:bottom w:val="double" w:sz="2" w:space="0" w:color="808080"/>
        </w:pBdr>
        <w:bidi w:val="0"/>
        <w:spacing w:before="0" w:after="283"/>
        <w:jc w:val="left"/>
        <w:rPr/>
      </w:pPr>
      <w:r>
        <w:rPr/>
      </w:r>
    </w:p>
    <w:p>
      <w:pPr>
        <w:pStyle w:val="TextBody"/>
        <w:bidi w:val="0"/>
        <w:spacing w:before="0" w:after="45"/>
        <w:jc w:val="left"/>
        <w:rPr>
          <w:rFonts w:ascii="Times New Roman" w:hAnsi="Times New Roman"/>
          <w:sz w:val="20"/>
        </w:rPr>
      </w:pPr>
      <w:r>
        <w:rPr>
          <w:rFonts w:ascii="Times New Roman" w:hAnsi="Times New Roman"/>
          <w:color w:val="000000"/>
          <w:sz w:val="20"/>
        </w:rPr>
        <w:t>(c) Within 100 calendar days after the end of each Fiscal Year of the Company (or the next Business Day if the 100</w:t>
      </w:r>
      <w:r>
        <w:rPr>
          <w:rFonts w:ascii="Times New Roman" w:hAnsi="Times New Roman"/>
          <w:color w:val="000000"/>
          <w:sz w:val="10"/>
        </w:rPr>
        <w:t>th</w:t>
      </w:r>
      <w:r>
        <w:rPr>
          <w:rFonts w:ascii="Times New Roman" w:hAnsi="Times New Roman"/>
          <w:color w:val="000000"/>
          <w:sz w:val="20"/>
        </w:rPr>
        <w:t xml:space="preserve"> calendar day is not a Business Day), the Company shall send to each Person who was a Member during such period an audited report setting forth the following as of the end of such Fiscal Year:</w:t>
      </w:r>
    </w:p>
    <w:p>
      <w:pPr>
        <w:pStyle w:val="TextBody"/>
        <w:bidi w:val="0"/>
        <w:spacing w:before="45" w:after="283"/>
        <w:jc w:val="left"/>
        <w:rPr>
          <w:rFonts w:ascii="Times New Roman" w:hAnsi="Times New Roman"/>
          <w:color w:val="000000"/>
          <w:sz w:val="20"/>
        </w:rPr>
      </w:pPr>
      <w:r>
        <w:rPr>
          <w:rFonts w:ascii="Times New Roman" w:hAnsi="Times New Roman"/>
          <w:color w:val="000000"/>
          <w:sz w:val="20"/>
        </w:rPr>
        <w:t>(i) an audited balance sheet as of the end of such Fiscal Year;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(ii) an audited income statement of the Company for such Fiscal Year;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(iii) a statement of each Member’s Capital Account;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(iv) a cash flow statement.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 The Company shall provide each Member with monthly “flash reports.”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 With reasonable promptness, the Manager will deliver such other information available to the Manager, including financial statements and computations, as any Member may from time to time reasonably request in order to comply with regulatory requirements, including reporting requirements, to which such Member is subject.</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6.10 </w:t>
      </w:r>
      <w:r>
        <w:rPr>
          <w:rFonts w:ascii="Times New Roman" w:hAnsi="Times New Roman"/>
          <w:b/>
          <w:color w:val="000000"/>
          <w:sz w:val="20"/>
          <w:u w:val="single"/>
        </w:rPr>
        <w:t>Auditors</w:t>
      </w:r>
      <w:r>
        <w:rPr>
          <w:rFonts w:ascii="Times New Roman" w:hAnsi="Times New Roman"/>
          <w:color w:val="000000"/>
          <w:sz w:val="20"/>
        </w:rPr>
        <w:t>. The auditors of the Company shall be Deloitte &amp; Touche LLP, unless otherwise determined by the Manager.</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6.11 </w:t>
      </w:r>
      <w:r>
        <w:rPr>
          <w:rFonts w:ascii="Times New Roman" w:hAnsi="Times New Roman"/>
          <w:b/>
          <w:color w:val="000000"/>
          <w:sz w:val="20"/>
          <w:u w:val="single"/>
        </w:rPr>
        <w:t>Transfers During Year</w:t>
      </w:r>
      <w:r>
        <w:rPr>
          <w:rFonts w:ascii="Times New Roman" w:hAnsi="Times New Roman"/>
          <w:color w:val="000000"/>
          <w:sz w:val="20"/>
        </w:rPr>
        <w:t>. In order to avoid an interim closing of the Company’s books, the allocation of Net Income and Net Losses under this Article 6 between a Member who Transfers part or all of its Interest in the Company during the Company’s Fiscal Year and such Member’s transferee, or to a Member whose Percentage Interest varies during the course of the Company’s Fiscal Year, may be determined pursuant to any method chosen by the Manager.</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6.12 </w:t>
      </w:r>
      <w:r>
        <w:rPr>
          <w:rFonts w:ascii="Times New Roman" w:hAnsi="Times New Roman"/>
          <w:b/>
          <w:color w:val="000000"/>
          <w:sz w:val="20"/>
          <w:u w:val="single"/>
        </w:rPr>
        <w:t>Code Section 754 Election</w:t>
      </w:r>
      <w:r>
        <w:rPr>
          <w:rFonts w:ascii="Times New Roman" w:hAnsi="Times New Roman"/>
          <w:color w:val="000000"/>
          <w:sz w:val="20"/>
        </w:rPr>
        <w:t>. Pursuant to the Tax Receivable Agreement, the Company shall make the election provided for under Code Section 754.</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ARTICLE 7</w:t>
      </w:r>
    </w:p>
    <w:p>
      <w:pPr>
        <w:pStyle w:val="TextBody"/>
        <w:bidi w:val="0"/>
        <w:spacing w:before="180" w:after="283"/>
        <w:jc w:val="center"/>
        <w:rPr>
          <w:rFonts w:ascii="Times New Roman" w:hAnsi="Times New Roman"/>
          <w:b/>
          <w:color w:val="000000"/>
          <w:sz w:val="20"/>
          <w:u w:val="single"/>
        </w:rPr>
      </w:pPr>
      <w:r>
        <w:rPr>
          <w:rFonts w:ascii="Times New Roman" w:hAnsi="Times New Roman"/>
          <w:b/>
          <w:color w:val="000000"/>
          <w:sz w:val="20"/>
          <w:u w:val="single"/>
        </w:rPr>
        <w:t>DISSOLUTION</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7.1 </w:t>
      </w:r>
      <w:r>
        <w:rPr>
          <w:rFonts w:ascii="Times New Roman" w:hAnsi="Times New Roman"/>
          <w:b/>
          <w:color w:val="000000"/>
          <w:sz w:val="20"/>
          <w:u w:val="single"/>
        </w:rPr>
        <w:t>Dissolution</w:t>
      </w:r>
      <w:r>
        <w:rPr>
          <w:rFonts w:ascii="Times New Roman" w:hAnsi="Times New Roman"/>
          <w:color w:val="000000"/>
          <w:sz w:val="20"/>
        </w:rPr>
        <w:t>.</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(a) The Company shall be dissolved and subsequently terminated upon the occurrence of the first of the following events: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(i) the unanimous decision of the Members that then hold Common Units to dissolve the Company;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(ii) the entry of a decree of judicial dissolution of the Company pursuant to § 18-802 of the LLC Act; or</w:t>
      </w:r>
    </w:p>
    <w:p>
      <w:pPr>
        <w:pStyle w:val="TextBody"/>
        <w:bidi w:val="0"/>
        <w:jc w:val="left"/>
        <w:rPr>
          <w:rFonts w:ascii="Times New Roman" w:hAnsi="Times New Roman"/>
          <w:color w:val="000000"/>
          <w:sz w:val="20"/>
        </w:rPr>
      </w:pPr>
      <w:r>
        <w:rPr>
          <w:rFonts w:ascii="Times New Roman" w:hAnsi="Times New Roman"/>
          <w:color w:val="000000"/>
          <w:sz w:val="20"/>
        </w:rPr>
        <w:t>(iii) the termination of the legal existence of the last remaining Member or the occurrence of any other event that causes the last remaining Member to cease to be a Member of the Company, unless the Company is continued without dissolution pursuant to Section 7.1(b).</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Upon the occurrence of any event that causes the last remaining Member of the Company to cease to be a Member of the Company (other than upon continuation of the Company without dissolution upon an assignment by the Member of all of its Interest in the Company and the admission of the transferee as a Member pursuant to Section 8.2), to the fullest extent permitted by law, the personal representative of such Member is hereby authorized to, and shall, within 90 days after the occurrence of the event that terminated the continued membership of such Member in the Company, agree in writing (i) to continue the Company and (ii) to the admission of the personal representative or its nominee or designee, as the case may be, as a substitute Member of the Company, effective as of the occurrence of the event that terminated the continued membership of such Member in the Company.</w:t>
      </w:r>
    </w:p>
    <w:p>
      <w:pPr>
        <w:pStyle w:val="HorizontalLine"/>
        <w:pBdr>
          <w:bottom w:val="double" w:sz="2" w:space="0" w:color="808080"/>
        </w:pBdr>
        <w:bidi w:val="0"/>
        <w:spacing w:before="0" w:after="283"/>
        <w:jc w:val="left"/>
        <w:rPr/>
      </w:pPr>
      <w:r>
        <w:rPr/>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 Notwithstanding any other provision of this Agreement, the bankruptcy (as defined in §§ 18-101(1) and 18-304 of the LLC Act) of a Member shall not cause the Member to cease to be a Member of the Company and upon the occurrence of such an event, the Company shall continue without dissolution.</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7.2 </w:t>
      </w:r>
      <w:r>
        <w:rPr>
          <w:rFonts w:ascii="Times New Roman" w:hAnsi="Times New Roman"/>
          <w:b/>
          <w:color w:val="000000"/>
          <w:sz w:val="20"/>
          <w:u w:val="single"/>
        </w:rPr>
        <w:t>Winding-Up</w:t>
      </w:r>
      <w:r>
        <w:rPr>
          <w:rFonts w:ascii="Times New Roman" w:hAnsi="Times New Roman"/>
          <w:color w:val="000000"/>
          <w:sz w:val="20"/>
        </w:rPr>
        <w:t>. When the Company is dissolved, the business and property of the Company shall be wound up in an orderly manner by the Manager or by a liquidating trustee as may be appointed by the Manager (the Manager or such liquidating trustee, as the case may be, the “</w:t>
      </w:r>
      <w:r>
        <w:rPr>
          <w:rFonts w:ascii="Times New Roman" w:hAnsi="Times New Roman"/>
          <w:b/>
          <w:color w:val="000000"/>
          <w:sz w:val="20"/>
          <w:u w:val="single"/>
        </w:rPr>
        <w:t>Liquidator</w:t>
      </w:r>
      <w:r>
        <w:rPr>
          <w:rFonts w:ascii="Times New Roman" w:hAnsi="Times New Roman"/>
          <w:color w:val="000000"/>
          <w:sz w:val="20"/>
        </w:rPr>
        <w:t>”). If the Members are unable to agree with respect to the distribution of any Company assets, then the Liquidator shall use its reasonable best efforts to reduce to cash and Cash Equivalents such assets of the Company as the Liquidator shall deem it advisable to sell, subject to obtaining fair market value for such assets and any tax or other legal considerations. No Member shall take any action (with respect to the Company) that is inconsistent with, or not necessary to or appropriate for, the winding up of the Company’s business and affairs.</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7.3 </w:t>
      </w:r>
      <w:r>
        <w:rPr>
          <w:rFonts w:ascii="Times New Roman" w:hAnsi="Times New Roman"/>
          <w:b/>
          <w:color w:val="000000"/>
          <w:sz w:val="20"/>
          <w:u w:val="single"/>
        </w:rPr>
        <w:t>Final Distribution</w:t>
      </w:r>
      <w:r>
        <w:rPr>
          <w:rFonts w:ascii="Times New Roman" w:hAnsi="Times New Roman"/>
          <w:color w:val="000000"/>
          <w:sz w:val="20"/>
        </w:rPr>
        <w:t>.</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(a) As soon as reasonable following the event that caused the dissolution of the Company, the assets of the Company shall be applied in the following manner and order:</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(i) to pay the expenses of the winding-up, liquidation and dissolution of the Company, and all creditors of the Company, other than Members, either by actual payment or by making a reasonable provision therefor, in the manner, and in the order of priority, set forth in § 18-804 of the LLC Act;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(ii) to pay, in accordance with the provisions of this Agreement, on a pro rata basis, the debts payable to all creditors of the Company that are Members, either by actual payment or by making a reasonable provision therefor;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(iii) to distribute the remaining assets of the Company to the Members in accordance with Section 5.4(b), taking into account all adjustments to Capital Accounts or offsets required under this Agreement through the date of distribution.</w:t>
      </w:r>
    </w:p>
    <w:p>
      <w:pPr>
        <w:pStyle w:val="TextBody"/>
        <w:bidi w:val="0"/>
        <w:jc w:val="left"/>
        <w:rPr>
          <w:rFonts w:ascii="Times New Roman" w:hAnsi="Times New Roman"/>
          <w:color w:val="000000"/>
          <w:sz w:val="20"/>
        </w:rPr>
      </w:pPr>
      <w:r>
        <w:rPr>
          <w:rFonts w:ascii="Times New Roman" w:hAnsi="Times New Roman"/>
          <w:color w:val="000000"/>
          <w:sz w:val="20"/>
        </w:rPr>
        <w:t>(b) If any Member has a deficit balance in its Capital Account in excess of any unpaid Capital Contributions (if any), such Member shall have no obligation to make any Capital Contribution to the Company with respect to such deficit, and such deficit shall not be considered a debt owed to the Company or to any other Person for any purpose whatsoever.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 Each Member shall look solely to the assets of the Company for the amounts distributable to it hereunder and shall have no right or power to demand or receive property therefor from any other Member.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 The Company shall terminate when (i) all of the assets of the Company, after payment of or due provision for all debts, liabilities and obligations of the Company shall have been distributed to the Member in the manner provided for in this Agreement, and (ii) the Certificate shall have been canceled in the manner required by the LLC Act.</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ARTICLE 8</w:t>
      </w:r>
    </w:p>
    <w:p>
      <w:pPr>
        <w:pStyle w:val="TextBody"/>
        <w:bidi w:val="0"/>
        <w:spacing w:before="180" w:after="283"/>
        <w:jc w:val="center"/>
        <w:rPr>
          <w:rFonts w:ascii="Times New Roman" w:hAnsi="Times New Roman"/>
          <w:b/>
          <w:color w:val="000000"/>
          <w:sz w:val="20"/>
          <w:u w:val="single"/>
        </w:rPr>
      </w:pPr>
      <w:r>
        <w:rPr>
          <w:rFonts w:ascii="Times New Roman" w:hAnsi="Times New Roman"/>
          <w:b/>
          <w:color w:val="000000"/>
          <w:sz w:val="20"/>
          <w:u w:val="single"/>
        </w:rPr>
        <w:t>TRANSFER; SUBSTITUTION; ADJUSTMENTS</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8.1 </w:t>
      </w:r>
      <w:r>
        <w:rPr>
          <w:rFonts w:ascii="Times New Roman" w:hAnsi="Times New Roman"/>
          <w:b/>
          <w:color w:val="000000"/>
          <w:sz w:val="20"/>
          <w:u w:val="single"/>
        </w:rPr>
        <w:t>Restrictions on Transfer</w:t>
      </w:r>
      <w:r>
        <w:rPr>
          <w:rFonts w:ascii="Times New Roman" w:hAnsi="Times New Roman"/>
          <w:color w:val="000000"/>
          <w:sz w:val="20"/>
        </w:rPr>
        <w:t>.</w:t>
      </w:r>
    </w:p>
    <w:p>
      <w:pPr>
        <w:pStyle w:val="TextBody"/>
        <w:bidi w:val="0"/>
        <w:spacing w:before="90" w:after="283"/>
        <w:jc w:val="left"/>
        <w:rPr>
          <w:rFonts w:ascii="Times New Roman" w:hAnsi="Times New Roman"/>
          <w:sz w:val="20"/>
        </w:rPr>
      </w:pPr>
      <w:r>
        <w:rPr>
          <w:rFonts w:ascii="Times New Roman" w:hAnsi="Times New Roman"/>
          <w:color w:val="000000"/>
          <w:sz w:val="20"/>
        </w:rPr>
        <w:t>(a) Notwithstanding anything contained herein to the contrary, each Member may, subject to Section 8.1(b), Section 8.1(c) and Article 9 (in the case of a Transfer pursuant to a Member’s exercise of its Redemption Right), Transfer any or all of its Units. It is a condition to any Transfer by a Member (the “</w:t>
      </w:r>
      <w:r>
        <w:rPr>
          <w:rFonts w:ascii="Times New Roman" w:hAnsi="Times New Roman"/>
          <w:b/>
          <w:color w:val="000000"/>
          <w:sz w:val="20"/>
          <w:u w:val="single"/>
        </w:rPr>
        <w:t>Transferring Member</w:t>
      </w:r>
      <w:r>
        <w:rPr>
          <w:rFonts w:ascii="Times New Roman" w:hAnsi="Times New Roman"/>
          <w:color w:val="000000"/>
          <w:sz w:val="20"/>
        </w:rPr>
        <w:t xml:space="preserve">”) otherwise permitted hereunder that the transferee (i) agrees to become a party to, and be bound by the terms of, this Agreement to the same extent as the Transferring Member, and (ii) assumes by operation of law or express agreement all of the obligations of the Transferring Member under this Agreement or to which such Transferring Member is a party with respect to such Transferred Units or other Equity Interests in the Company. Notwithstanding the foregoing, any transferee of any Transferred Units or other Equity Interests in the Company shall be subject to any and all ownership limitations contained in this Agreement or any other agreement with the Company to which </w:t>
      </w:r>
    </w:p>
    <w:p>
      <w:pPr>
        <w:pStyle w:val="HorizontalLine"/>
        <w:pBdr>
          <w:bottom w:val="double" w:sz="2" w:space="0" w:color="808080"/>
        </w:pBdr>
        <w:bidi w:val="0"/>
        <w:spacing w:before="0" w:after="283"/>
        <w:jc w:val="left"/>
        <w:rPr/>
      </w:pPr>
      <w:r>
        <w:rPr/>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such Transferring Member is a party. Any transferee, whether or not admitted as a Member, shall take subject to the obligations of the transferor hereunder.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In addition to any other restrictions on Transfer herein contained, including, without limitation, the provisions of this Article 8, any purported Transfer or assignment of a Unit or other Equity Interests in the Company by any Member made in the following events shall be void ab initio:</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(i) to any Person who lacks the legal right, power or capacity to own Units;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(ii) if such Transfer would cause the Company to become, with respect to any employee benefit plan subject to Title I of ERISA, a “party-in-interest” (as defined in Section 3(14) of ERISA) or a “disqualified person” (as defined in Section 4975(c) of the Code);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(iii) if such Transfer would, in the opinion of counsel to the Company, cause any portion of the assets of the Company to constitute assets of any employee benefit plan pursuant to Department of Labor Regulations Section 2510.3-101;</w:t>
      </w:r>
    </w:p>
    <w:p>
      <w:pPr>
        <w:pStyle w:val="TextBody"/>
        <w:bidi w:val="0"/>
        <w:jc w:val="left"/>
        <w:rPr>
          <w:rFonts w:ascii="Times New Roman" w:hAnsi="Times New Roman"/>
          <w:color w:val="000000"/>
          <w:sz w:val="20"/>
        </w:rPr>
      </w:pPr>
      <w:r>
        <w:rPr>
          <w:rFonts w:ascii="Times New Roman" w:hAnsi="Times New Roman"/>
          <w:color w:val="000000"/>
          <w:sz w:val="20"/>
        </w:rPr>
        <w:t>(iv) if such Transfer requires the registration of such Units pursuant to any applicable federal, state or foreign securities laws or would otherwise violate any federal, state or foreign securities laws or regulations applicable to the Company or the Units;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(v) if such Transfer is effectuated through an “established securities market” or a “secondary market (or the substantial equivalent thereof)” within the meaning of Section 7704 of the Code or such Transfer would result in a materially increased risk that the Company would he treated as a “publicly traded partnership,” as such term is defined in Sections 469(k)(2) or 7704(b) of the Code;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(vi) if such Transfer subjects the Company to be regulated under the Investment Company Act of 1940, the Investment Advisors Act of 1940 or ERISA, each as amended;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(vii) if such Transfer may cause the Company to cease to be classified as a partnership for federal or state income tax purposes;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(viii) if such Transfer violates any applicable laws; or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(ix) if the Company does not receive written instruments (including without limitation, copies of any instruments of Transfer and such assignee’s consent to be bound by this Agreement as an assignee) that are in a form satisfactory to the Manager (in its sole and absolute discretion).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 A Transferring Member shall, unless otherwise determined by the Company, (i) deliver to the Company, between ten (10) days and thirty (30) days before the Transfer, a validly executed, complete and accurate IRS Form W-9 or (ii) ensure that, contemporaneously with the Transfer, the transferee of such interest properly withholds and remits to the IRS the amount of tax required to be withheld upon the Transfer by Section 1446(f) of the Code (and promptly provide evidence to the Company of such withholding and remittance). A Transferring Member and the transferee of such Units shall jointly and severally indemnify and hold harmless the Company against any loss (including taxes, interest, penalties, and any related expenses) arising out of such Transfer.</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8.2 </w:t>
      </w:r>
      <w:r>
        <w:rPr>
          <w:rFonts w:ascii="Times New Roman" w:hAnsi="Times New Roman"/>
          <w:b/>
          <w:color w:val="000000"/>
          <w:sz w:val="20"/>
          <w:u w:val="single"/>
        </w:rPr>
        <w:t>Substituted Members</w:t>
      </w:r>
      <w:r>
        <w:rPr>
          <w:rFonts w:ascii="Times New Roman" w:hAnsi="Times New Roman"/>
          <w:color w:val="000000"/>
          <w:sz w:val="20"/>
        </w:rPr>
        <w:t>.</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(a) No Member shall have the right to substitute a transferee as a Member in his or her place with respect to any Units or other Equity Interests in the Company so Transferred (including any transferee permitted by Section 8.1) unless (i) such Transfer is made in compliance with the terms of this Agreement and any other agreements with the Company or other Members to which such transferor Member is a party and (ii) such transferee assumes, by written instrument satisfactory to the Company pursuant to Section 8.l(b)(ix) above, all the rights and powers and is subject to all the restrictions and liabilities that were applicable to the transferor by virtue of the transferor’s ownership of the Units or other Equity Interests in the Company being Transferred.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Except as provided in Section 8.2(c) and otherwise in this Agreement, a transferee who has been admitted as a Member in accordance with Section 8.2(a) shall have all the rights and powers and be subject to all the restrictions and liabilities of a Member under this Agreement holding the same Units or other Equity Interests in the Company. The admission of any transferee as a Member shall be subject to the provisions of Section 3.1.</w:t>
      </w:r>
    </w:p>
    <w:p>
      <w:pPr>
        <w:pStyle w:val="HorizontalLine"/>
        <w:pBdr>
          <w:bottom w:val="double" w:sz="2" w:space="0" w:color="808080"/>
        </w:pBdr>
        <w:bidi w:val="0"/>
        <w:spacing w:before="0" w:after="283"/>
        <w:jc w:val="left"/>
        <w:rPr/>
      </w:pPr>
      <w:r>
        <w:rPr/>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 In the event of a Transfer by a Founding Member, the transferee shall not have the rights and powers of a Founding Member under this Agreement unless (i) the transferee is a Permitted Transferee of the Founding Member prior to and following the Transfer, or (ii) in the case of a direct or indirect Change of Control of the Founding Member, or any direct or indirect holder of equity in the Founding Member, following the Change of Control the Founding Member’s ESA Party or its stockholders owns 50% or more of the general voting power of the transferee.</w:t>
      </w:r>
    </w:p>
    <w:p>
      <w:pPr>
        <w:pStyle w:val="TextBody"/>
        <w:bidi w:val="0"/>
        <w:jc w:val="left"/>
        <w:rPr>
          <w:rFonts w:ascii="Times New Roman" w:hAnsi="Times New Roman"/>
          <w:sz w:val="20"/>
        </w:rPr>
      </w:pPr>
      <w:r>
        <w:rPr>
          <w:rFonts w:ascii="Times New Roman" w:hAnsi="Times New Roman"/>
          <w:b/>
          <w:color w:val="000000"/>
          <w:sz w:val="20"/>
        </w:rPr>
        <w:t xml:space="preserve">8.3 </w:t>
      </w:r>
      <w:r>
        <w:rPr>
          <w:rFonts w:ascii="Times New Roman" w:hAnsi="Times New Roman"/>
          <w:b/>
          <w:color w:val="000000"/>
          <w:sz w:val="20"/>
          <w:u w:val="single"/>
        </w:rPr>
        <w:t>Effect of Void Transfers</w:t>
      </w:r>
      <w:r>
        <w:rPr>
          <w:rFonts w:ascii="Times New Roman" w:hAnsi="Times New Roman"/>
          <w:color w:val="000000"/>
          <w:sz w:val="20"/>
        </w:rPr>
        <w:t>. No Transfer of any Units owned by a Member in violation hereof shall be made or recorded on the books of the Company, and any such purported Transfer shall be void and of no effect.</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ARTICLE 9</w:t>
      </w:r>
    </w:p>
    <w:p>
      <w:pPr>
        <w:pStyle w:val="TextBody"/>
        <w:bidi w:val="0"/>
        <w:spacing w:before="180" w:after="283"/>
        <w:jc w:val="center"/>
        <w:rPr>
          <w:rFonts w:ascii="Times New Roman" w:hAnsi="Times New Roman"/>
          <w:b/>
          <w:color w:val="000000"/>
          <w:sz w:val="20"/>
          <w:u w:val="single"/>
        </w:rPr>
      </w:pPr>
      <w:r>
        <w:rPr>
          <w:rFonts w:ascii="Times New Roman" w:hAnsi="Times New Roman"/>
          <w:b/>
          <w:color w:val="000000"/>
          <w:sz w:val="20"/>
          <w:u w:val="single"/>
        </w:rPr>
        <w:t>REDEMPTION RIGHT OF MEMBER</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9.1 </w:t>
      </w:r>
      <w:r>
        <w:rPr>
          <w:rFonts w:ascii="Times New Roman" w:hAnsi="Times New Roman"/>
          <w:b/>
          <w:color w:val="000000"/>
          <w:sz w:val="20"/>
          <w:u w:val="single"/>
        </w:rPr>
        <w:t>Redemption Right of a Member</w:t>
      </w:r>
      <w:r>
        <w:rPr>
          <w:rFonts w:ascii="Times New Roman" w:hAnsi="Times New Roman"/>
          <w:color w:val="000000"/>
          <w:sz w:val="20"/>
        </w:rPr>
        <w:t>.</w:t>
      </w:r>
    </w:p>
    <w:p>
      <w:pPr>
        <w:pStyle w:val="TextBody"/>
        <w:bidi w:val="0"/>
        <w:spacing w:before="90" w:after="283"/>
        <w:jc w:val="left"/>
        <w:rPr>
          <w:rFonts w:ascii="Times New Roman" w:hAnsi="Times New Roman"/>
          <w:sz w:val="20"/>
        </w:rPr>
      </w:pPr>
      <w:r>
        <w:rPr>
          <w:rFonts w:ascii="Times New Roman" w:hAnsi="Times New Roman"/>
          <w:color w:val="000000"/>
          <w:sz w:val="20"/>
        </w:rPr>
        <w:t>(a) Each Member (other than NCM Inc.) shall be entitled to cause the Company to redeem its Common Units (the “</w:t>
      </w:r>
      <w:r>
        <w:rPr>
          <w:rFonts w:ascii="Times New Roman" w:hAnsi="Times New Roman"/>
          <w:b/>
          <w:color w:val="000000"/>
          <w:sz w:val="20"/>
          <w:u w:val="single"/>
        </w:rPr>
        <w:t>Redemption Right</w:t>
      </w:r>
      <w:r>
        <w:rPr>
          <w:rFonts w:ascii="Times New Roman" w:hAnsi="Times New Roman"/>
          <w:color w:val="000000"/>
          <w:sz w:val="20"/>
        </w:rPr>
        <w:t>”) from time to time. A Member desiring to exercise its Redemption Right (the “</w:t>
      </w:r>
      <w:r>
        <w:rPr>
          <w:rFonts w:ascii="Times New Roman" w:hAnsi="Times New Roman"/>
          <w:b/>
          <w:color w:val="000000"/>
          <w:sz w:val="20"/>
          <w:u w:val="single"/>
        </w:rPr>
        <w:t>Redeeming Member</w:t>
      </w:r>
      <w:r>
        <w:rPr>
          <w:rFonts w:ascii="Times New Roman" w:hAnsi="Times New Roman"/>
          <w:color w:val="000000"/>
          <w:sz w:val="20"/>
        </w:rPr>
        <w:t>”) shall exercise such right by giving written notice (the “</w:t>
      </w:r>
      <w:r>
        <w:rPr>
          <w:rFonts w:ascii="Times New Roman" w:hAnsi="Times New Roman"/>
          <w:b/>
          <w:color w:val="000000"/>
          <w:sz w:val="20"/>
          <w:u w:val="single"/>
        </w:rPr>
        <w:t>Redemption Notice</w:t>
      </w:r>
      <w:r>
        <w:rPr>
          <w:rFonts w:ascii="Times New Roman" w:hAnsi="Times New Roman"/>
          <w:color w:val="000000"/>
          <w:sz w:val="20"/>
        </w:rPr>
        <w:t>”) to the Company (with a copy to NCM Inc.). The Redemption Notice shall specify the number of Common Units (the “</w:t>
      </w:r>
      <w:r>
        <w:rPr>
          <w:rFonts w:ascii="Times New Roman" w:hAnsi="Times New Roman"/>
          <w:b/>
          <w:color w:val="000000"/>
          <w:sz w:val="20"/>
          <w:u w:val="single"/>
        </w:rPr>
        <w:t>Redeemed Units</w:t>
      </w:r>
      <w:r>
        <w:rPr>
          <w:rFonts w:ascii="Times New Roman" w:hAnsi="Times New Roman"/>
          <w:color w:val="000000"/>
          <w:sz w:val="20"/>
        </w:rPr>
        <w:t>”) that the Redeeming Member elects to have the Company redeem, whether it intends to sell the shares of NCM Inc. common stock received in a Share Settlement in an underwritten public offering substantially simultaneously with the redemption of its Common Units, the number of shares to be sold at the initial closing of the offering (an “</w:t>
      </w:r>
      <w:r>
        <w:rPr>
          <w:rFonts w:ascii="Times New Roman" w:hAnsi="Times New Roman"/>
          <w:b/>
          <w:color w:val="000000"/>
          <w:sz w:val="20"/>
          <w:u w:val="single"/>
        </w:rPr>
        <w:t>Underwritten Resale</w:t>
      </w:r>
      <w:r>
        <w:rPr>
          <w:rFonts w:ascii="Times New Roman" w:hAnsi="Times New Roman"/>
          <w:color w:val="000000"/>
          <w:sz w:val="20"/>
        </w:rPr>
        <w:t>”), and the date upon which the exercise of the Redemption Right shall occur, which date shall not be less than three (3) Business Days nor more than ten (10) Business Days after delivery of the Redemption Notice (any such date, a “</w:t>
      </w:r>
      <w:r>
        <w:rPr>
          <w:rFonts w:ascii="Times New Roman" w:hAnsi="Times New Roman"/>
          <w:b/>
          <w:color w:val="000000"/>
          <w:sz w:val="20"/>
          <w:u w:val="single"/>
        </w:rPr>
        <w:t>Redemption Date</w:t>
      </w:r>
      <w:r>
        <w:rPr>
          <w:rFonts w:ascii="Times New Roman" w:hAnsi="Times New Roman"/>
          <w:color w:val="000000"/>
          <w:sz w:val="20"/>
        </w:rPr>
        <w:t>”). Notwithstanding the foregoing sentence, if the Redeeming Member specified an Underwritten Resale, and an underwriter is granted and exercises an over-allotment option, the Redeeming Member shall deliver an amendment to its Redemption Notice (the “</w:t>
      </w:r>
      <w:r>
        <w:rPr>
          <w:rFonts w:ascii="Times New Roman" w:hAnsi="Times New Roman"/>
          <w:b/>
          <w:color w:val="000000"/>
          <w:sz w:val="20"/>
          <w:u w:val="single"/>
        </w:rPr>
        <w:t>Redemption Notice Amendment</w:t>
      </w:r>
      <w:r>
        <w:rPr>
          <w:rFonts w:ascii="Times New Roman" w:hAnsi="Times New Roman"/>
          <w:color w:val="000000"/>
          <w:sz w:val="20"/>
        </w:rPr>
        <w:t>”) specifying the number of additional Common Units that it elects to redeem to satisfy the over-allotment option exercise and a Redemption Date which shall not be less than one (1) Business Day after the delivery of the Redemption Notice Amendment. Each Member delivering a Redemption Notice or Redemption Notice Amendment shall, simultaneously with the delivery of such Redemption Notice or Redemption Notice Amendment, deliver the certificates representing the Redeemed Units to the Company. Unless the Redeeming Member has timely delivered a Retraction Notice or a Termination Notice as provided in Section 9.1(b), on the Redemption Date (to be effective immediately prior to the close of business on the Redemption Date) (i) the Redeeming Member shall transfer and surrender the Redeemed Units to the Company, free and clear of all liens and encumbrances, and (ii) the Company shall (x) cancel the Redeemed Units, (y) transfer to the Redeeming Member the consideration to which the Redeeming Member is entitled under Section 9.1(b), and (z) issue to the Redeeming Member pursuant to Section 3.4(h) a certificate for a number of Common Units equal to the difference (if any) between the number of Common Units evidenced by the certificate surrendered by the Redeeming Member pursuant to clause (i) of this Section 9.1(a) and the Redeemed Units.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(b) The Redemption Right shall be subject to the following:</w:t>
      </w:r>
    </w:p>
    <w:p>
      <w:pPr>
        <w:pStyle w:val="TextBody"/>
        <w:bidi w:val="0"/>
        <w:spacing w:before="120" w:after="283"/>
        <w:jc w:val="left"/>
        <w:rPr>
          <w:rFonts w:ascii="Times New Roman" w:hAnsi="Times New Roman"/>
          <w:sz w:val="20"/>
        </w:rPr>
      </w:pPr>
      <w:r>
        <w:rPr>
          <w:rFonts w:ascii="Times New Roman" w:hAnsi="Times New Roman"/>
          <w:color w:val="000000"/>
          <w:sz w:val="20"/>
        </w:rPr>
        <w:t>(i) In exercising its Redemption Right, a Redeeming Member, at NCM Inc.’s option as provided in Section 3.5(b) and subject to Section 9.1(d), shall be entitled to receive the Share Settlement or the Cash Settlement. Within three (3) Business Days of delivery of the Redemption Notice, NCM Inc. shall give written notice (the “</w:t>
      </w:r>
      <w:r>
        <w:rPr>
          <w:rFonts w:ascii="Times New Roman" w:hAnsi="Times New Roman"/>
          <w:b/>
          <w:color w:val="000000"/>
          <w:sz w:val="20"/>
          <w:u w:val="single"/>
        </w:rPr>
        <w:t>Contribution Notice</w:t>
      </w:r>
      <w:r>
        <w:rPr>
          <w:rFonts w:ascii="Times New Roman" w:hAnsi="Times New Roman"/>
          <w:color w:val="000000"/>
          <w:sz w:val="20"/>
        </w:rPr>
        <w:t xml:space="preserve">”) to the Company (with a copy to the Redeeming Member) of its intended settlement method; </w:t>
      </w:r>
      <w:r>
        <w:rPr>
          <w:rFonts w:ascii="Times New Roman" w:hAnsi="Times New Roman"/>
          <w:color w:val="000000"/>
          <w:sz w:val="20"/>
          <w:u w:val="single"/>
        </w:rPr>
        <w:t>provided</w:t>
      </w:r>
      <w:r>
        <w:rPr>
          <w:rFonts w:ascii="Times New Roman" w:hAnsi="Times New Roman"/>
          <w:color w:val="000000"/>
          <w:sz w:val="20"/>
        </w:rPr>
        <w:t xml:space="preserve"> that if NCM Inc. does not timely deliver a Contribution Notice, NCM Inc. shall be deemed to have elected the Share Settlement method. If NCM Inc. elects the Cash Settlement method, the Redeeming Member may retract its Redemption Notice by giving written notice (the “</w:t>
      </w:r>
      <w:r>
        <w:rPr>
          <w:rFonts w:ascii="Times New Roman" w:hAnsi="Times New Roman"/>
          <w:b/>
          <w:color w:val="000000"/>
          <w:sz w:val="20"/>
          <w:u w:val="single"/>
        </w:rPr>
        <w:t>Retraction Notice</w:t>
      </w:r>
      <w:r>
        <w:rPr>
          <w:rFonts w:ascii="Times New Roman" w:hAnsi="Times New Roman"/>
          <w:color w:val="000000"/>
          <w:sz w:val="20"/>
        </w:rPr>
        <w:t>”) to the Company (with a copy to NCM Inc.) within two (2) Business Days of delivery of the Contribution Notice.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(ii) If the Redeeming Member has advised the Company that it intends to have an Underwritten Resale and the Redeeming Member reasonably determines that market conditions with respect to NCM Inc. common stock make it inadvisable to proceed with the Underwritten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color w:val="000000"/>
          <w:sz w:val="20"/>
        </w:rPr>
        <w:t>Resale or if the managing underwriter for the Underwritten Resale advises the Redeeming Member that it does not intend to close the sale of shares of NCM Inc. in the Underwritten Resale, the Redeeming Member may terminate the Redemption Notice (the “</w:t>
      </w:r>
      <w:r>
        <w:rPr>
          <w:rFonts w:ascii="Times New Roman" w:hAnsi="Times New Roman"/>
          <w:b/>
          <w:color w:val="000000"/>
          <w:sz w:val="20"/>
          <w:u w:val="single"/>
        </w:rPr>
        <w:t>Termination Notice</w:t>
      </w:r>
      <w:r>
        <w:rPr>
          <w:rFonts w:ascii="Times New Roman" w:hAnsi="Times New Roman"/>
          <w:color w:val="000000"/>
          <w:sz w:val="20"/>
        </w:rPr>
        <w:t>”) at any time prior to the Redemption Date by giving notice to the Company (with a copy to NCM Inc.) prior to the Redemption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 The timely delivery of a Retraction Notice or a Termination Notice shall terminate all of the Redeeming Member’s, the Company’s and NCM Inc.’s rights and obligations under this Section 9.1 arising from the Redemption Notice; provided, however, that the Company shall immediately deliver to the Redeeming Member any and all certificates representing the Redeemed Units that the Redeeming Member previously delivered to the Company in connection with the Redemption Notice and/or Redemption Notice Amendment.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(iv) The delivery of a Redemption Notice shall be deemed to trigger the notice period under Section 5.4(a)(i)(B) for the distribution of any Deferred Distribution Amounts owed to the Redeeming Member.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 In the event that a certificate representing the Redeemed Units no longer represents the correct number of Common Units due to an adjustment of Common Units effected pursuant to Section 3.4(g) or 3.5(d) in accordance with this Agreement, the number of shares delivered in connection with a Share Settlement shall reflect the number of shares equal to the number of as adjusted Redeemed Units.</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(c) The number of shares of NCM Inc. common stock and the Redeemed Units Equivalent that a Redeeming Member is entitled to receive under Section 9.1(b) (whether through a Share Settlement or Cash Settlement) shall not be adjusted on account of any distributions previously made with respect to the Redeemed Units or dividends previously paid with respect to NCM Inc. common stock;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if a Redeeming Member causes the Company to redeem Redeemed Units and the Redemption Date occurs subsequent to the record date for any distribution with respect to the Redeemed Units but prior to payment of such distribution, the Redeeming Member shall be entitled to receive such distribution with respect to the Redeemed Units on the date that it is made notwithstanding that the Redeeming Member transferred and surrendered the Redeemed Units to the Company prior to such date.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 In the event of a reclassification or other similar transaction as a result of which the shares of NCM Inc. common stock are converted into another security, then in exercising it Redemption Right a Redeeming Member shall be entitled to receive the amount of such security that the Redeeming Member would have received if such Redemption Right had been exercised and the Redemption Date had occurred immediately prior to the record date of such reclassification or other similar transaction.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 The provisions of this Section 9.1 and Section 3.5(b) shall be interpreted and applied in a manner consistent with the corresponding provisions of NCM Inc.’s certificate of incorporation.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(f) Notwithstanding the foregoing, in the event that the Manager determines in its sole discretion that the exercise of a Redemption Right by a Redeeming Member would, alone or together with other past or proposed Transfers, result in an increased risk that the Company would be treated as a “publicly traded partnership,” as such term is defined in Sections 469(k)(2) or 7704(b) of the Code, the Manager shall be permitted to impose additional requirements as to the timing and procedures of the exercise of a Redemption Right as the Manager determines in good faith may be reasonably required to prevent the Company from being treated as a “publicly traded partnership”. In such case, the Manager will inform the Members of such additional requirements in writing. </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9.2 </w:t>
      </w:r>
      <w:r>
        <w:rPr>
          <w:rFonts w:ascii="Times New Roman" w:hAnsi="Times New Roman"/>
          <w:b/>
          <w:color w:val="000000"/>
          <w:sz w:val="20"/>
          <w:u w:val="single"/>
        </w:rPr>
        <w:t>Effect of Exercise of Redemption Right</w:t>
      </w:r>
      <w:r>
        <w:rPr>
          <w:rFonts w:ascii="Times New Roman" w:hAnsi="Times New Roman"/>
          <w:color w:val="000000"/>
          <w:sz w:val="20"/>
        </w:rPr>
        <w:t xml:space="preserve">. This Agreement shall continue notwithstanding the exercise of a Redeeming Member’s Redemption Right and all governance or other rights set forth herein shall be exercised by the remaining Members and the Redeeming Member (to the extent of such Redeeming Member’s remaining Interest in the Company). No exercise of a Redeeming Member’s Redemption Right shall relieve such Redeeming Member of any prior breach of this Agreement. Notwithstanding the exercise of a Redeeming Member’s Redemption Right, the Exhibitor Services Agreement executed between such Redeeming Member’s ESA Party (if such Redeeming Member is a Founding Member) and the Company shall remain in full force and effect in accordance with the terms of such Exhibitor Services Agreement. The Redeeming Member (if a Founding Member) and its Affiliates shall </w:t>
      </w:r>
    </w:p>
    <w:p>
      <w:pPr>
        <w:pStyle w:val="HorizontalLine"/>
        <w:pBdr>
          <w:bottom w:val="double" w:sz="2" w:space="0" w:color="808080"/>
        </w:pBdr>
        <w:bidi w:val="0"/>
        <w:spacing w:before="0" w:after="283"/>
        <w:jc w:val="left"/>
        <w:rPr/>
      </w:pPr>
      <w:r>
        <w:rPr/>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retain all ownership and rights with respect to its theatres and other assets that are not Contributed Assets (as defined in Section 2.5 of the Contribution and Unit Holders Agreement). All Contributed Assets of such Member shall remain the sole and exclusive property of the Company.</w:t>
      </w:r>
    </w:p>
    <w:p>
      <w:pPr>
        <w:pStyle w:val="TextBody"/>
        <w:bidi w:val="0"/>
        <w:spacing w:before="180" w:after="283"/>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ARTICLE 10</w:t>
      </w:r>
    </w:p>
    <w:p>
      <w:pPr>
        <w:pStyle w:val="TextBody"/>
        <w:bidi w:val="0"/>
        <w:spacing w:before="180" w:after="283"/>
        <w:jc w:val="center"/>
        <w:rPr>
          <w:rFonts w:ascii="Times New Roman" w:hAnsi="Times New Roman"/>
          <w:b/>
          <w:color w:val="000000"/>
          <w:sz w:val="20"/>
          <w:u w:val="single"/>
        </w:rPr>
      </w:pPr>
      <w:r>
        <w:rPr>
          <w:rFonts w:ascii="Times New Roman" w:hAnsi="Times New Roman"/>
          <w:b/>
          <w:color w:val="000000"/>
          <w:sz w:val="20"/>
          <w:u w:val="single"/>
        </w:rPr>
        <w:t>MISCELLANEOUS</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10.1 </w:t>
      </w:r>
      <w:r>
        <w:rPr>
          <w:rFonts w:ascii="Times New Roman" w:hAnsi="Times New Roman"/>
          <w:b/>
          <w:color w:val="000000"/>
          <w:sz w:val="20"/>
          <w:u w:val="single"/>
        </w:rPr>
        <w:t>Agreement to Cooperate; Further Assurances</w:t>
      </w:r>
      <w:r>
        <w:rPr>
          <w:rFonts w:ascii="Times New Roman" w:hAnsi="Times New Roman"/>
          <w:b/>
          <w:color w:val="000000"/>
          <w:sz w:val="20"/>
        </w:rPr>
        <w:t>.</w:t>
      </w:r>
      <w:r>
        <w:rPr>
          <w:rFonts w:ascii="Times New Roman" w:hAnsi="Times New Roman"/>
          <w:color w:val="000000"/>
          <w:sz w:val="20"/>
        </w:rPr>
        <w:t xml:space="preserve"> In case at any time any further action is necessary or desirable to carry out the purposes of this Agreement, the proper officers and Managers of the Company and each Member and their respective Affiliates shall execute such further documents (including assignments, acknowledgments and consents and other instruments of Transfer) and shall take such further action as shall be necessary or desirable to effect such Transfer and to otherwise carry out the purposes of this Agreement, in each case to the extent not inconsistent with applicable law.</w:t>
      </w:r>
    </w:p>
    <w:p>
      <w:pPr>
        <w:pStyle w:val="TextBody"/>
        <w:bidi w:val="0"/>
        <w:jc w:val="left"/>
        <w:rPr>
          <w:rFonts w:ascii="Times New Roman" w:hAnsi="Times New Roman"/>
          <w:sz w:val="20"/>
        </w:rPr>
      </w:pPr>
      <w:r>
        <w:rPr>
          <w:rFonts w:ascii="Times New Roman" w:hAnsi="Times New Roman"/>
          <w:b/>
          <w:color w:val="000000"/>
          <w:sz w:val="20"/>
        </w:rPr>
        <w:t xml:space="preserve">10.2 </w:t>
      </w:r>
      <w:r>
        <w:rPr>
          <w:rFonts w:ascii="Times New Roman" w:hAnsi="Times New Roman"/>
          <w:b/>
          <w:color w:val="000000"/>
          <w:sz w:val="20"/>
          <w:u w:val="single"/>
        </w:rPr>
        <w:t>Amendments</w:t>
      </w:r>
      <w:r>
        <w:rPr>
          <w:rFonts w:ascii="Times New Roman" w:hAnsi="Times New Roman"/>
          <w:color w:val="000000"/>
          <w:sz w:val="20"/>
        </w:rPr>
        <w:t xml:space="preserve">. Except as otherwise expressly provided in this Agreement (including as provided in Sections 4.3(b)(vi) and 4.3(b)(xix)), amendments to this Agreement shall require a Majority Member Vote;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 this Agreement may not be amended so as to materially impair the voting power or economic rights of any outstanding Common Units in relation to any other outstanding Units or of any Member in relation to the other Members, in either case, without the consent of each Member and the holders representing a majority of the then issued and outstanding Units or the affected Member, as the case may be, and (ii) Article 8 may only be amended with the approval of the Manager and a Majority Member Vote.</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10.3 </w:t>
      </w:r>
      <w:r>
        <w:rPr>
          <w:rFonts w:ascii="Times New Roman" w:hAnsi="Times New Roman"/>
          <w:b/>
          <w:color w:val="000000"/>
          <w:sz w:val="20"/>
          <w:u w:val="single"/>
        </w:rPr>
        <w:t>Confidentiality</w:t>
      </w:r>
      <w:r>
        <w:rPr>
          <w:rFonts w:ascii="Times New Roman" w:hAnsi="Times New Roman"/>
          <w:color w:val="000000"/>
          <w:sz w:val="20"/>
        </w:rPr>
        <w:t>. During the term of this Agreement, and for a period of three years after the earlier of (x) the dissolution of the Company and the termination of this Agreement or (y) the date upon which such Member ceases to be a Member of the Company: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(i) Each Member shall use and cause its Affiliates to use the same degree of care it uses to safeguard its own Confidential Information (as defined below) and to cause its and its Affiliates’ directors, officers, employees, agents and representatives to keep confidential all Confidential Information, including but not limited to Intellectual Property and other Proprietary Information of the other Members and the Company, and</w:t>
      </w:r>
    </w:p>
    <w:p>
      <w:pPr>
        <w:pStyle w:val="TextBody"/>
        <w:bidi w:val="0"/>
        <w:spacing w:before="180" w:after="283"/>
        <w:jc w:val="left"/>
        <w:rPr>
          <w:rFonts w:ascii="Times New Roman" w:hAnsi="Times New Roman"/>
          <w:sz w:val="20"/>
        </w:rPr>
      </w:pPr>
      <w:r>
        <w:rPr>
          <w:rFonts w:ascii="Times New Roman" w:hAnsi="Times New Roman"/>
          <w:color w:val="000000"/>
          <w:sz w:val="20"/>
        </w:rPr>
        <w:t>(ii) Each Member shall hold and shall cause its Affiliates to hold and shall cause its and its Affiliates’ directors, officers, employees, agents and representatives to hold in confidence, unless compelled to disclose by judicial or administrative process or, in the opinion of counsel, by the requirements of law, all documents and information concerning any other party hereto furnished it by such other party or its representatives in connection with the transactions contemplated by this Agreement (together with the information referred to in clause (i) above, the “</w:t>
      </w:r>
      <w:r>
        <w:rPr>
          <w:rFonts w:ascii="Times New Roman" w:hAnsi="Times New Roman"/>
          <w:b/>
          <w:color w:val="000000"/>
          <w:sz w:val="20"/>
          <w:u w:val="single"/>
        </w:rPr>
        <w:t>Confidential Information</w:t>
      </w:r>
      <w:r>
        <w:rPr>
          <w:rFonts w:ascii="Times New Roman" w:hAnsi="Times New Roman"/>
          <w:color w:val="000000"/>
          <w:sz w:val="20"/>
        </w:rPr>
        <w:t>”)), except to the extent that any such information can be shown to have been (A) previously known by the party to which it is furnished lawfully and without breaching or having breached an obligation of such party or the disclosing party to keep such documents and information confidential, (B) in the public domain through no fault of the disclosing party, or (C) independently developed by the disclosing party without using or having used the Confidential Information.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Each Member agrees that the Confidential Information of the Company shall only be disclosed in secrecy and confidence, and is to be maintained by them in secrecy and confidence subject to the terms hereof. Each Member shall (i) not, directly or indirectly, use the Confidential Information of the Company, except as necessary in the ordinary course of the Company’s business, or disclose the Confidential Information of the Company to any third party and (ii) inform all of its employees to whom the Confidential Information of the Company is entrusted or exposed of the requirements of this Section and of their obligations relating thereto.</w:t>
      </w:r>
    </w:p>
    <w:p>
      <w:pPr>
        <w:pStyle w:val="TextBody"/>
        <w:bidi w:val="0"/>
        <w:spacing w:before="180" w:after="283"/>
        <w:jc w:val="left"/>
        <w:rPr>
          <w:rFonts w:ascii="Times New Roman" w:hAnsi="Times New Roman"/>
          <w:sz w:val="20"/>
        </w:rPr>
      </w:pPr>
      <w:r>
        <w:rPr>
          <w:rFonts w:ascii="Times New Roman" w:hAnsi="Times New Roman"/>
          <w:color w:val="000000"/>
          <w:sz w:val="20"/>
        </w:rPr>
        <w:t>(c) The Company shall preserve the confidentiality of all Confidential Information supplied by the Members and their Affiliates (“</w:t>
      </w:r>
      <w:r>
        <w:rPr>
          <w:rFonts w:ascii="Times New Roman" w:hAnsi="Times New Roman"/>
          <w:b/>
          <w:color w:val="000000"/>
          <w:sz w:val="20"/>
          <w:u w:val="single"/>
        </w:rPr>
        <w:t>Member Information</w:t>
      </w:r>
      <w:r>
        <w:rPr>
          <w:rFonts w:ascii="Times New Roman" w:hAnsi="Times New Roman"/>
          <w:color w:val="000000"/>
          <w:sz w:val="20"/>
        </w:rPr>
        <w:t>”) to the same extent that a Member must preserve the confidentiality of Confidential Information pursuant to Sections 10.3(a) and (b).</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(d) Member Information shall not be supplied by the Company or its Subsidiaries to any Person who is not an employee of the Company or the Manager, including any employee of a Member who is not an employee of the Company or the Manager. Notwithstanding the foregoing, Member Information may be disclosed to authorized third-party contractors of the Company if the Company determines that such disclosure is reasonably necessary to further the business of the Company, and if such contractor executes a non-disclosure agreement preventing such contractor from disclosing such Member Information for the benefit of each provider of Member Information in a form reasonably acceptable to the Manager. Member Information disclosed by any Member to the Company or the Manager shall not be shared with any other Member that is not the Manager without the disclosing Member’s written consent.</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10.4 </w:t>
      </w:r>
      <w:r>
        <w:rPr>
          <w:rFonts w:ascii="Times New Roman" w:hAnsi="Times New Roman"/>
          <w:b/>
          <w:color w:val="000000"/>
          <w:sz w:val="20"/>
          <w:u w:val="single"/>
        </w:rPr>
        <w:t>Injunctive Relief</w:t>
      </w:r>
      <w:r>
        <w:rPr>
          <w:rFonts w:ascii="Times New Roman" w:hAnsi="Times New Roman"/>
          <w:color w:val="000000"/>
          <w:sz w:val="20"/>
        </w:rPr>
        <w:t>. The Company and each Member acknowledge and agree that a violation of any of the terms of this Agreement will cause the other Members and the Company, as the case may be, irreparable injury for which an adequate remedy at law is not available. Accordingly, it is agreed that each of the Members and the Company will be entitled to an injunction, restraining order or other equitable relief to prevent breaches of the provisions of this Agreement and to enforce specifically the terms and provisions hereof in any court of competent jurisdiction, in addition to any other remedy to which they may be entitled at law or, equity. Nothing stated herein shall limit any other remedies provided under this Agreement or available to the parties at law or in equity.</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10.5 </w:t>
      </w:r>
      <w:r>
        <w:rPr>
          <w:rFonts w:ascii="Times New Roman" w:hAnsi="Times New Roman"/>
          <w:b/>
          <w:color w:val="000000"/>
          <w:sz w:val="20"/>
          <w:u w:val="single"/>
        </w:rPr>
        <w:t>Successors, Assigns and Transferees</w:t>
      </w:r>
      <w:r>
        <w:rPr>
          <w:rFonts w:ascii="Times New Roman" w:hAnsi="Times New Roman"/>
          <w:color w:val="000000"/>
          <w:sz w:val="20"/>
        </w:rPr>
        <w:t>. The provisions of this Agreement will be binding upon and will inure to the benefit of the parties hereto and their respective successors and Permitted Transferees, and nothing in this Agreement, express or implied, is intended to or shall confer upon any other Person, including but not limited to any creditor of the Company or its Subsidiaries, any right, benefit, or remedy of any nature by reason of this Agreement. An assignment of the rights, interests or obligations hereunder, including but not limited to an assignment by operation of law, shall be null and void unless a provision of this Agreement specifically provides otherwise or the Company gives its prior written consent therefor.</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10.6 </w:t>
      </w:r>
      <w:r>
        <w:rPr>
          <w:rFonts w:ascii="Times New Roman" w:hAnsi="Times New Roman"/>
          <w:b/>
          <w:color w:val="000000"/>
          <w:sz w:val="20"/>
          <w:u w:val="single"/>
        </w:rPr>
        <w:t>Notices</w:t>
      </w:r>
      <w:r>
        <w:rPr>
          <w:rFonts w:ascii="Times New Roman" w:hAnsi="Times New Roman"/>
          <w:color w:val="000000"/>
          <w:sz w:val="20"/>
        </w:rPr>
        <w:t xml:space="preserve">. All notices, demands or other communications to be given under or by reason of this Agreement shall be in writing and shall be delivered by hand or sent by facsimile, electronic mail or nationally recognized overnight delivery service and shall be deemed given when received if delivered on a Business Day during normal business hours of the recipient or, if not so delivered, on the next Business Day following receipt. Notices to the Company or any Member shall be delivered to the Company or such Member as set forth in </w:t>
      </w:r>
      <w:r>
        <w:rPr>
          <w:rFonts w:ascii="Times New Roman" w:hAnsi="Times New Roman"/>
          <w:color w:val="000000"/>
          <w:sz w:val="20"/>
          <w:u w:val="single"/>
        </w:rPr>
        <w:t>Exhibit A</w:t>
      </w:r>
      <w:r>
        <w:rPr>
          <w:rFonts w:ascii="Times New Roman" w:hAnsi="Times New Roman"/>
          <w:color w:val="000000"/>
          <w:sz w:val="20"/>
        </w:rPr>
        <w:t>, as it may be revised from time to time. Any party to this Agreement may change its address or fax number for notices, demands and other communications under this Agreement by giving notice of such change to the other parties hereto in accordance with this Section 10.6.</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10.7 </w:t>
      </w:r>
      <w:r>
        <w:rPr>
          <w:rFonts w:ascii="Times New Roman" w:hAnsi="Times New Roman"/>
          <w:b/>
          <w:color w:val="000000"/>
          <w:sz w:val="20"/>
          <w:u w:val="single"/>
        </w:rPr>
        <w:t>Integration</w:t>
      </w:r>
      <w:r>
        <w:rPr>
          <w:rFonts w:ascii="Times New Roman" w:hAnsi="Times New Roman"/>
          <w:color w:val="000000"/>
          <w:sz w:val="20"/>
        </w:rPr>
        <w:t>. This Agreement, together with the other Joint Venture Agreements and the documents referred to herein or therein, or delivered pursuant hereto or thereto, contain the exclusive entire and final understanding of the parties with respect to the subject matter hereof and thereof. There are no agreements, representations, warranties, covenants or undertakings with respect to the subject matter hereof and thereof other than those expressly set forth herein and therein. Except as expressly set forth herein, this Agreement together with the other Joint Venture Agreements supersede all other prior agreements, discussions, negotiations, communications and understandings between the parties with respect to such subject matter hereof and thereof. No party has relied on any statement, representation, warranty, or promise not expressly contained in this Agreement or another Joint Venture Agreement in connection with this transaction.</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10.8 </w:t>
      </w:r>
      <w:r>
        <w:rPr>
          <w:rFonts w:ascii="Times New Roman" w:hAnsi="Times New Roman"/>
          <w:b/>
          <w:color w:val="000000"/>
          <w:sz w:val="20"/>
          <w:u w:val="single"/>
        </w:rPr>
        <w:t>Severability</w:t>
      </w:r>
      <w:r>
        <w:rPr>
          <w:rFonts w:ascii="Times New Roman" w:hAnsi="Times New Roman"/>
          <w:color w:val="000000"/>
          <w:sz w:val="20"/>
        </w:rPr>
        <w:t>. If one or more of the provisions, paragraphs, words, clauses, phrases or sentences contained herein, or the application thereof in any circumstances, is held invalid, illegal or unenforceable in any respect for any reason, then such provision, paragraph, word, clause, phrase or sentence shall be deemed restated to reflect the original intention of the parties as nearly as possible in accordance with applicable law and the remainder of this Agreement. The legality and enforceability of any such provision, paragraph, word, clause, phrase or sentence in every other respect and of the remaining provisions, paragraphs, words, clauses, phrases or sentences hereof will not be in any way impaired, it being intended that all obligations, rights, powers and privileges of the Company and the Members will be enforceable to the fullest extent permitted by law. Upon such determination of invalidity, illegality or unenforceability, the Company and the Members shall negotiate in good faith to amend this Agreement to effect the original intent of the Members.</w:t>
      </w:r>
    </w:p>
    <w:p>
      <w:pPr>
        <w:pStyle w:val="HorizontalLine"/>
        <w:pBdr>
          <w:bottom w:val="double" w:sz="2" w:space="0" w:color="808080"/>
        </w:pBdr>
        <w:bidi w:val="0"/>
        <w:spacing w:before="0" w:after="283"/>
        <w:jc w:val="left"/>
        <w:rPr/>
      </w:pPr>
      <w:r>
        <w:rPr/>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10.9 </w:t>
      </w:r>
      <w:r>
        <w:rPr>
          <w:rFonts w:ascii="Times New Roman" w:hAnsi="Times New Roman"/>
          <w:b/>
          <w:color w:val="000000"/>
          <w:sz w:val="20"/>
          <w:u w:val="single"/>
        </w:rPr>
        <w:t>Counterparts</w:t>
      </w:r>
      <w:r>
        <w:rPr>
          <w:rFonts w:ascii="Times New Roman" w:hAnsi="Times New Roman"/>
          <w:color w:val="000000"/>
          <w:sz w:val="20"/>
        </w:rPr>
        <w:t>. This Agreement may be executed in one or more counterparts and by different parties on separate counterparts, each of which will be deemed an original, but all of which will constitute one and the same instrument. The parties agree that this Agreement shall be legally binding upon the electronic transmission, including by facsimile or email, by each party of a signed signature page hereof to the other party.</w:t>
      </w:r>
    </w:p>
    <w:p>
      <w:pPr>
        <w:pStyle w:val="TextBody"/>
        <w:bidi w:val="0"/>
        <w:spacing w:before="180" w:after="283"/>
        <w:jc w:val="left"/>
        <w:rPr/>
      </w:pPr>
      <w:r>
        <w:rPr/>
        <w:t> </w:t>
      </w:r>
    </w:p>
    <w:p>
      <w:pPr>
        <w:pStyle w:val="TextBody"/>
        <w:bidi w:val="0"/>
        <w:spacing w:before="180" w:after="283"/>
        <w:jc w:val="left"/>
        <w:rPr/>
      </w:pPr>
      <w:r>
        <w:rPr/>
        <w:t> </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10.10 </w:t>
      </w:r>
      <w:r>
        <w:rPr>
          <w:rFonts w:ascii="Times New Roman" w:hAnsi="Times New Roman"/>
          <w:b/>
          <w:color w:val="000000"/>
          <w:sz w:val="20"/>
          <w:u w:val="single"/>
        </w:rPr>
        <w:t>Governing Law; Submission to Jurisdiction</w:t>
      </w:r>
      <w:r>
        <w:rPr>
          <w:rFonts w:ascii="Times New Roman" w:hAnsi="Times New Roman"/>
          <w:b/>
          <w:color w:val="000000"/>
          <w:sz w:val="20"/>
        </w:rPr>
        <w:t>.</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(a) This Agreement is to be construed in accordance with and governed by the internal laws of the State of Delaware without giving effect to any choice of law rule that would cause the application of the laws of any jurisdiction other than the internal laws of the State of Delaware to the rights and duties of the parties.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Each party hereto agrees that any legal action or other legal proceeding relating to this Agreement or the enforcement of any provision of this Agreement shall be brought or otherwise commenced exclusively in any state or federal court located in Delaware or in New York, New York. Subject to the preceding sentence, each party thereto:</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(i) expressly and irrevocably consents and submits to the jurisdiction of each state and federal court located in Delaware or New York, New York (and each appellate court located in Delaware or the State of New York) in connection with any such legal proceeding, including to enforce any settlement, order or award;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(ii) consents to service of process in any such proceeding in any manner permitted by the applicable laws of Delaware or the State of New York, and agrees that service of process by registered or certified mail, return receipt requested, at its address specified pursuant to Section 10.6 is reasonably calculated to give actual notice, to the extent permitted by applicable law;</w:t>
      </w:r>
    </w:p>
    <w:p>
      <w:pPr>
        <w:pStyle w:val="TextBody"/>
        <w:bidi w:val="0"/>
        <w:jc w:val="left"/>
        <w:rPr>
          <w:rFonts w:ascii="Times New Roman" w:hAnsi="Times New Roman"/>
          <w:color w:val="000000"/>
          <w:sz w:val="20"/>
        </w:rPr>
      </w:pPr>
      <w:r>
        <w:rPr>
          <w:rFonts w:ascii="Times New Roman" w:hAnsi="Times New Roman"/>
          <w:color w:val="000000"/>
          <w:sz w:val="20"/>
        </w:rPr>
        <w:t>(iii) agrees that each state and federal court located in Delaware or New York, New York shall be deemed to be a convenient forum;</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(iv) waives and agrees not to assert (by way of motion, as a defense or otherwise), in any such legal proceeding commenced in any state or federal court located in Delaware or New York, New York, any claim that such party is not subject personally to the jurisdiction of such court, that such legal proceeding has been brought in an inconvenient forum, that the venue of such proceeding is improper or that this Agreement or the subject matter hereof or thereof may not be enforced in or by such court;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(v) agrees to the entry of an order to enforce any resolution, settlement, order or award made pursuant to this Section by the state and federal courts located in Delaware or New York, New York and in connection therewith hereby waives, and agrees not to assert by way of motion, as a defense, or otherwise, any claim that such resolution, settlement, order or award is inconsistent with or violative of the laws or public policy of the laws of Delaware or the State of New York or any other jurisdiction.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 In the event of any action or other proceeding relating to this Agreement or the enforcement of any provision of this Agreement, the prevailing party (as determined by the court) shall be entitled to payment by the non-prevailing party of all costs and expenses (including reasonable attorneys’ fees) incurred by the prevailing party, including any costs and expenses incurred in connection with any challenge to the jurisdiction or the convenience or propriety of venue of proceedings before any state or federal court located in Delaware or New York, New York.</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[Signature Pages to the Agreement and Amendments on file with the Company]</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1" w:name="ncmi-ex10_24-2.htm"/>
      <w:bookmarkStart w:id="42" w:name="ksncmiex10_242"/>
      <w:bookmarkEnd w:id="41"/>
      <w:bookmarkEnd w:id="42"/>
      <w:r>
        <w:rPr>
          <w:rFonts w:ascii="Times New Roman" w:hAnsi="Times New Roman"/>
          <w:b/>
          <w:color w:val="000000"/>
          <w:sz w:val="20"/>
        </w:rPr>
        <w:t>Exhibit 10.26.5</w:t>
      </w:r>
      <w:r>
        <w:br w:type="page"/>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NATIONAL CINEMEDIA, INC.</w:t>
        <w:br/>
        <w:t>2020 OMNIBUS INCENTIVE PLAN</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TIME-BASED RESTRICTED STOCK UNIT AGREEMENT</w:t>
      </w:r>
    </w:p>
    <w:p>
      <w:pPr>
        <w:pStyle w:val="TextBody"/>
        <w:bidi w:val="0"/>
        <w:spacing w:before="0" w:after="120"/>
        <w:jc w:val="left"/>
        <w:rPr>
          <w:rFonts w:ascii="Times New Roman" w:hAnsi="Times New Roman"/>
          <w:sz w:val="20"/>
        </w:rPr>
      </w:pPr>
      <w:r>
        <w:rPr>
          <w:rFonts w:ascii="Times New Roman" w:hAnsi="Times New Roman"/>
          <w:color w:val="000000"/>
          <w:sz w:val="24"/>
        </w:rPr>
        <w:t>The Compensation Committee of the Board of Directors of National CineMedia, Inc., a Delaware corporation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granted an award of Time-Based Restricted Stock Units under the National CineMedia, Inc. 2020 Omnibus Incentive Plan (the “</w:t>
      </w:r>
      <w:r>
        <w:rPr>
          <w:rFonts w:ascii="Times New Roman" w:hAnsi="Times New Roman"/>
          <w:b/>
          <w:color w:val="000000"/>
          <w:sz w:val="24"/>
        </w:rPr>
        <w:t>Plan</w:t>
      </w:r>
      <w:r>
        <w:rPr>
          <w:rFonts w:ascii="Times New Roman" w:hAnsi="Times New Roman"/>
          <w:color w:val="000000"/>
          <w:sz w:val="20"/>
        </w:rPr>
        <w:t>”</w:t>
      </w:r>
      <w:r>
        <w:rPr>
          <w:rFonts w:ascii="Times New Roman" w:hAnsi="Times New Roman"/>
          <w:color w:val="000000"/>
          <w:sz w:val="24"/>
        </w:rPr>
        <w:t>), to the Grantee named below. This Time-Based Restricted Stock Unit Agreement (the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evidences the terms of the Company’s grant of Restricted Stock Units, each representing the right to receive one share of the Company’s Common Stock, on the terms and subject to the conditions set forth herein and in the Plan. Any capitalized term in this Agreement shall have the meaning assigned to it in this Agreement or in the Plan, as applicable.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A. NOTICE OF GRANT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Name of Grantee: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Number of Restricted Stock Units: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Grant Date:</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Vesting Schedule: </w:t>
      </w:r>
      <w:r>
        <w:rPr>
          <w:rFonts w:ascii="Times New Roman" w:hAnsi="Times New Roman"/>
          <w:color w:val="000000"/>
          <w:sz w:val="24"/>
        </w:rPr>
        <w:t>Except as provided otherwise in this Agreement or the Plan (including but not limited to Section 10(c) of the Plan which provides for accelerated vesting upon certain terminations in connection with a Change of Control), and subject to Grantee’s continuous Service (as defined below), the Restricted Stock Units shall vest, and the forfeiture provisions set forth in this Agreement shall lapse as follows:</w:t>
      </w:r>
      <w:r>
        <w:rPr>
          <w:rFonts w:ascii="Times New Roman" w:hAnsi="Times New Roman"/>
          <w:color w:val="000000"/>
          <w:sz w:val="20"/>
        </w:rPr>
        <w:t xml:space="preserve"> </w:t>
      </w:r>
    </w:p>
    <w:tbl>
      <w:tblPr>
        <w:tblW w:w="9463" w:type="dxa"/>
        <w:jc w:val="left"/>
        <w:tblInd w:w="0" w:type="dxa"/>
        <w:tblLayout w:type="fixed"/>
        <w:tblCellMar>
          <w:top w:w="28" w:type="dxa"/>
          <w:left w:w="28" w:type="dxa"/>
          <w:bottom w:w="28" w:type="dxa"/>
          <w:right w:w="28" w:type="dxa"/>
        </w:tblCellMar>
      </w:tblPr>
      <w:tblGrid>
        <w:gridCol w:w="2281"/>
        <w:gridCol w:w="109"/>
        <w:gridCol w:w="788"/>
        <w:gridCol w:w="2617"/>
        <w:gridCol w:w="109"/>
        <w:gridCol w:w="1701"/>
        <w:gridCol w:w="1704"/>
        <w:gridCol w:w="154"/>
      </w:tblGrid>
      <w:tr>
        <w:trPr/>
        <w:tc>
          <w:tcPr>
            <w:tcW w:w="2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Service Vesting Date</w:t>
            </w:r>
            <w:r>
              <w:rPr>
                <w:rFonts w:ascii="Times New Roman" w:hAnsi="Times New Roman"/>
                <w:color w:val="000000"/>
                <w:sz w:val="24"/>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2"/>
            <w:tcBorders>
              <w:bottom w:val="single" w:sz="6" w:space="0" w:color="000000"/>
            </w:tcBorders>
            <w:tcMar>
              <w:top w:w="0" w:type="dxa"/>
              <w:left w:w="0" w:type="dxa"/>
              <w:bottom w:w="3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Percentage of</w:t>
              <w:br/>
              <w:t>Restricted Stock Units that Vest</w:t>
            </w:r>
            <w:r>
              <w:rPr>
                <w:rFonts w:ascii="Times New Roman" w:hAnsi="Times New Roman"/>
                <w:color w:val="000000"/>
                <w:sz w:val="24"/>
              </w:rPr>
              <w:t xml:space="preserve"> </w:t>
            </w:r>
          </w:p>
        </w:tc>
        <w:tc>
          <w:tcPr>
            <w:tcW w:w="109" w:type="dxa"/>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05" w:type="dxa"/>
            <w:gridSpan w:val="2"/>
            <w:tcBorders>
              <w:bottom w:val="single" w:sz="6" w:space="0" w:color="000000"/>
            </w:tcBorders>
            <w:tcMar>
              <w:top w:w="0" w:type="dxa"/>
              <w:left w:w="0" w:type="dxa"/>
              <w:bottom w:w="3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Number of</w:t>
              <w:br/>
              <w:t>Restricted Stock Units that Vest</w:t>
            </w:r>
            <w:r>
              <w:rPr>
                <w:rFonts w:ascii="Times New Roman" w:hAnsi="Times New Roman"/>
                <w:color w:val="000000"/>
                <w:sz w:val="24"/>
              </w:rPr>
              <w:t xml:space="preserve"> </w:t>
            </w:r>
          </w:p>
        </w:tc>
        <w:tc>
          <w:tcPr>
            <w:tcW w:w="154" w:type="dxa"/>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B. RESTRICTED STOCK UNIT AGREEMENT</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1. Grant of Restricted Stock Units. </w:t>
      </w:r>
      <w:r>
        <w:rPr>
          <w:rFonts w:ascii="Times New Roman" w:hAnsi="Times New Roman"/>
          <w:color w:val="000000"/>
          <w:sz w:val="24"/>
        </w:rPr>
        <w:t>Subject to the terms and conditions of this Agreement and the Plan, the Company granted to Grantee the number of Restricted Stock Units set forth in the Notice of Grant, effective on the Grant Date set forth in the Notice of Grant, and subject to the terms and conditions of the Plan, which is incorporated herein by reference. Each Restricted Stock Unit represents the right to receive one share of Common Stock, on the terms and subject to the conditions set forth in this Agreement and the Plan. In the event of a conflict between the terms and conditions of the Plan and this Agreement, the terms and conditions of the Plan shall govern.</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b/>
          <w:color w:val="000000"/>
          <w:sz w:val="24"/>
        </w:rPr>
        <w:t>2. Transfer Restrictions</w:t>
      </w:r>
      <w:r>
        <w:rPr>
          <w:rFonts w:ascii="Times New Roman" w:hAnsi="Times New Roman"/>
          <w:b/>
          <w:i/>
          <w:color w:val="000000"/>
          <w:sz w:val="24"/>
        </w:rPr>
        <w:t>.</w:t>
      </w:r>
      <w:r>
        <w:rPr>
          <w:rFonts w:ascii="Times New Roman" w:hAnsi="Times New Roman"/>
          <w:color w:val="000000"/>
          <w:sz w:val="20"/>
        </w:rPr>
        <w:t xml:space="preserve"> </w:t>
      </w:r>
      <w:r>
        <w:rPr>
          <w:rFonts w:ascii="Times New Roman" w:hAnsi="Times New Roman"/>
          <w:color w:val="000000"/>
          <w:sz w:val="24"/>
        </w:rPr>
        <w:t>Grantee shall not sell, transfer, assign, pledge or otherwise encumber or dispose of, by operation of law or otherwise, the Restricted Stock Units.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4"/>
        </w:rPr>
        <w:t>3.</w:t>
      </w:r>
      <w:r>
        <w:rPr>
          <w:rFonts w:ascii="Times New Roman" w:hAnsi="Times New Roman"/>
          <w:color w:val="000000"/>
          <w:sz w:val="20"/>
        </w:rPr>
        <w:t xml:space="preserve"> </w:t>
      </w:r>
      <w:r>
        <w:rPr>
          <w:rFonts w:ascii="Times New Roman" w:hAnsi="Times New Roman"/>
          <w:b/>
          <w:color w:val="000000"/>
          <w:sz w:val="24"/>
        </w:rPr>
        <w:t>Vesting; Lapse of Restrictions</w:t>
      </w:r>
      <w:r>
        <w:rPr>
          <w:rFonts w:ascii="Times New Roman" w:hAnsi="Times New Roman"/>
          <w:b/>
          <w:i/>
          <w:color w:val="000000"/>
          <w:sz w:val="24"/>
        </w:rPr>
        <w:t xml:space="preserve">. </w:t>
      </w:r>
      <w:r>
        <w:rPr>
          <w:rFonts w:ascii="Times New Roman" w:hAnsi="Times New Roman"/>
          <w:color w:val="000000"/>
          <w:sz w:val="24"/>
        </w:rPr>
        <w:t>The period between the Grant Date and the final Service Vesting Date is referred to as the “</w:t>
      </w:r>
      <w:r>
        <w:rPr>
          <w:rFonts w:ascii="Times New Roman" w:hAnsi="Times New Roman"/>
          <w:b/>
          <w:color w:val="000000"/>
          <w:sz w:val="24"/>
        </w:rPr>
        <w:t>Vesting Period</w:t>
      </w:r>
      <w:r>
        <w:rPr>
          <w:rFonts w:ascii="Times New Roman" w:hAnsi="Times New Roman"/>
          <w:color w:val="000000"/>
          <w:sz w:val="24"/>
        </w:rPr>
        <w:t>.” Except as provided otherwise in this Agreement and the Plan (including but not limited to Section 10(c) of the Plan which provides for accelerated vesting upon certain terminations in connection with a Change of Control), if Grantee has been in continuous service to the Company or another entity the service providers of which are eligible to receive Awards under the Plan from the Grant Date through the applicable Service Vesting Date as an employee, director, consultant or advisor (herein referred to as “</w:t>
      </w:r>
      <w:r>
        <w:rPr>
          <w:rFonts w:ascii="Times New Roman" w:hAnsi="Times New Roman"/>
          <w:b/>
          <w:color w:val="000000"/>
          <w:sz w:val="24"/>
        </w:rPr>
        <w:t>Service</w:t>
      </w:r>
      <w:r>
        <w:rPr>
          <w:rFonts w:ascii="Times New Roman" w:hAnsi="Times New Roman"/>
          <w:color w:val="000000"/>
          <w:sz w:val="20"/>
        </w:rPr>
        <w:t>”</w:t>
      </w:r>
      <w:r>
        <w:rPr>
          <w:rFonts w:ascii="Times New Roman" w:hAnsi="Times New Roman"/>
          <w:color w:val="000000"/>
          <w:sz w:val="24"/>
        </w:rPr>
        <w:t>), the Restricted Stock Units shall vest as set forth on the Vesting Schedule in the Notice of Grant. As soon as practicable after the Service Vesting Date and in all events no later than March 15 of the calendar year following the calendar year in which the Service Vesting Date occurs, the Company will issue to the Grantee the shares of Common Stock subject to the Restricted Stock Units that vested on such Service Vesting Date. Only following the issuance of the shares of Common Stock to the Grantee may the Grantee transfer the shares of Common Stock (subject to applicable securities law requirements and the Company’s policies and procedures).</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4. Termination of Service. </w:t>
      </w:r>
      <w:r>
        <w:rPr>
          <w:rFonts w:ascii="Times New Roman" w:hAnsi="Times New Roman"/>
          <w:color w:val="000000"/>
          <w:sz w:val="24"/>
        </w:rPr>
        <w:t xml:space="preserve">If Grantee terminates Service prior to the Service Vesting Date on account of death, becoming disabled (as defined in Section 409A of the Internal Revenue Code), or termination by the Company other than for Cause, Grantee shall be entitled to earn a percentage of the Restricted Stock Units (the </w:t>
      </w:r>
      <w:r>
        <w:rPr>
          <w:rFonts w:ascii="Times New Roman" w:hAnsi="Times New Roman"/>
          <w:color w:val="000000"/>
          <w:sz w:val="20"/>
        </w:rPr>
        <w:t>“</w:t>
      </w:r>
      <w:r>
        <w:rPr>
          <w:rFonts w:ascii="Times New Roman" w:hAnsi="Times New Roman"/>
          <w:b/>
          <w:color w:val="000000"/>
          <w:sz w:val="24"/>
        </w:rPr>
        <w:t>Retained Units”</w:t>
      </w:r>
      <w:r>
        <w:rPr>
          <w:rFonts w:ascii="Times New Roman" w:hAnsi="Times New Roman"/>
          <w:color w:val="000000"/>
          <w:sz w:val="24"/>
        </w:rPr>
        <w:t>) equal to the ratio that the number of days of Service of Grantee during the Vesting Period bears to the total number of days in the Vesting Period. The Retained Units shall immediately vest on the date Grantee terminates Service and the remaining Restricted Stock Units shall be forfeited upon Grantee’s termination of Service. If Grantee terminates Service prior to the Service Vesting Date as a result of termination by the Company for Cause or voluntary termination by Grantee, all unvested Restricted Stock Units shall be forfeited upon Grantee’s termination of Service. Upon forfeiture of the Restricted Stock Units, Grantee shall have no further rights with respect thereto. Section 10(c) of the Plan provides for accelerated vesting with respect to certain terminations in connection with a Change of Control.</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5. Leave of Absence. </w:t>
      </w:r>
      <w:r>
        <w:rPr>
          <w:rFonts w:ascii="Times New Roman" w:hAnsi="Times New Roman"/>
          <w:color w:val="000000"/>
          <w:sz w:val="24"/>
        </w:rPr>
        <w:t xml:space="preserve">For purposes of the Restricted Stock Units, Service does not terminate when Grantee goes on a </w:t>
      </w:r>
      <w:r>
        <w:rPr>
          <w:rFonts w:ascii="Times New Roman" w:hAnsi="Times New Roman"/>
          <w:i/>
          <w:color w:val="000000"/>
          <w:sz w:val="24"/>
        </w:rPr>
        <w:t xml:space="preserve">bona fide </w:t>
      </w:r>
      <w:r>
        <w:rPr>
          <w:rFonts w:ascii="Times New Roman" w:hAnsi="Times New Roman"/>
          <w:color w:val="000000"/>
          <w:sz w:val="24"/>
        </w:rPr>
        <w:t>employee leave of absence that was approved by the Company or an affiliate in writing, if the terms of the leave provide for continued Service crediting, or when continued Service crediting is required by applicable law. However, Service will be treated as terminating 90 days after Grantee went on the approved leave, unless Grantee’s right to return to active work is guaranteed by law or by a contract. Service terminates in any event when the approved leave ends unless Grantee immediately returns to active Service. The Compensation Committee determines, in its sole discretion, which leaves of absence count for this purpose, and when Service terminates for all purposes under the Plan.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4"/>
        </w:rPr>
        <w:t>6. Dividends.</w:t>
      </w:r>
      <w:r>
        <w:rPr>
          <w:rFonts w:ascii="Times New Roman" w:hAnsi="Times New Roman"/>
          <w:color w:val="000000"/>
          <w:sz w:val="20"/>
        </w:rPr>
        <w:t xml:space="preserve"> </w:t>
      </w:r>
      <w:r>
        <w:rPr>
          <w:rFonts w:ascii="Times New Roman" w:hAnsi="Times New Roman"/>
          <w:color w:val="000000"/>
          <w:sz w:val="24"/>
        </w:rPr>
        <w:t>During the period between the Grant Date and the Service Vesting Date, the Company shall accrue an amount equal to the regular, special and extraordinary cash dividends declared and paid with respect to each share of Common Stock underlying the Restricted Stock Units which amount shall be retained by the Company and shall be subject to the same vesting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requirements as specified in the Notice of Grant above. Any accrued dividend equivalents to which Grantee becomes entitled upon vesting on the Service Vesting Date shall be paid to Grantee as soon as practicable following the Service Vesting Date, but in no event later than March 15 of the calendar year following the calendar year when the Restricted Stock Units vest.</w:t>
      </w:r>
    </w:p>
    <w:p>
      <w:pPr>
        <w:pStyle w:val="TextBody"/>
        <w:bidi w:val="0"/>
        <w:jc w:val="left"/>
        <w:rPr>
          <w:rFonts w:ascii="Times New Roman" w:hAnsi="Times New Roman"/>
          <w:sz w:val="20"/>
        </w:rPr>
      </w:pPr>
      <w:r>
        <w:rPr>
          <w:rFonts w:ascii="Times New Roman" w:hAnsi="Times New Roman"/>
          <w:b/>
          <w:color w:val="000000"/>
          <w:sz w:val="24"/>
        </w:rPr>
        <w:t>7. Tax Withholding.</w:t>
      </w:r>
      <w:r>
        <w:rPr>
          <w:rFonts w:ascii="Times New Roman" w:hAnsi="Times New Roman"/>
          <w:color w:val="000000"/>
          <w:sz w:val="20"/>
        </w:rPr>
        <w:t xml:space="preserve"> </w:t>
      </w:r>
      <w:r>
        <w:rPr>
          <w:rFonts w:ascii="Times New Roman" w:hAnsi="Times New Roman"/>
          <w:color w:val="000000"/>
          <w:sz w:val="24"/>
        </w:rPr>
        <w:t>The Company or any affiliate shall have the right to deduct from payments of any kind otherwise due to Grantee, any federal, state, local or foreign taxes of any kind required by law to be withheld upon the issuance, vesting or payment of any shares of Common Stock upon the vesting of the Restricted Stock Units or the payment of dividend equivalents. The Company shall not deliver any shares of Common Stock to the Grantee until it is satisfied that all required withholdings have been made. The Company may, at its discretion and to the extent permitted by applicable law, satisfy such withholding obligations in one or more of the following ways:</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w:t>
      </w:r>
    </w:p>
    <w:p>
      <w:pPr>
        <w:pStyle w:val="TextBody"/>
        <w:bidi w:val="0"/>
        <w:jc w:val="left"/>
        <w:rPr/>
      </w:pPr>
      <w:r>
        <w:rPr>
          <w:rFonts w:ascii="Times New Roman" w:hAnsi="Times New Roman"/>
          <w:color w:val="000000"/>
          <w:sz w:val="24"/>
        </w:rPr>
        <w:t>Sell-to-Cover. At such time as the Grantee is not aware of any material nonpublic information about the Company or the Common Stock and when the Grantee is permitted to do so under the Company’s insider trading policy, the Grantee shall execute the instructions set forth in Schedule A attached hereto (the “</w:t>
      </w:r>
      <w:r>
        <w:rPr>
          <w:rFonts w:ascii="Times New Roman" w:hAnsi="Times New Roman"/>
          <w:b/>
          <w:color w:val="000000"/>
          <w:sz w:val="24"/>
        </w:rPr>
        <w:t>Automatic Sale Instructions</w:t>
      </w:r>
      <w:r>
        <w:rPr>
          <w:color w:val="000000"/>
        </w:rPr>
        <w:t>”</w:t>
      </w:r>
      <w:r>
        <w:rPr>
          <w:rFonts w:ascii="Times New Roman" w:hAnsi="Times New Roman"/>
          <w:color w:val="000000"/>
          <w:sz w:val="24"/>
        </w:rPr>
        <w:t>) as the means of satisfying such withholding tax obligation if elected by the Company under this Section 7. If the Grantee does not execute the Automatic Sale Instructions prior to an applicable vesting date and the Company elects to satisfy tax withholding under this clause (a), then the Grantee agrees that if under applicable law the Grantee will owe taxes at such vesting date on the portion of the award then vested, then the Company shall be entitled to immediate payment from the Grantee of the amount of any tax required to be withheld by the Company.</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(b)</w:t>
      </w:r>
    </w:p>
    <w:p>
      <w:pPr>
        <w:pStyle w:val="TextBody"/>
        <w:bidi w:val="0"/>
        <w:jc w:val="left"/>
        <w:rPr>
          <w:rFonts w:ascii="Times New Roman" w:hAnsi="Times New Roman"/>
          <w:color w:val="000000"/>
          <w:sz w:val="24"/>
        </w:rPr>
      </w:pPr>
      <w:r>
        <w:rPr>
          <w:rFonts w:ascii="Times New Roman" w:hAnsi="Times New Roman"/>
          <w:color w:val="000000"/>
          <w:sz w:val="24"/>
        </w:rPr>
        <w:t>Share Withholding. Grantee hereby authorizes the Company to withhold from the number of shares of Common Stock that would otherwise be issued to Grantee upon vesting of the Restricted Stock Units a number of whole shares of Common Stock having a fair market value equal to the Company’s required tax withholding with respect to the Award and to deduct any remaining amount due from any payments due to Grantee. Any shares of Common Stock issued or withheld shall have an aggregate fair market value not in excess of the minimum statutory total tax withholding obligation. The fair market value of the shares of Common Stock used to satisfy the withholding obligation shall be determined by the Company as of the date that the amount of tax to be withheld is to be determined. Shares of Common Stock used to satisfy any tax withholding obligation must be vested and cannot be subject to any repurchase, forfeiture, or other similar requirements.</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Participant acknowledges and agrees that the Company has the authority to determine the method by which such tax withholding obligations will be satisfied, including requiring an automatic sale of shares under this Section or an alternative arrangement that does have a negative impact on the Grantee. The Company may take such actions without further consent or instruction from the Grantee, to the extent permitted by applicable law.</w:t>
      </w:r>
    </w:p>
    <w:p>
      <w:pPr>
        <w:pStyle w:val="TextBody"/>
        <w:bidi w:val="0"/>
        <w:spacing w:before="0" w:after="240"/>
        <w:jc w:val="left"/>
        <w:rPr>
          <w:rFonts w:ascii="Times New Roman" w:hAnsi="Times New Roman"/>
          <w:sz w:val="20"/>
        </w:rPr>
      </w:pPr>
      <w:r>
        <w:rPr>
          <w:rFonts w:ascii="Times New Roman" w:hAnsi="Times New Roman"/>
          <w:b/>
          <w:color w:val="000000"/>
          <w:sz w:val="24"/>
        </w:rPr>
        <w:t>8. Effect of Prohibited Transfer.</w:t>
      </w:r>
      <w:r>
        <w:rPr>
          <w:rFonts w:ascii="Times New Roman" w:hAnsi="Times New Roman"/>
          <w:color w:val="000000"/>
          <w:sz w:val="20"/>
        </w:rPr>
        <w:t xml:space="preserve"> </w:t>
      </w:r>
      <w:r>
        <w:rPr>
          <w:rFonts w:ascii="Times New Roman" w:hAnsi="Times New Roman"/>
          <w:color w:val="000000"/>
          <w:sz w:val="24"/>
        </w:rPr>
        <w:t>If any transfer of Restricted Stock Units is made or attempted to be made contrary to the terms of this Agreement, the Company shall have the right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disregard such transfer and to terminate this award of Restricted Stock Units as a result of such prohibited transfer. In addition to any other legal or equitable remedies it may have, the Company may enforce its rights to specific performance to the extent permitted by law and may exercise such other equitable remedies then available. The Company may refuse for any purpose to recognize any transferee who receives Restricted Stock Units contrary to the provisions of this Agreement as a holder of the Restricted Stock Units and shall not be obligated, and will not, issue any shares of Common Stock upon the vesting of such Restricted Stock Units to such prohibited transferee.</w:t>
      </w:r>
    </w:p>
    <w:p>
      <w:pPr>
        <w:pStyle w:val="TextBody"/>
        <w:bidi w:val="0"/>
        <w:spacing w:before="0" w:after="240"/>
        <w:jc w:val="left"/>
        <w:rPr>
          <w:rFonts w:ascii="Times New Roman" w:hAnsi="Times New Roman"/>
          <w:sz w:val="20"/>
        </w:rPr>
      </w:pPr>
      <w:r>
        <w:rPr>
          <w:rFonts w:ascii="Times New Roman" w:hAnsi="Times New Roman"/>
          <w:b/>
          <w:color w:val="000000"/>
          <w:sz w:val="24"/>
        </w:rPr>
        <w:t>9. Investment Representations.</w:t>
      </w:r>
      <w:r>
        <w:rPr>
          <w:rFonts w:ascii="Times New Roman" w:hAnsi="Times New Roman"/>
          <w:color w:val="000000"/>
          <w:sz w:val="20"/>
        </w:rPr>
        <w:t xml:space="preserve"> </w:t>
      </w:r>
      <w:r>
        <w:rPr>
          <w:rFonts w:ascii="Times New Roman" w:hAnsi="Times New Roman"/>
          <w:color w:val="000000"/>
          <w:sz w:val="24"/>
        </w:rPr>
        <w:t>The Compensation Committee may require Grantee (or Grantee’s estate or heirs) to represent and warrant in writing that the individual is acquiring the shares of Common Stock upon vesting of the Restricted Stock Units for investment and without any present intention to sell or distribute such shares and to make such other representations as are deemed necessary or appropriate by the Company and its counsel.</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10. Continued Service. </w:t>
      </w:r>
      <w:r>
        <w:rPr>
          <w:rFonts w:ascii="Times New Roman" w:hAnsi="Times New Roman"/>
          <w:color w:val="000000"/>
          <w:sz w:val="24"/>
        </w:rPr>
        <w:t>Neither the grant of the Restricted Stock Units nor this Agreement gives Grantee the right to continue Service with the Company or its affiliates in any capacity. The Company and its affiliates reserve the right to terminate Grantee’s Service at any time and for any reason not prohibited by law.</w:t>
      </w:r>
    </w:p>
    <w:p>
      <w:pPr>
        <w:pStyle w:val="TextBody"/>
        <w:bidi w:val="0"/>
        <w:spacing w:before="0" w:after="240"/>
        <w:jc w:val="left"/>
        <w:rPr>
          <w:rFonts w:ascii="Times New Roman" w:hAnsi="Times New Roman"/>
          <w:sz w:val="20"/>
        </w:rPr>
      </w:pPr>
      <w:r>
        <w:rPr>
          <w:rFonts w:ascii="Times New Roman" w:hAnsi="Times New Roman"/>
          <w:b/>
          <w:color w:val="000000"/>
          <w:sz w:val="24"/>
        </w:rPr>
        <w:t>11. Governing Law.</w:t>
      </w:r>
      <w:r>
        <w:rPr>
          <w:rFonts w:ascii="Times New Roman" w:hAnsi="Times New Roman"/>
          <w:color w:val="000000"/>
          <w:sz w:val="20"/>
        </w:rPr>
        <w:t xml:space="preserve"> </w:t>
      </w:r>
      <w:r>
        <w:rPr>
          <w:rFonts w:ascii="Times New Roman" w:hAnsi="Times New Roman"/>
          <w:color w:val="000000"/>
          <w:sz w:val="24"/>
        </w:rPr>
        <w:t>The validity and construction of this Agreement and the Plan shall be construed in accordance with and governed by the laws of the State of Delaware other than any conflicts or choice of law rule or principle that might otherwise refer construction or interpretation of the Plan and this Agreement to the substantive laws of any other jurisdiction.</w:t>
      </w:r>
    </w:p>
    <w:p>
      <w:pPr>
        <w:pStyle w:val="TextBody"/>
        <w:bidi w:val="0"/>
        <w:spacing w:before="0" w:after="240"/>
        <w:jc w:val="left"/>
        <w:rPr>
          <w:rFonts w:ascii="Times New Roman" w:hAnsi="Times New Roman"/>
          <w:sz w:val="20"/>
        </w:rPr>
      </w:pPr>
      <w:r>
        <w:rPr>
          <w:rFonts w:ascii="Times New Roman" w:hAnsi="Times New Roman"/>
          <w:b/>
          <w:color w:val="000000"/>
          <w:sz w:val="24"/>
        </w:rPr>
        <w:t>12. Binding Effect.</w:t>
      </w:r>
      <w:r>
        <w:rPr>
          <w:rFonts w:ascii="Times New Roman" w:hAnsi="Times New Roman"/>
          <w:color w:val="000000"/>
          <w:sz w:val="20"/>
        </w:rPr>
        <w:t xml:space="preserve"> </w:t>
      </w:r>
      <w:r>
        <w:rPr>
          <w:rFonts w:ascii="Times New Roman" w:hAnsi="Times New Roman"/>
          <w:color w:val="000000"/>
          <w:sz w:val="24"/>
        </w:rPr>
        <w:t>This Agreement shall be binding upon and inure to the benefit of the Company and Grantee and their respective heirs, executors, administrators, legal representatives, successors and assigns.</w:t>
      </w:r>
    </w:p>
    <w:p>
      <w:pPr>
        <w:pStyle w:val="TextBody"/>
        <w:bidi w:val="0"/>
        <w:spacing w:before="0" w:after="240"/>
        <w:jc w:val="left"/>
        <w:rPr>
          <w:rFonts w:ascii="Times New Roman" w:hAnsi="Times New Roman"/>
          <w:sz w:val="20"/>
        </w:rPr>
      </w:pPr>
      <w:r>
        <w:rPr>
          <w:rFonts w:ascii="Times New Roman" w:hAnsi="Times New Roman"/>
          <w:b/>
          <w:color w:val="000000"/>
          <w:sz w:val="24"/>
        </w:rPr>
        <w:t>13. Tax Treatment; Section 83(b)</w:t>
      </w:r>
      <w:r>
        <w:rPr>
          <w:rFonts w:ascii="Times New Roman" w:hAnsi="Times New Roman"/>
          <w:b/>
          <w:i/>
          <w:color w:val="000000"/>
          <w:sz w:val="24"/>
        </w:rPr>
        <w:t xml:space="preserve">. </w:t>
      </w:r>
      <w:r>
        <w:rPr>
          <w:rFonts w:ascii="Times New Roman" w:hAnsi="Times New Roman"/>
          <w:color w:val="000000"/>
          <w:sz w:val="24"/>
        </w:rPr>
        <w:t>Grantee may incur tax liability as a result of the vesting of the Restricted Stock Units, the payment of dividend equivalents or the disposition of shares of Common Stock issued upon the vesting of the Restricted Stock Units. Grantee should consult his or her own tax adviser for tax advice.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Grantee hereby acknowledges that Grantee has been informed that no election under Section 83(b) of the Internal Revenue Code is permitted with respect to the Restricted Stock Units.</w:t>
      </w:r>
    </w:p>
    <w:p>
      <w:pPr>
        <w:pStyle w:val="TextBody"/>
        <w:bidi w:val="0"/>
        <w:spacing w:before="0" w:after="240"/>
        <w:jc w:val="left"/>
        <w:rPr>
          <w:rFonts w:ascii="Times New Roman" w:hAnsi="Times New Roman"/>
          <w:sz w:val="20"/>
        </w:rPr>
      </w:pPr>
      <w:r>
        <w:rPr>
          <w:rFonts w:ascii="Times New Roman" w:hAnsi="Times New Roman"/>
          <w:b/>
          <w:color w:val="000000"/>
          <w:sz w:val="24"/>
        </w:rPr>
        <w:t>14. Amendment.</w:t>
      </w:r>
      <w:r>
        <w:rPr>
          <w:rFonts w:ascii="Times New Roman" w:hAnsi="Times New Roman"/>
          <w:color w:val="000000"/>
          <w:sz w:val="20"/>
        </w:rPr>
        <w:t xml:space="preserve"> </w:t>
      </w:r>
      <w:r>
        <w:rPr>
          <w:rFonts w:ascii="Times New Roman" w:hAnsi="Times New Roman"/>
          <w:color w:val="000000"/>
          <w:sz w:val="24"/>
        </w:rPr>
        <w:t>The terms and conditions set forth in this Agreement may only be amended by the written consent of the Company and Grantee, except to the extent set forth in the Plan.</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15. 2020 Omnibus Incentive Plan. </w:t>
      </w:r>
      <w:r>
        <w:rPr>
          <w:rFonts w:ascii="Times New Roman" w:hAnsi="Times New Roman"/>
          <w:color w:val="000000"/>
          <w:sz w:val="24"/>
        </w:rPr>
        <w:t>The Restricted Stock Units and payment of dividend equivalents granted hereunder shall be subject to such additional terms and conditions as may be imposed under the terms of the Plan, a copy of which has been provided to Grantee. A copy of the Prospectus for the 2020 Omnibus Incentive Plan shall also be provided to Grantee.</w:t>
      </w:r>
    </w:p>
    <w:p>
      <w:pPr>
        <w:pStyle w:val="TextBody"/>
        <w:bidi w:val="0"/>
        <w:spacing w:before="0" w:after="240"/>
        <w:jc w:val="left"/>
        <w:rPr>
          <w:rFonts w:ascii="Times New Roman" w:hAnsi="Times New Roman"/>
          <w:sz w:val="20"/>
        </w:rPr>
      </w:pPr>
      <w:r>
        <w:rPr>
          <w:rFonts w:ascii="Times New Roman" w:hAnsi="Times New Roman"/>
          <w:b/>
          <w:color w:val="000000"/>
          <w:sz w:val="24"/>
        </w:rPr>
        <w:t>16. [Executive Restrictive Covenants</w:t>
      </w:r>
      <w:r>
        <w:rPr>
          <w:rFonts w:ascii="Times New Roman" w:hAnsi="Times New Roman"/>
          <w:color w:val="000000"/>
          <w:sz w:val="24"/>
        </w:rPr>
        <w:t>. The issuances under this Agreement are contingent upon and in consideration for the Grantee having executed and delivered to the Company’s designated contact no later than _________ a signature page to the Restrictive Covenant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Agreement between the Grantee and the Company attached as Schedule B attached hereto (the “Restrictive Covenant Agreement”). For the avoidance of doubt, if the Participant has not executed and delivered to the Company’s designated contact the Restrictive Covenant Agreement, the grant of the Restricted Stock Units represented by this Agreement will never take effect and will be null and void.]</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NATIONAL CINEMEDIA, INC.</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By: _________________________________</w:t>
        <w:br/>
        <w:t>Ronnie Ng</w:t>
        <w:br/>
        <w:t>Chief Financial Officer</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Schedule A</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Automatic Sale Instructions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undersigned hereby consents and agrees that any taxes due on a vesting date as a result of the vesting of RSUs on such date shall be paid through an automatic sale of shares as follows:</w:t>
      </w:r>
    </w:p>
    <w:p>
      <w:pPr>
        <w:pStyle w:val="Heading2"/>
        <w:bidi w:val="0"/>
        <w:spacing w:before="240" w:after="60"/>
        <w:jc w:val="left"/>
        <w:rPr>
          <w:rFonts w:ascii="Times New Roman" w:hAnsi="Times New Roman"/>
          <w:b w:val="false"/>
          <w:color w:val="000000"/>
          <w:sz w:val="24"/>
        </w:rPr>
      </w:pPr>
      <w:r>
        <w:rPr>
          <w:rFonts w:ascii="Times New Roman" w:hAnsi="Times New Roman"/>
          <w:b w:val="false"/>
          <w:color w:val="000000"/>
          <w:sz w:val="24"/>
        </w:rPr>
        <w:t>(a) Upon any vesting of RSUs pursuant to Section 3 hereof, the Company shall arrange for the sale of such number of shares of Common Stock issuable with respect to the RSUs that vest pursuant to Section 3 as is sufficient to generate net proceeds sufficient to satisfy the Company’s minimum statutory withholding obligations with respect to the income recognized by the Grantee upon the vesting of the RSUs (based on minimum statutory withholding rates for all tax purposes, including payroll and social security taxes, that are applicable to such income), and the net proceeds of such sale shall be delivered to the Company in satisfaction of such tax withholding obligations.</w:t>
      </w:r>
    </w:p>
    <w:p>
      <w:pPr>
        <w:pStyle w:val="Heading2"/>
        <w:bidi w:val="0"/>
        <w:spacing w:before="180" w:after="60"/>
        <w:jc w:val="left"/>
        <w:rPr>
          <w:rFonts w:ascii="Times New Roman" w:hAnsi="Times New Roman"/>
          <w:sz w:val="20"/>
        </w:rPr>
      </w:pPr>
      <w:r>
        <w:rPr>
          <w:rFonts w:ascii="Times New Roman" w:hAnsi="Times New Roman"/>
          <w:b w:val="false"/>
          <w:color w:val="000000"/>
          <w:sz w:val="24"/>
        </w:rPr>
        <w:t xml:space="preserve">(b) The Grantee hereby appoints the Chief Executive Officer, Chief Financial Officer, and the Executive Vice President, General Counsel and Secretary and any of them acting alone and with full power of substitution, to serve as his or her attorneys in fact to arrange for the sale of the Grantee’s Common Stock in accordance with this </w:t>
      </w:r>
      <w:r>
        <w:rPr>
          <w:rFonts w:ascii="Times New Roman" w:hAnsi="Times New Roman"/>
          <w:b w:val="false"/>
          <w:color w:val="000000"/>
          <w:sz w:val="24"/>
          <w:u w:val="single"/>
        </w:rPr>
        <w:t>Schedule A</w:t>
      </w:r>
      <w:r>
        <w:rPr>
          <w:rFonts w:ascii="Times New Roman" w:hAnsi="Times New Roman"/>
          <w:b w:val="false"/>
          <w:color w:val="000000"/>
          <w:sz w:val="24"/>
        </w:rPr>
        <w:t xml:space="preserve">. The Grantee agrees to execute and deliver such documents, instruments and certificates as may reasonably be required in connection with the sale of the shares pursuant to this </w:t>
      </w:r>
      <w:r>
        <w:rPr>
          <w:rFonts w:ascii="Times New Roman" w:hAnsi="Times New Roman"/>
          <w:b w:val="false"/>
          <w:color w:val="000000"/>
          <w:sz w:val="24"/>
          <w:u w:val="single"/>
        </w:rPr>
        <w:t>Schedule A</w:t>
      </w:r>
      <w:r>
        <w:rPr>
          <w:rFonts w:ascii="Times New Roman" w:hAnsi="Times New Roman"/>
          <w:b w:val="false"/>
          <w:color w:val="000000"/>
          <w:sz w:val="24"/>
        </w:rPr>
        <w:t>.</w:t>
      </w:r>
    </w:p>
    <w:p>
      <w:pPr>
        <w:pStyle w:val="Heading2"/>
        <w:bidi w:val="0"/>
        <w:spacing w:before="180" w:after="60"/>
        <w:jc w:val="left"/>
        <w:rPr>
          <w:rFonts w:ascii="Times New Roman" w:hAnsi="Times New Roman"/>
          <w:sz w:val="20"/>
        </w:rPr>
      </w:pPr>
      <w:r>
        <w:rPr>
          <w:rFonts w:ascii="Times New Roman" w:hAnsi="Times New Roman"/>
          <w:b w:val="false"/>
          <w:color w:val="000000"/>
          <w:sz w:val="24"/>
        </w:rPr>
        <w:t xml:space="preserve">(c) The Grantee represents to the Company that, as of the date hereof, (i) he or she is not aware of any material nonpublic information about the Company or the Common Stock and (ii) he or she is not prohibited from entering into these Automatic Sale Instructions under the Company’s insider trading policy. The Grantee and the Company have structured this Agreement, including this </w:t>
      </w:r>
      <w:r>
        <w:rPr>
          <w:rFonts w:ascii="Times New Roman" w:hAnsi="Times New Roman"/>
          <w:b w:val="false"/>
          <w:color w:val="000000"/>
          <w:sz w:val="24"/>
          <w:u w:val="single"/>
        </w:rPr>
        <w:t>Schedule A</w:t>
      </w:r>
      <w:r>
        <w:rPr>
          <w:rFonts w:ascii="Times New Roman" w:hAnsi="Times New Roman"/>
          <w:b w:val="false"/>
          <w:color w:val="000000"/>
          <w:sz w:val="24"/>
        </w:rPr>
        <w:t>, to constitute a “binding contract” relating to the sale of Common Stock, consistent with the affirmative defense to liability under Section 10(b) of the Securities Exchange Act of 1934 under Rule 10b5-1(c) promulgated under such Act.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The Company shall not deliver any shares of Common Stock to the Grantee until it is satisfied that all required withholdings have been made.</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Grantee Name: ________________</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Date: __________________________</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Schedule B</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Restrictive Covenant Agreement</w:t>
      </w:r>
    </w:p>
    <w:p>
      <w:pPr>
        <w:pStyle w:val="TextBody"/>
        <w:bidi w:val="0"/>
        <w:jc w:val="center"/>
        <w:rPr>
          <w:rFonts w:ascii="Times New Roman" w:hAnsi="Times New Roman"/>
          <w:b/>
          <w:color w:val="000000"/>
          <w:sz w:val="24"/>
        </w:rPr>
      </w:pPr>
      <w:r>
        <w:rPr>
          <w:rFonts w:ascii="Times New Roman" w:hAnsi="Times New Roman"/>
          <w:b/>
          <w:color w:val="000000"/>
          <w:sz w:val="24"/>
        </w:rPr>
        <w:t>(Long-Term Inventive Program)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Grantee hereby consents and agrees in consideration of the Grantee’s grant of Restricted Stock Units under the Time-Based Restricted Stock Unit Agreement, dated ___________, Grantee has read and accepted the terms and conditions of this Restrictive Covenant Agreement. Grantee understands and agrees that if Grantee does not accept and refuses to agree to this Restrictive Covenant Agreement on or prior to _____________, the Compensation and Leadership Committee shall, in its sole discretion, cancel the grant.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Grantee agrees that Grantee has had at least 14 days to consider this Restrictive Covenant Agreement. This Restrictive Covenant Agreement will be effective as of the date following the Grantee’s signature below, which will be no earlier than 14 days following Grantee’s receipt.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provisions of this Restrictive Covenant Agreement will survive the termination of the Grantee’s employment for any reason.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u w:val="single"/>
        </w:rPr>
        <w:t>Restrictive Covenants</w:t>
      </w:r>
      <w:r>
        <w:rPr>
          <w:rFonts w:ascii="Times New Roman" w:hAnsi="Times New Roman"/>
          <w:color w:val="000000"/>
          <w:sz w:val="24"/>
        </w:rPr>
        <w:t xml:space="preserve">. Grantee acknowledges that the Company is engaged in a highly competitive business and that the preservation of its Proprietary or Confidential Information (as defined in </w:t>
      </w:r>
      <w:r>
        <w:rPr>
          <w:rFonts w:ascii="Times New Roman" w:hAnsi="Times New Roman"/>
          <w:color w:val="000000"/>
          <w:sz w:val="24"/>
          <w:u w:val="single"/>
        </w:rPr>
        <w:t>Section 1(a)</w:t>
      </w:r>
      <w:r>
        <w:rPr>
          <w:color w:val="000000"/>
        </w:rPr>
        <w:t xml:space="preserve"> </w:t>
      </w:r>
      <w:r>
        <w:rPr>
          <w:rFonts w:ascii="Times New Roman" w:hAnsi="Times New Roman"/>
          <w:color w:val="000000"/>
          <w:sz w:val="24"/>
        </w:rPr>
        <w:t>below) to which Grantee has been exposed or acquired, and will continue to be exposed to and acquire, is critical to the Company’s continued business success. Grantee also acknowledges that the Company’s relationships with its business partners hereinafter “</w:t>
      </w:r>
      <w:r>
        <w:rPr>
          <w:rFonts w:ascii="Times New Roman" w:hAnsi="Times New Roman"/>
          <w:color w:val="000000"/>
          <w:sz w:val="24"/>
          <w:u w:val="single"/>
        </w:rPr>
        <w:t>Business Partners</w:t>
      </w:r>
      <w:r>
        <w:rPr>
          <w:color w:val="000000"/>
        </w:rPr>
        <w:t xml:space="preserve">” </w:t>
      </w:r>
      <w:r>
        <w:rPr>
          <w:rFonts w:ascii="Times New Roman" w:hAnsi="Times New Roman"/>
          <w:color w:val="000000"/>
          <w:sz w:val="24"/>
        </w:rPr>
        <w:t xml:space="preserve">which means NCM LLC, AMC, Cinemark and Regal and all their respective Affiliates together with any chain, circuit or group (of any nature of description) of movie theaters or like venues </w:t>
      </w:r>
      <w:r>
        <w:rPr>
          <w:rFonts w:ascii="Times New Roman" w:hAnsi="Times New Roman"/>
          <w:color w:val="000000"/>
          <w:sz w:val="24"/>
          <w:u w:val="single"/>
        </w:rPr>
        <w:t>which</w:t>
      </w:r>
      <w:r>
        <w:rPr>
          <w:color w:val="000000"/>
        </w:rPr>
        <w:t xml:space="preserve"> </w:t>
      </w:r>
      <w:r>
        <w:rPr>
          <w:rFonts w:ascii="Times New Roman" w:hAnsi="Times New Roman"/>
          <w:color w:val="000000"/>
          <w:sz w:val="24"/>
        </w:rPr>
        <w:t xml:space="preserve">now or hereafter enter into business relations with the Company), are extremely valuable and that, by virtue of Grantee’s employment with the Company, Grantee may have contact with such Business Partners on behalf of and for the benefit of the Company. As a result, Grantee’s engaging in or working for or with any business which is directly or indirectly competitive with the Company’s business, given Grantee’s knowledge of the Company’s Proprietary or Confidential Information, would cause the Company great and irreparable harm if not done in strict compliance with the provisions of this </w:t>
      </w:r>
      <w:r>
        <w:rPr>
          <w:rFonts w:ascii="Times New Roman" w:hAnsi="Times New Roman"/>
          <w:color w:val="000000"/>
          <w:sz w:val="24"/>
          <w:u w:val="single"/>
        </w:rPr>
        <w:t>Section 1</w:t>
      </w:r>
      <w:r>
        <w:rPr>
          <w:rFonts w:ascii="Times New Roman" w:hAnsi="Times New Roman"/>
          <w:color w:val="000000"/>
          <w:sz w:val="24"/>
        </w:rPr>
        <w:t xml:space="preserve">. Therefore, Grantee acknowledges and agrees that in consideration of all of the above and in exchange for access to the Company’s Proprietary or Confidential Information, Grantee will be bound by, and comply in all respects with, the provisions of this </w:t>
      </w:r>
      <w:r>
        <w:rPr>
          <w:rFonts w:ascii="Times New Roman" w:hAnsi="Times New Roman"/>
          <w:color w:val="000000"/>
          <w:sz w:val="24"/>
          <w:u w:val="single"/>
        </w:rPr>
        <w:t>Section 1</w:t>
      </w:r>
      <w:r>
        <w:rPr>
          <w:rFonts w:ascii="Times New Roman" w:hAnsi="Times New Roman"/>
          <w:color w:val="000000"/>
          <w:sz w:val="24"/>
        </w:rPr>
        <w:t xml:space="preserve">. For purposes of this </w:t>
      </w:r>
      <w:r>
        <w:rPr>
          <w:rFonts w:ascii="Times New Roman" w:hAnsi="Times New Roman"/>
          <w:color w:val="000000"/>
          <w:sz w:val="24"/>
          <w:u w:val="single"/>
        </w:rPr>
        <w:t>Section 1</w:t>
      </w:r>
      <w:r>
        <w:rPr>
          <w:rFonts w:ascii="Times New Roman" w:hAnsi="Times New Roman"/>
          <w:color w:val="000000"/>
          <w:sz w:val="24"/>
        </w:rPr>
        <w:t>, any references to the time period of Grantee’s employment with the Company shall date back to Grantee’s original hire date with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Confidentiality</w:t>
      </w:r>
      <w:r>
        <w:rPr>
          <w:rFonts w:ascii="Times New Roman" w:hAnsi="Times New Roman"/>
          <w:color w:val="000000"/>
          <w:sz w:val="24"/>
        </w:rPr>
        <w:t>. Grantee shall at all times hold in strict confidence any Proprietary or Confidential Information related to the Company or any of its affiliates (which shall mean any entity that, directly or indirectly, is controlled by, controls or is under common control with the Company and/or any entity in which the Company has a significant equity interest, in either case as determined by the Board, hereinafter “</w:t>
      </w:r>
      <w:r>
        <w:rPr>
          <w:rFonts w:ascii="Times New Roman" w:hAnsi="Times New Roman"/>
          <w:color w:val="000000"/>
          <w:sz w:val="24"/>
          <w:u w:val="single"/>
        </w:rPr>
        <w:t>Affiliates</w:t>
      </w:r>
      <w:r>
        <w:rPr>
          <w:color w:val="000000"/>
        </w:rPr>
        <w:t>”</w:t>
      </w:r>
      <w:r>
        <w:rPr>
          <w:rFonts w:ascii="Times New Roman" w:hAnsi="Times New Roman"/>
          <w:color w:val="000000"/>
          <w:sz w:val="24"/>
        </w:rPr>
        <w:t xml:space="preserve">) (including without limitation AMC, Cinemark, Regal and NCM, LLC), except that Grantee may disclose such information as required by law, court order, regulation, or similar order provided Grantee shall first have notified the Company of the pendency of such proceeding and afforded the Company an opportunity to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intervene and defend against disclosure. For purposes of this Agreement, the term “</w:t>
      </w:r>
      <w:r>
        <w:rPr>
          <w:rFonts w:ascii="Times New Roman" w:hAnsi="Times New Roman"/>
          <w:color w:val="000000"/>
          <w:sz w:val="24"/>
          <w:u w:val="single"/>
        </w:rPr>
        <w:t>Proprietary or Confidential Information</w:t>
      </w:r>
      <w:r>
        <w:rPr>
          <w:color w:val="000000"/>
        </w:rPr>
        <w:t xml:space="preserve">” </w:t>
      </w:r>
      <w:r>
        <w:rPr>
          <w:rFonts w:ascii="Times New Roman" w:hAnsi="Times New Roman"/>
          <w:color w:val="000000"/>
          <w:sz w:val="24"/>
        </w:rPr>
        <w:t>shall mean all non-public information relating to the Company or any of its Affiliates (including but not limited to all marketing, alliance, social media, advertising, and sales plans and strategies; pricing information; financial, advertising, and product development plans and strategies; compensation and incentive programs for employees; alliance agreements, plans, and processes; plans, strategies, and agreements related to the sale of assets; third party provider agreements, relationships, and strategies; business methods and processes used by the Company and its employees; all personally identifiable information regarding Company employees, contractors, and applicants; lists of actual or potential Business Partners; and all other business plans, trade secrets, or financial information of strategic importance to the Company or its Affiliates) that is not generally known in the Company’s industry, that was learned, discovered, developed, conceived, originated, or prepared during Grantee’s employment with the Company, and the competitive use or disclosure of which would be harmful to the business prospects, financial status, or reputation of the Company or its Affiliates at the time of any disclosure by Grantee.</w:t>
      </w:r>
      <w:r>
        <w:rPr>
          <w:color w:val="000000"/>
        </w:rPr>
        <w:t xml:space="preserve"> </w:t>
      </w:r>
    </w:p>
    <w:p>
      <w:pPr>
        <w:pStyle w:val="TextBody"/>
        <w:bidi w:val="0"/>
        <w:jc w:val="both"/>
        <w:rPr>
          <w:rFonts w:ascii="Times New Roman" w:hAnsi="Times New Roman"/>
          <w:sz w:val="20"/>
        </w:rPr>
      </w:pPr>
      <w:r>
        <w:rPr>
          <w:rFonts w:ascii="Times New Roman" w:hAnsi="Times New Roman"/>
          <w:color w:val="000000"/>
          <w:sz w:val="24"/>
        </w:rPr>
        <w:t xml:space="preserve">The relationship between Grantee and the Company and its Affiliates is and shall continue to be one in which the Company and its Affiliates repose special trust and confidence in Grantee, and one in which Grantee has and shall have a fiduciary relationship to the Company and its Affiliates. As a result, the Company and its Affiliates shall, in the course of Grantee’s duties to the Company, entrust Grantee with, and disclose to Grantee, Proprietary or Confidential Information. Grantee recognizes that Proprietary or Confidential Information has been developed or acquired, or will be developed or acquired, by the Company and its Affiliates at great expense, is proprietary to the Company and its Affiliates, and is and shall remain the property of the Company and its Affiliates. Grantee acknowledges the confidentiality of Proprietary or Confidential Information and further acknowledges that Grantee could not competently perform Grantee’s duties and responsibilities in Grantee’s position with the Company and/or its Affiliates without access to such information. Grantee acknowledges that any use of Proprietary or Confidential Information by persons not in the employ of the Company and its Affiliates would provide such persons with an unfair competitive advantage which they would not have without the knowledge and/or use of the Proprietary or Confidential Information and that this would cause the Company and its Affiliates irreparable harm. Grantee further acknowledges that because of this unfair competitive advantage, and the Company’s and its Affiliates’ legitimate business interests, which include their need to protect their goodwill and the Proprietary or Confidential Information, Grantee has agreed to the post-employment restrictions set forth in this </w:t>
      </w:r>
      <w:r>
        <w:rPr>
          <w:rFonts w:ascii="Times New Roman" w:hAnsi="Times New Roman"/>
          <w:color w:val="000000"/>
          <w:sz w:val="24"/>
          <w:u w:val="single"/>
        </w:rPr>
        <w:t>Section 1</w:t>
      </w:r>
      <w:r>
        <w:rPr>
          <w:rFonts w:ascii="Times New Roman" w:hAnsi="Times New Roman"/>
          <w:color w:val="000000"/>
          <w:sz w:val="24"/>
        </w:rPr>
        <w:t xml:space="preserve">. Nothing in this </w:t>
      </w:r>
      <w:r>
        <w:rPr>
          <w:rFonts w:ascii="Times New Roman" w:hAnsi="Times New Roman"/>
          <w:color w:val="000000"/>
          <w:sz w:val="24"/>
          <w:u w:val="single"/>
        </w:rPr>
        <w:t>Section 1(a)</w:t>
      </w:r>
      <w:r>
        <w:rPr>
          <w:rFonts w:ascii="Times New Roman" w:hAnsi="Times New Roman"/>
          <w:color w:val="000000"/>
          <w:sz w:val="20"/>
        </w:rPr>
        <w:t xml:space="preserve"> </w:t>
      </w:r>
      <w:r>
        <w:rPr>
          <w:rFonts w:ascii="Times New Roman" w:hAnsi="Times New Roman"/>
          <w:color w:val="000000"/>
          <w:sz w:val="24"/>
        </w:rPr>
        <w:t>is intended, or shall be construed, (i) to limit the protection of any applicable law or policy of the Company or its Affiliates that relates to the protection of trade secrets or confidential or proprietary information or (ii) to limit Grantee’s ability to initiate communications directly with, or to respond to any inquiry from, or provide testimony before, the SEC, FINRA, any other self-regulatory organization or any other state or federal regulatory authority.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Non-Solicitation of Employees</w:t>
      </w:r>
      <w:r>
        <w:rPr>
          <w:rFonts w:ascii="Times New Roman" w:hAnsi="Times New Roman"/>
          <w:color w:val="000000"/>
          <w:sz w:val="24"/>
        </w:rPr>
        <w:t>. During Grantee’s employment and for the one-year period following termination of Grantee’s employment for any reason (the “</w:t>
      </w:r>
      <w:r>
        <w:rPr>
          <w:rFonts w:ascii="Times New Roman" w:hAnsi="Times New Roman"/>
          <w:color w:val="000000"/>
          <w:sz w:val="24"/>
          <w:u w:val="single"/>
        </w:rPr>
        <w:t>Coverage Period</w:t>
      </w:r>
      <w:r>
        <w:rPr>
          <w:color w:val="000000"/>
        </w:rPr>
        <w:t>”</w:t>
      </w:r>
      <w:r>
        <w:rPr>
          <w:rFonts w:ascii="Times New Roman" w:hAnsi="Times New Roman"/>
          <w:color w:val="000000"/>
          <w:sz w:val="24"/>
        </w:rPr>
        <w:t xml:space="preserve">), Grantee hereby agrees not to, directly or indirectly, solicit, hire, seek to hire, engage or assist any other person or entity (on Grantee’s own behalf or on behalf of such other person or entity) in soliciting, hiring or engaging any person who is at that time an employee, consultant, independent contractor, representative, or other agent of the Company or any of its Affiliates to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perform services for any entity (other than the Company or its Affiliates), or attempt to induce or encourage any such employee to leave the employ of the Company or its Affiliates.</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Non-Competition</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rPr>
        <w:t>In return for, among other things, all of the above and the Company’s promise to provide the Proprietary or Confidential Information described herein, Grantee agrees that during Grantee’s employment and the Coverage Period, Grantee shall not compete with the Company by providing work, services or any other form of assistance (whether or not for compensation) in any capacity, whether as an employee, consultant, partner, or otherwise, to any Competitor that (1) is the same or similar to the services Grantee provided to the Company or (2) creates the reasonable risk that Grantee will (willfully, inadvertently or inevitably) use or disclose the Company’s Proprietary or Confidential Information. “</w:t>
      </w:r>
      <w:r>
        <w:rPr>
          <w:rFonts w:ascii="Times New Roman" w:hAnsi="Times New Roman"/>
          <w:color w:val="000000"/>
          <w:sz w:val="24"/>
          <w:u w:val="single"/>
        </w:rPr>
        <w:t>Competitor</w:t>
      </w:r>
      <w:r>
        <w:rPr>
          <w:color w:val="000000"/>
        </w:rPr>
        <w:t xml:space="preserve">” </w:t>
      </w:r>
      <w:r>
        <w:rPr>
          <w:rFonts w:ascii="Times New Roman" w:hAnsi="Times New Roman"/>
          <w:color w:val="000000"/>
          <w:sz w:val="24"/>
        </w:rPr>
        <w:t xml:space="preserve">includes any business that operates or does business similar in nature to that of the Company during the term of Grantee’s employment in any State, territory, or protectorate of the United States in which the Company or an Affiliate does business and/or in any foreign country in which the Company or an Affiliate has or maintains any place of business, venue, facility, or otherwise conducts business, as of the date of Grantee’s termination of employment with the Company. Grantee further acknowledges and agrees that the restrictions imposed in this subparagraph (i) will not prevent Grantee from earning a livelihood and that they are reasonable.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pPr>
      <w:r>
        <w:rPr>
          <w:rFonts w:ascii="Times New Roman" w:hAnsi="Times New Roman"/>
          <w:color w:val="000000"/>
          <w:sz w:val="24"/>
        </w:rPr>
        <w:t xml:space="preserve">Notwithstanding the foregoing, should Grantee consider working for or with any actually, arguably, or potentially competing business following the termination of Grantee’s employment with the Company or any of its Affiliates and during the Coverage Period, then Grantee agrees to provide the Company with two (2) weeks advance written notice of Grantee’s intent to do so, and also to provide the Company with accurate information concerning the nature of Grantee’s anticipated job responsibilities in sufficient detail to allow the Company to meaningfully exercise its rights under this </w:t>
      </w:r>
      <w:r>
        <w:rPr>
          <w:rFonts w:ascii="Times New Roman" w:hAnsi="Times New Roman"/>
          <w:color w:val="000000"/>
          <w:sz w:val="24"/>
          <w:u w:val="single"/>
        </w:rPr>
        <w:t>Section 1</w:t>
      </w:r>
      <w:r>
        <w:rPr>
          <w:rFonts w:ascii="Times New Roman" w:hAnsi="Times New Roman"/>
          <w:color w:val="000000"/>
          <w:sz w:val="24"/>
        </w:rPr>
        <w:t xml:space="preserve">. After receipt of such notice, the Company may then agree, in its sole, absolute, and unreviewable discretion, to waive, modify, or condition its rights under this </w:t>
      </w:r>
      <w:r>
        <w:rPr>
          <w:rFonts w:ascii="Times New Roman" w:hAnsi="Times New Roman"/>
          <w:color w:val="000000"/>
          <w:sz w:val="24"/>
          <w:u w:val="single"/>
        </w:rPr>
        <w:t>Section 1</w:t>
      </w:r>
      <w:r>
        <w:rPr>
          <w:rFonts w:ascii="Times New Roman" w:hAnsi="Times New Roman"/>
          <w:color w:val="000000"/>
          <w:sz w:val="24"/>
        </w:rPr>
        <w:t xml:space="preserve">. In particular, the Company may agree to modify </w:t>
      </w:r>
      <w:r>
        <w:rPr>
          <w:rFonts w:ascii="Times New Roman" w:hAnsi="Times New Roman"/>
          <w:color w:val="000000"/>
          <w:sz w:val="24"/>
          <w:u w:val="single"/>
        </w:rPr>
        <w:t>Section 1(c)</w:t>
      </w:r>
      <w:r>
        <w:rPr>
          <w:color w:val="000000"/>
        </w:rPr>
        <w:t xml:space="preserve"> </w:t>
      </w:r>
      <w:r>
        <w:rPr>
          <w:rFonts w:ascii="Times New Roman" w:hAnsi="Times New Roman"/>
          <w:color w:val="000000"/>
          <w:sz w:val="24"/>
        </w:rPr>
        <w:t xml:space="preserve">if the Company concludes that the work Grantee will be performing for a Competitor is different from the work Grantee was performing during Grantee’s employment with the Company or any of its Affiliates and/or (2) there is no reasonable risk that Grantee will (willfully, inadvertently or inevitably) use or disclose the Company’s Proprietary or Confidential Information.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Non-Solicitation of Business Partners</w:t>
      </w:r>
      <w:r>
        <w:rPr>
          <w:rFonts w:ascii="Times New Roman" w:hAnsi="Times New Roman"/>
          <w:color w:val="000000"/>
          <w:sz w:val="24"/>
        </w:rPr>
        <w:t xml:space="preserve">. Grantee acknowledges that, by virtue of Grantee’s employment by the Company or its Affiliates, Grantee has gained or will gain knowledge of the identity, characteristics, and preferences of the Company’s Business Partners, among other Proprietary or Confidential Information, and that Grantee would inevitably have to draw on such information if Grantee were to solicit or service the Company’s Business Partners on behalf of a Competitor. Accordingly, during the term of Grantee’s employment and the Coverage Period, Grantee agrees not to, directly or indirectly, solicit the business of or perform any services of the type Grantee performed or sell any products of the type Grantee sold during Grantee’s employment with the Company for or to actual or prospective Business Partners of the Company (i) as to which Grantee performed services, sold products or as to which employees or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persons under Grantee’s supervision or authority performed such services, or had direct contact, or (ii) as to which Grantee had accessed Proprietary or Confidential Information during the course of Grantee’s employment by the Company, or in any manner encourage or induce any such actual or prospective Business Partner to cease doing business with or in any way interfere with the relationship between the Company and its Affiliates and such actual or prospective Business Partner. Grantee further agrees that during the term of Grantee’s employment and the Coverage Period, Grantee will not encourage or assist any Competitor to solicit or service any actual or prospective Business Partners or otherwise seek to encourage or induce any Business Partners to cease doing business with, or reduce the extent of its business dealings with the Company.</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Non-Interference</w:t>
      </w:r>
      <w:r>
        <w:rPr>
          <w:rFonts w:ascii="Times New Roman" w:hAnsi="Times New Roman"/>
          <w:color w:val="000000"/>
          <w:sz w:val="24"/>
        </w:rPr>
        <w:t xml:space="preserve">. During the term of Grantee’s employment and the Coverage Period, Grantee agrees that Grantee shall not, directly or indirectly, induce or encourage any Business Partner or other third party, including any provider of goods or services to the Company, to terminate or diminish its business relationship with the Company; nor will Grantee take any other action that could, directly or indirectly, be detrimental to the Company’s relationships with its Business Partners and providers of goods or services or other business affiliates or that could otherwise interfere with the Company’s business.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u w:val="single"/>
        </w:rPr>
        <w:t>Non-Disparagement</w:t>
      </w:r>
      <w:r>
        <w:rPr>
          <w:rFonts w:ascii="Times New Roman" w:hAnsi="Times New Roman"/>
          <w:color w:val="000000"/>
          <w:sz w:val="24"/>
        </w:rPr>
        <w:t xml:space="preserve">. Grantee agrees during and following the term of Grantee’s employment, not to make, or cause to be made, any statement, observation, or opinion, or communicate any information (whether oral or written, directly or indirectly) that (i) accuses or implies that the other party or its Affiliates, as may be applicable, engaged in any wrongful, unlawful or improper conduct, whether relating to Grantee’s employment (or the termination thereof), the business, management, or operations of the Company or its Affiliates, as may be applicable, or otherwise, or (ii) disparages, impugns, or in any way reflects adversely upon the business or reputation of the other party or its subsidiaries or affiliates, as may be applicable. Nothing herein, however, will be deemed to preclude either party from providing truthful testimony or information pursuant to subpoena, court order, or similar legal process, instituting and pursuing legal action, or engaging in other legally protected speech or activities or to prevent either party from making any disclosure required by the Securities Exchange Act of 1934 or other applicable law (including without limitation Company disclosure deemed advisable under the federal securities laws or the rules of any stock exchange).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Breach</w:t>
      </w:r>
      <w:r>
        <w:rPr>
          <w:rFonts w:ascii="Times New Roman" w:hAnsi="Times New Roman"/>
          <w:color w:val="000000"/>
          <w:sz w:val="24"/>
        </w:rPr>
        <w:t xml:space="preserve">. Grantee acknowledges that the restrictions contained in this </w:t>
      </w:r>
      <w:r>
        <w:rPr>
          <w:rFonts w:ascii="Times New Roman" w:hAnsi="Times New Roman"/>
          <w:color w:val="000000"/>
          <w:sz w:val="24"/>
          <w:u w:val="single"/>
        </w:rPr>
        <w:t>Section 1</w:t>
      </w:r>
      <w:r>
        <w:rPr>
          <w:color w:val="000000"/>
        </w:rPr>
        <w:t xml:space="preserve"> </w:t>
      </w:r>
      <w:r>
        <w:rPr>
          <w:rFonts w:ascii="Times New Roman" w:hAnsi="Times New Roman"/>
          <w:color w:val="000000"/>
          <w:sz w:val="24"/>
        </w:rPr>
        <w:t xml:space="preserve">are fair, reasonable, and necessary for the protection of the legitimate business interests of the Company, that the Company will suffer irreparable harm in the event of any actual or threatened breach by Grantee, and that it is difficult to measure in money the damages which will accrue to the Company by reason of a failure by Grantee to perform any of Grantee’s obligations under this </w:t>
      </w:r>
      <w:r>
        <w:rPr>
          <w:rFonts w:ascii="Times New Roman" w:hAnsi="Times New Roman"/>
          <w:color w:val="000000"/>
          <w:sz w:val="24"/>
          <w:u w:val="single"/>
        </w:rPr>
        <w:t>Section 1</w:t>
      </w:r>
      <w:r>
        <w:rPr>
          <w:rFonts w:ascii="Times New Roman" w:hAnsi="Times New Roman"/>
          <w:color w:val="000000"/>
          <w:sz w:val="24"/>
        </w:rPr>
        <w:t xml:space="preserve">. Accordingly, if the Company or any of its subsidiaries or Affiliates institutes any action or proceeding to enforce their rights under this </w:t>
      </w:r>
      <w:r>
        <w:rPr>
          <w:rFonts w:ascii="Times New Roman" w:hAnsi="Times New Roman"/>
          <w:color w:val="000000"/>
          <w:sz w:val="24"/>
          <w:u w:val="single"/>
        </w:rPr>
        <w:t>Section 1</w:t>
      </w:r>
      <w:r>
        <w:rPr>
          <w:rFonts w:ascii="Times New Roman" w:hAnsi="Times New Roman"/>
          <w:color w:val="000000"/>
          <w:sz w:val="24"/>
        </w:rPr>
        <w:t xml:space="preserve">, to the extent permitted by applicable law, Grantee hereby waives the claim or defense that the Company or its Affiliates has an adequate remedy at law, Grantee shall not claim that any such remedy at law exists, and Grantee consents to the entry of a restraining order, preliminary injunction, or other preliminary, provisional, or permanent court order to enforce this Agreement, and expressly waives any security that might otherwise be required in connection with such relief. Grantee also agrees that any request for such relief by the Company shall be in addition and without prejudice to any claim for monetary damages and/or other relief which the Company might elect to assert. The Parties further agree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 xml:space="preserve">that, in the event that any provision of </w:t>
      </w:r>
      <w:r>
        <w:rPr>
          <w:rFonts w:ascii="Times New Roman" w:hAnsi="Times New Roman"/>
          <w:color w:val="000000"/>
          <w:sz w:val="24"/>
          <w:u w:val="single"/>
        </w:rPr>
        <w:t>Section 1</w:t>
      </w:r>
      <w:r>
        <w:rPr>
          <w:color w:val="000000"/>
        </w:rPr>
        <w:t xml:space="preserve"> </w:t>
      </w:r>
      <w:r>
        <w:rPr>
          <w:rFonts w:ascii="Times New Roman" w:hAnsi="Times New Roman"/>
          <w:color w:val="000000"/>
          <w:sz w:val="24"/>
        </w:rPr>
        <w:t xml:space="preserve">shall be determined by any court of competent jurisdiction to be unenforceable by reason of its being extended over too great a time, too large a geographic area or too great a range of activities, such provision shall be deemed to be modified to permit its enforcement to the maximum extent permitted by law. The length of time for which the covenants in </w:t>
      </w:r>
      <w:r>
        <w:rPr>
          <w:rFonts w:ascii="Times New Roman" w:hAnsi="Times New Roman"/>
          <w:color w:val="000000"/>
          <w:sz w:val="24"/>
          <w:u w:val="single"/>
        </w:rPr>
        <w:t>Section 1</w:t>
      </w:r>
      <w:r>
        <w:rPr>
          <w:color w:val="000000"/>
        </w:rPr>
        <w:t xml:space="preserve"> </w:t>
      </w:r>
      <w:r>
        <w:rPr>
          <w:rFonts w:ascii="Times New Roman" w:hAnsi="Times New Roman"/>
          <w:color w:val="000000"/>
          <w:sz w:val="24"/>
        </w:rPr>
        <w:t>shall be in force shall be extended by an amount of time equal to the period of time during which a violation of such covenant is deemed by a court of competent jurisdiction to have occurred (including any period required for litigation during which the Company seeks to enforce such covenant). If, notwithstanding such provision, a court in any judicial proceeding refuses to enforce any of the separate covenants included herein, the unenforceable covenant will be considered eliminated from these provisions for the purpose of those proceedings to the extent necessary to permit the remaining separate covenants to be enforced.</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pPr>
      <w:r>
        <w:rPr>
          <w:rFonts w:ascii="Times New Roman" w:hAnsi="Times New Roman"/>
          <w:color w:val="000000"/>
          <w:sz w:val="24"/>
          <w:u w:val="single"/>
        </w:rPr>
        <w:t>Notice</w:t>
      </w:r>
      <w:r>
        <w:rPr>
          <w:rFonts w:ascii="Times New Roman" w:hAnsi="Times New Roman"/>
          <w:color w:val="000000"/>
          <w:sz w:val="24"/>
        </w:rPr>
        <w:t xml:space="preserve">. Notwithstanding Grantee’s confidentiality and nondisclosure obligations, Grantee is hereby advised as 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 For the avoidance of doubt, nothing in this Agreement is intended to, nor shall be construed to, conflict with the Defend Trade Secrets Act 18 U.S.C. § 1833(b). Further, Grantee understands that nothing in this Agreement or any other agreement that Grantee may have with the Company or any of its Subsidiaries restricts or prohibits Grantee from communicating with government agencies about possible violations of federal, state, or local laws or otherwise providing information to government agencies filing a complaint with government agencies, or participating in government agency investigations or proceedings, or from making other disclosures that are protected under the whistleblower provisions of state or federal law or regulation, and Grantee does not need the Company’s prior authorization to engage in such conduct. </w:t>
      </w:r>
    </w:p>
    <w:p>
      <w:pPr>
        <w:pStyle w:val="TextBody"/>
        <w:bidi w:val="0"/>
        <w:spacing w:before="0" w:after="24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Grantee Name: ________________</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Date: __________________________</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3" w:name="ncmi-ex10_24-3.htm"/>
      <w:bookmarkStart w:id="44" w:name="ksncmiex10_243"/>
      <w:bookmarkEnd w:id="43"/>
      <w:bookmarkEnd w:id="44"/>
      <w:r>
        <w:rPr>
          <w:rFonts w:ascii="Times New Roman" w:hAnsi="Times New Roman"/>
          <w:b/>
          <w:color w:val="000000"/>
          <w:sz w:val="20"/>
        </w:rPr>
        <w:t>Exhibit 10.26.6</w:t>
      </w:r>
      <w:r>
        <w:br w:type="page"/>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NATIONAL CINEMEDIA, INC.</w:t>
        <w:br/>
        <w:t>2020 OMNIBUS INCENTIVE PLAN</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PERFORMANCE-BASED RESTRICTED STOCK UNIT AGREEMENT</w:t>
      </w:r>
    </w:p>
    <w:p>
      <w:pPr>
        <w:pStyle w:val="TextBody"/>
        <w:bidi w:val="0"/>
        <w:spacing w:before="0" w:after="240"/>
        <w:jc w:val="center"/>
        <w:rPr>
          <w:rFonts w:ascii="Times New Roman" w:hAnsi="Times New Roman"/>
          <w:sz w:val="20"/>
        </w:rPr>
      </w:pPr>
      <w:r>
        <w:rPr>
          <w:rFonts w:ascii="Times New Roman" w:hAnsi="Times New Roman"/>
          <w:b/>
          <w:color w:val="000000"/>
          <w:sz w:val="24"/>
        </w:rPr>
        <w:t>Performance Period: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The Compensation Committee of the Board of Directors of National CineMedia, Inc., a Delaware corporation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granted an award of Performance-Based Restricted Stock Units under the National CineMedia, Inc. 2020 Omnibus Incentive Plan (the “</w:t>
      </w:r>
      <w:r>
        <w:rPr>
          <w:rFonts w:ascii="Times New Roman" w:hAnsi="Times New Roman"/>
          <w:b/>
          <w:color w:val="000000"/>
          <w:sz w:val="24"/>
        </w:rPr>
        <w:t>Plan</w:t>
      </w:r>
      <w:r>
        <w:rPr>
          <w:rFonts w:ascii="Times New Roman" w:hAnsi="Times New Roman"/>
          <w:color w:val="000000"/>
          <w:sz w:val="20"/>
        </w:rPr>
        <w:t>”</w:t>
      </w:r>
      <w:r>
        <w:rPr>
          <w:rFonts w:ascii="Times New Roman" w:hAnsi="Times New Roman"/>
          <w:color w:val="000000"/>
          <w:sz w:val="24"/>
        </w:rPr>
        <w:t>), to the Grantee named below. This Performance- Based Restricted Stock Unit Agreement (the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evidences the terms of the Company’s grant of Restricted Stock Units, each representing the right to receive one share of the Company’s Common Stock, on the terms and subject to the conditions set forth herein and in the Plan. Any capitalized term in this Agreement shall have the meaning assigned to it in this Agreement or in the Plan, as applicable.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A. NOTICE OF GRANT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Name of Grantee: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Target Number of Restricted Stock Units: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Grant Date:</w:t>
      </w:r>
    </w:p>
    <w:p>
      <w:pPr>
        <w:pStyle w:val="TextBody"/>
        <w:bidi w:val="0"/>
        <w:spacing w:before="0" w:after="240"/>
        <w:jc w:val="left"/>
        <w:rPr>
          <w:rFonts w:ascii="Times New Roman" w:hAnsi="Times New Roman"/>
          <w:sz w:val="20"/>
        </w:rPr>
      </w:pPr>
      <w:r>
        <w:rPr>
          <w:rFonts w:ascii="Times New Roman" w:hAnsi="Times New Roman"/>
          <w:b/>
          <w:color w:val="000000"/>
          <w:sz w:val="24"/>
        </w:rPr>
        <w:t>Vesting Schedule of Restricted Stock Units</w:t>
      </w:r>
      <w:r>
        <w:rPr>
          <w:rFonts w:ascii="Times New Roman" w:hAnsi="Times New Roman"/>
          <w:color w:val="000000"/>
          <w:sz w:val="24"/>
        </w:rPr>
        <w:t>: Except as provided otherwise in this Agreement or the Plan (including but not limited to Section 10(c) of the Plan which provides for accelerated vesting upon certain terminations in connection with a Change in Control), and subject to Grantee’s continuous Service as provided herein, the Performance-Based Restricted Stock Units shall vest as follows:</w:t>
      </w:r>
      <w:r>
        <w:rPr>
          <w:rFonts w:ascii="Times New Roman" w:hAnsi="Times New Roman"/>
          <w:color w:val="000000"/>
          <w:sz w:val="20"/>
        </w:rPr>
        <w:t xml:space="preserve">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B. RESTRICTED STOCK UNIT AGREEMENT</w:t>
      </w:r>
    </w:p>
    <w:p>
      <w:pPr>
        <w:pStyle w:val="TextBody"/>
        <w:bidi w:val="0"/>
        <w:spacing w:before="0" w:after="240"/>
        <w:jc w:val="left"/>
        <w:rPr>
          <w:rFonts w:ascii="Times New Roman" w:hAnsi="Times New Roman"/>
          <w:sz w:val="20"/>
        </w:rPr>
      </w:pPr>
      <w:r>
        <w:rPr>
          <w:rFonts w:ascii="Times New Roman" w:hAnsi="Times New Roman"/>
          <w:b/>
          <w:color w:val="000000"/>
          <w:sz w:val="24"/>
        </w:rPr>
        <w:t>1.</w:t>
      </w:r>
      <w:r>
        <w:rPr>
          <w:rFonts w:ascii="Times New Roman" w:hAnsi="Times New Roman"/>
          <w:color w:val="000000"/>
          <w:sz w:val="20"/>
        </w:rPr>
        <w:t xml:space="preserve"> </w:t>
      </w:r>
      <w:r>
        <w:rPr>
          <w:rFonts w:ascii="Times New Roman" w:hAnsi="Times New Roman"/>
          <w:color w:val="000000"/>
          <w:sz w:val="24"/>
        </w:rPr>
        <w:t>G</w:t>
      </w:r>
      <w:r>
        <w:rPr>
          <w:rFonts w:ascii="Times New Roman" w:hAnsi="Times New Roman"/>
          <w:b/>
          <w:color w:val="000000"/>
          <w:sz w:val="24"/>
        </w:rPr>
        <w:t xml:space="preserve">rant of Restricted Stock Units. </w:t>
      </w:r>
      <w:r>
        <w:rPr>
          <w:rFonts w:ascii="Times New Roman" w:hAnsi="Times New Roman"/>
          <w:color w:val="000000"/>
          <w:sz w:val="24"/>
        </w:rPr>
        <w:t>Subject to the terms and conditions of this Agreement and the Plan, the Company granted to Grantee the number of Restricted Stock Units set forth in the Notice of Grant, effective on the Grant Date set forth in the Notice of Grant, and subject to the terms and conditions of the Plan, which is incorporated herein by reference. Each Restricted Stock Unit represents the right to receive one share of Common Stock, on the terms and subject to the conditions set forth in this Agreement and the Plan. In the event of a conflict between the terms and conditions of the Plan and this Agreement, the terms and conditions of the Plan shall govern.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4"/>
        </w:rPr>
        <w:t>2. Transfer Restrictions</w:t>
      </w:r>
      <w:r>
        <w:rPr>
          <w:rFonts w:ascii="Times New Roman" w:hAnsi="Times New Roman"/>
          <w:i/>
          <w:color w:val="000000"/>
          <w:sz w:val="24"/>
        </w:rPr>
        <w:t>.</w:t>
      </w:r>
      <w:r>
        <w:rPr>
          <w:rFonts w:ascii="Times New Roman" w:hAnsi="Times New Roman"/>
          <w:color w:val="000000"/>
          <w:sz w:val="20"/>
        </w:rPr>
        <w:t xml:space="preserve"> </w:t>
      </w:r>
      <w:r>
        <w:rPr>
          <w:rFonts w:ascii="Times New Roman" w:hAnsi="Times New Roman"/>
          <w:color w:val="000000"/>
          <w:sz w:val="24"/>
        </w:rPr>
        <w:t>Grantee shall not sell, transfer, assign, pledge or otherwise encumber or dispose of, by operation of law or otherwise, the Restricted Stock Units.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4"/>
        </w:rPr>
        <w:t>3. Vesting; Lapse of Restrictions</w:t>
      </w:r>
      <w:r>
        <w:rPr>
          <w:rFonts w:ascii="Times New Roman" w:hAnsi="Times New Roman"/>
          <w:i/>
          <w:color w:val="000000"/>
          <w:sz w:val="24"/>
        </w:rPr>
        <w:t xml:space="preserve">. </w:t>
      </w:r>
      <w:r>
        <w:rPr>
          <w:rFonts w:ascii="Times New Roman" w:hAnsi="Times New Roman"/>
          <w:color w:val="000000"/>
          <w:sz w:val="24"/>
        </w:rPr>
        <w:t>The period between the Grant Date and the final Vesting Date is referred to as the “</w:t>
      </w:r>
      <w:r>
        <w:rPr>
          <w:rFonts w:ascii="Times New Roman" w:hAnsi="Times New Roman"/>
          <w:b/>
          <w:color w:val="000000"/>
          <w:sz w:val="24"/>
        </w:rPr>
        <w:t>Vesting Period</w:t>
      </w:r>
      <w:r>
        <w:rPr>
          <w:rFonts w:ascii="Times New Roman" w:hAnsi="Times New Roman"/>
          <w:color w:val="000000"/>
          <w:sz w:val="24"/>
        </w:rPr>
        <w:t>.” Except as provided otherwise in this Agreement and the Plan (including but not limited to Section 10(c) of the Plan which provides for accelerated vesting upon certain terminations in connection with a Change of Control), if the applicable performance metrics set forth in the Notice of Grant have been achieved and the Grantee has been in continuous service to the Company or another entity the service providers of which are eligible to receive Awards under the Plan from the Grant Date through the applicable Vesting Date as an employee, director, consultant or advisor (herein referred to as “</w:t>
      </w:r>
      <w:r>
        <w:rPr>
          <w:rFonts w:ascii="Times New Roman" w:hAnsi="Times New Roman"/>
          <w:b/>
          <w:color w:val="000000"/>
          <w:sz w:val="24"/>
        </w:rPr>
        <w:t>Service</w:t>
      </w:r>
      <w:r>
        <w:rPr>
          <w:rFonts w:ascii="Times New Roman" w:hAnsi="Times New Roman"/>
          <w:color w:val="000000"/>
          <w:sz w:val="20"/>
        </w:rPr>
        <w:t>”</w:t>
      </w:r>
      <w:r>
        <w:rPr>
          <w:rFonts w:ascii="Times New Roman" w:hAnsi="Times New Roman"/>
          <w:color w:val="000000"/>
          <w:sz w:val="24"/>
        </w:rPr>
        <w:t>), the Restricted Stock Units shall vest as set forth on the Vesting Schedule in the Notice of Grant. As soon as practicable after the Vesting Date and in all events no later than March 15 of the calendar year following the calendar year in which the Vesting Date occurs, the Company will issue to the Grantee the shares of Common Stock subject to the Restricted Stock Units that vested on such Vesting Date. Only following the issuance of the shares of Common Stock to the Grantee may the Grantee transfer the shares of Common Stock (subject to applicable securities law requirements and the Company’s policies and procedures).</w:t>
      </w:r>
    </w:p>
    <w:p>
      <w:pPr>
        <w:pStyle w:val="TextBody"/>
        <w:bidi w:val="0"/>
        <w:spacing w:before="0" w:after="240"/>
        <w:jc w:val="left"/>
        <w:rPr>
          <w:rFonts w:ascii="Times New Roman" w:hAnsi="Times New Roman"/>
          <w:sz w:val="20"/>
        </w:rPr>
      </w:pPr>
      <w:r>
        <w:rPr>
          <w:rFonts w:ascii="Times New Roman" w:hAnsi="Times New Roman"/>
          <w:b/>
          <w:color w:val="000000"/>
          <w:sz w:val="24"/>
        </w:rPr>
        <w:t>4. Termination of Service</w:t>
      </w:r>
      <w:r>
        <w:rPr>
          <w:rFonts w:ascii="Times New Roman" w:hAnsi="Times New Roman"/>
          <w:color w:val="000000"/>
          <w:sz w:val="24"/>
        </w:rPr>
        <w:t>. If Grantee terminates Service prior to the Vesting Date on account of death, becoming disabled (as defined in Section 409A of the Internal Revenue Code), or termination by the Company other than for Cause, Grantee shall be entitled to retain a percentage of the Target number of Restricted Stock Units (the “</w:t>
      </w:r>
      <w:r>
        <w:rPr>
          <w:rFonts w:ascii="Times New Roman" w:hAnsi="Times New Roman"/>
          <w:b/>
          <w:color w:val="000000"/>
          <w:sz w:val="24"/>
        </w:rPr>
        <w:t>Retained Units</w:t>
      </w:r>
      <w:r>
        <w:rPr>
          <w:rFonts w:ascii="Times New Roman" w:hAnsi="Times New Roman"/>
          <w:color w:val="000000"/>
          <w:sz w:val="20"/>
        </w:rPr>
        <w:t>”</w:t>
      </w:r>
      <w:r>
        <w:rPr>
          <w:rFonts w:ascii="Times New Roman" w:hAnsi="Times New Roman"/>
          <w:color w:val="000000"/>
          <w:sz w:val="24"/>
        </w:rPr>
        <w:t>) equal to the ratio that the number of days of Service of Grantee during the Vesting Period bears to the total number of days in the Vesting Period (less any previously vested Restricted Stock Units). The Retained Units shall vest in accordance with the Vesting Schedules set forth in the Notice of Grant as though the Retained Units were the target number of Restricted Stock Units set forth in the Notice of Grant and the remaining Restricted Stock Units shall be forfeited upon Grantee’s termination of Service. If Grantee terminates Service prior to the Vesting Date as a result of termination by the Company for Cause or voluntary termination by Grantee, all Restricted Stock Units shall be forfeited upon Grantee’s termination of Service and Grantee shall have no further rights thereto. Section 10(c) of the Plan provides for accelerated vesting with respect to certain terminations in connection with a Change of Control.</w:t>
      </w:r>
    </w:p>
    <w:p>
      <w:pPr>
        <w:pStyle w:val="TextBody"/>
        <w:bidi w:val="0"/>
        <w:spacing w:before="0" w:after="240"/>
        <w:jc w:val="left"/>
        <w:rPr>
          <w:rFonts w:ascii="Times New Roman" w:hAnsi="Times New Roman"/>
          <w:sz w:val="20"/>
        </w:rPr>
      </w:pPr>
      <w:r>
        <w:rPr>
          <w:rFonts w:ascii="Times New Roman" w:hAnsi="Times New Roman"/>
          <w:b/>
          <w:color w:val="000000"/>
          <w:sz w:val="24"/>
        </w:rPr>
        <w:t>5. Leave of Absence</w:t>
      </w:r>
      <w:r>
        <w:rPr>
          <w:rFonts w:ascii="Times New Roman" w:hAnsi="Times New Roman"/>
          <w:color w:val="000000"/>
          <w:sz w:val="24"/>
        </w:rPr>
        <w:t xml:space="preserve">. For purposes of the Restricted Stock Units, Service does not terminate when Grantee goes on a </w:t>
      </w:r>
      <w:r>
        <w:rPr>
          <w:rFonts w:ascii="Times New Roman" w:hAnsi="Times New Roman"/>
          <w:i/>
          <w:color w:val="000000"/>
          <w:sz w:val="24"/>
        </w:rPr>
        <w:t xml:space="preserve">bona fide </w:t>
      </w:r>
      <w:r>
        <w:rPr>
          <w:rFonts w:ascii="Times New Roman" w:hAnsi="Times New Roman"/>
          <w:color w:val="000000"/>
          <w:sz w:val="24"/>
        </w:rPr>
        <w:t>employee leave of absence that was approved by the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Company or an affiliate in writing, if the terms of the leave provide for continued Service crediting, or when continued Service crediting is required by applicable law. However, Service will be treated as terminating 90 days after Grantee went on the approved leave, unless Grantee’s right to return to active work is guaranteed by law or by a contract. Service terminates in any event when the approved leave ends unless Grantee immediately returns to active Service. The Compensation Committee determines, in its sole discretion, which leaves of absence count for this purpose, and when Service terminates for all purposes under the Plan.</w:t>
      </w:r>
    </w:p>
    <w:p>
      <w:pPr>
        <w:pStyle w:val="TextBody"/>
        <w:bidi w:val="0"/>
        <w:spacing w:before="0" w:after="240"/>
        <w:jc w:val="left"/>
        <w:rPr>
          <w:rFonts w:ascii="Times New Roman" w:hAnsi="Times New Roman"/>
          <w:sz w:val="20"/>
        </w:rPr>
      </w:pPr>
      <w:r>
        <w:rPr>
          <w:rFonts w:ascii="Times New Roman" w:hAnsi="Times New Roman"/>
          <w:b/>
          <w:color w:val="000000"/>
          <w:sz w:val="24"/>
        </w:rPr>
        <w:t>6. Dividends</w:t>
      </w:r>
      <w:r>
        <w:rPr>
          <w:rFonts w:ascii="Times New Roman" w:hAnsi="Times New Roman"/>
          <w:color w:val="000000"/>
          <w:sz w:val="24"/>
        </w:rPr>
        <w:t>. During the period between the Grant Date and the Vesting Date, the Company shall accrue an amount equal to the regular, special and extraordinary cash dividends declared and paid with respect to each share of Common Stock underlying the Restricted Stock Units which amount shall be retained by the Company and shall be subject to the same vesting requirements as specified in the Notice of Grant above. Any accrued dividend equivalents to which Grantee becomes entitled upon vesting on the Vesting Date shall be paid to Grantee as soon as practicable following the Vesting Date, but in no event later than March 15 of the calendar year following the calendar year in which the Restricted Stock Units vest.</w:t>
      </w:r>
    </w:p>
    <w:p>
      <w:pPr>
        <w:pStyle w:val="TextBody"/>
        <w:bidi w:val="0"/>
        <w:jc w:val="left"/>
        <w:rPr>
          <w:rFonts w:ascii="Times New Roman" w:hAnsi="Times New Roman"/>
          <w:sz w:val="20"/>
        </w:rPr>
      </w:pPr>
      <w:r>
        <w:rPr>
          <w:rFonts w:ascii="Times New Roman" w:hAnsi="Times New Roman"/>
          <w:b/>
          <w:color w:val="000000"/>
          <w:sz w:val="24"/>
        </w:rPr>
        <w:t>7. Tax Withholding.</w:t>
      </w:r>
      <w:r>
        <w:rPr>
          <w:rFonts w:ascii="Times New Roman" w:hAnsi="Times New Roman"/>
          <w:color w:val="000000"/>
          <w:sz w:val="20"/>
        </w:rPr>
        <w:t xml:space="preserve"> </w:t>
      </w:r>
      <w:r>
        <w:rPr>
          <w:rFonts w:ascii="Times New Roman" w:hAnsi="Times New Roman"/>
          <w:color w:val="000000"/>
          <w:sz w:val="24"/>
        </w:rPr>
        <w:t>The Company or any affiliate shall have the right to deduct from payments of any kind otherwise due to Grantee, any federal, state, local or foreign taxes of any kind required by law to be withheld upon the issuance, vesting or payment of any shares of Common Stock upon the vesting of the Restricted Stock Units or the payment of dividend equivalents. The Company shall not deliver any shares of Common Stock to the Grantee until it is satisfied that all required withholdings have been made. The Company may, at its discretion and to the extent permitted by applicable law, satisfy such withholding obligations in one or more of the following ways:</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w:t>
      </w:r>
    </w:p>
    <w:p>
      <w:pPr>
        <w:pStyle w:val="TextBody"/>
        <w:bidi w:val="0"/>
        <w:jc w:val="left"/>
        <w:rPr/>
      </w:pPr>
      <w:r>
        <w:rPr>
          <w:rFonts w:ascii="Times New Roman" w:hAnsi="Times New Roman"/>
          <w:color w:val="000000"/>
          <w:sz w:val="24"/>
        </w:rPr>
        <w:t>Sell-to-Cover. At such time as the Grantee is not aware of any material nonpublic information about the Company or the Common Stock and when the Grantee is permitted to do so under the Company’s insider trading policy, the Grantee shall execute the instructions set forth in Schedule A attached hereto (the “</w:t>
      </w:r>
      <w:r>
        <w:rPr>
          <w:rFonts w:ascii="Times New Roman" w:hAnsi="Times New Roman"/>
          <w:b/>
          <w:color w:val="000000"/>
          <w:sz w:val="24"/>
        </w:rPr>
        <w:t>Automatic Sale Instructions</w:t>
      </w:r>
      <w:r>
        <w:rPr>
          <w:color w:val="000000"/>
        </w:rPr>
        <w:t>”</w:t>
      </w:r>
      <w:r>
        <w:rPr>
          <w:rFonts w:ascii="Times New Roman" w:hAnsi="Times New Roman"/>
          <w:color w:val="000000"/>
          <w:sz w:val="24"/>
        </w:rPr>
        <w:t>) as the means of satisfying such withholding tax obligation if elected by the Company under this Section 7. If the Grantee does not execute the Automatic Sale Instructions prior to an applicable vesting date and the Company elects to satisfy tax withholding under this clause (a), then the Grantee agrees that if under applicable law the Grantee will owe taxes at such vesting date on the portion of the award then vested, then the Company shall be entitled to immediate payment from the Grantee of the amount of any tax required to be withheld by the Company.</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Share Withholding. Grantee hereby authorizes the Company to withhold from the number of shares of Common Stock that would otherwise be issued to Grantee upon vesting of the Restricted Stock Units a number of whole shares of Common Stock having a fair market value equal to the Company’s required tax withholding with respect to the Award and to deduct any remaining amount due from any payments due to Grantee. Any shares of Common Stock issued or withheld shall have an aggregate fair market value not in excess of the minimum statutory total tax withholding obligation. The fair market value of the shares of Common Stock used to satisfy the withholding obligation shall be determined by the Company as of the date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4"/>
        </w:rPr>
      </w:pPr>
      <w:r>
        <w:rPr>
          <w:rFonts w:ascii="Times New Roman" w:hAnsi="Times New Roman"/>
          <w:color w:val="000000"/>
          <w:sz w:val="24"/>
        </w:rPr>
        <w:t>that the amount of tax to be withheld is to be determined. Shares of Common Stock used to satisfy any tax withholding obligation must be vested and cannot be subject to any repurchase, forfeiture, or other similar requirements.</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Participant acknowledges and agrees that the Company has the authority to determine the method by which such tax withholding obligations will be satisfied, including requiring an automatic sale of shares under this Section or an alternative arrangement that does have a negative impact on the Grantee. The Company may take such actions without further consent or instruction from the Grantee, to the extent permitted by applicable law.</w:t>
      </w:r>
    </w:p>
    <w:p>
      <w:pPr>
        <w:pStyle w:val="TextBody"/>
        <w:bidi w:val="0"/>
        <w:spacing w:before="0" w:after="240"/>
        <w:jc w:val="left"/>
        <w:rPr>
          <w:rFonts w:ascii="Times New Roman" w:hAnsi="Times New Roman"/>
          <w:sz w:val="20"/>
        </w:rPr>
      </w:pPr>
      <w:r>
        <w:rPr>
          <w:rFonts w:ascii="Times New Roman" w:hAnsi="Times New Roman"/>
          <w:b/>
          <w:color w:val="000000"/>
          <w:sz w:val="24"/>
        </w:rPr>
        <w:t>8. Effect of Prohibited Transfer</w:t>
      </w:r>
      <w:r>
        <w:rPr>
          <w:rFonts w:ascii="Times New Roman" w:hAnsi="Times New Roman"/>
          <w:color w:val="000000"/>
          <w:sz w:val="24"/>
        </w:rPr>
        <w:t>. If any transfer of Restricted Stock Units is made or attempted to be made contrary to the terms of this Agreement, the Company shall have the right to disregard such transfer and to terminate this award of Restricted Stock Units as a result of such prohibited transfer. In addition to any other legal or equitable remedies it may have, the Company may enforce its rights to specific performance to the extent permitted by law and may exercise such other equitable remedies then available. The Company may refuse for any purpose to recognize any transferee who receives Restricted Stock Units contrary to the provisions of this Agreement as a holder of the Restricted Stock Units and shall not be obligated, and will not, issue any shares of Common Stock upon the vesting of such Restricted Stock Units to such prohibited transferee.</w:t>
      </w:r>
    </w:p>
    <w:p>
      <w:pPr>
        <w:pStyle w:val="TextBody"/>
        <w:bidi w:val="0"/>
        <w:spacing w:before="0" w:after="240"/>
        <w:jc w:val="left"/>
        <w:rPr>
          <w:rFonts w:ascii="Times New Roman" w:hAnsi="Times New Roman"/>
          <w:sz w:val="20"/>
        </w:rPr>
      </w:pPr>
      <w:r>
        <w:rPr>
          <w:rFonts w:ascii="Times New Roman" w:hAnsi="Times New Roman"/>
          <w:b/>
          <w:color w:val="000000"/>
          <w:sz w:val="24"/>
        </w:rPr>
        <w:t>9. Investment Representations</w:t>
      </w:r>
      <w:r>
        <w:rPr>
          <w:rFonts w:ascii="Times New Roman" w:hAnsi="Times New Roman"/>
          <w:color w:val="000000"/>
          <w:sz w:val="24"/>
        </w:rPr>
        <w:t>. The Compensation Committee may require Grantee (or Grantee’s estate or heirs) to represent and warrant in writing that the individual is acquiring the shares of Common Stock upon vesting of the Restricted Stock Units for investment and without any present intention to sell or distribute such shares and to make such other representations as are deemed necessary or appropriate by the Company and its counsel.</w:t>
      </w:r>
    </w:p>
    <w:p>
      <w:pPr>
        <w:pStyle w:val="TextBody"/>
        <w:bidi w:val="0"/>
        <w:spacing w:before="0" w:after="240"/>
        <w:jc w:val="left"/>
        <w:rPr>
          <w:rFonts w:ascii="Times New Roman" w:hAnsi="Times New Roman"/>
          <w:sz w:val="20"/>
        </w:rPr>
      </w:pPr>
      <w:r>
        <w:rPr>
          <w:rFonts w:ascii="Times New Roman" w:hAnsi="Times New Roman"/>
          <w:b/>
          <w:color w:val="000000"/>
          <w:sz w:val="24"/>
        </w:rPr>
        <w:t>10. Continued Service</w:t>
      </w:r>
      <w:r>
        <w:rPr>
          <w:rFonts w:ascii="Times New Roman" w:hAnsi="Times New Roman"/>
          <w:color w:val="000000"/>
          <w:sz w:val="24"/>
        </w:rPr>
        <w:t>. Neither the grant of the Restricted Stock Units nor this Agreement gives Grantee the right to continue Service with the Company or its affiliates in any capacity. The Company and its affiliates reserve the right to terminate Grantee’s Service at any time and for any reason not prohibited by law.</w:t>
      </w:r>
    </w:p>
    <w:p>
      <w:pPr>
        <w:pStyle w:val="TextBody"/>
        <w:bidi w:val="0"/>
        <w:spacing w:before="0" w:after="240"/>
        <w:jc w:val="left"/>
        <w:rPr>
          <w:rFonts w:ascii="Times New Roman" w:hAnsi="Times New Roman"/>
          <w:sz w:val="20"/>
        </w:rPr>
      </w:pPr>
      <w:r>
        <w:rPr>
          <w:rFonts w:ascii="Times New Roman" w:hAnsi="Times New Roman"/>
          <w:b/>
          <w:color w:val="000000"/>
          <w:sz w:val="24"/>
        </w:rPr>
        <w:t>11. Governing Law</w:t>
      </w:r>
      <w:r>
        <w:rPr>
          <w:rFonts w:ascii="Times New Roman" w:hAnsi="Times New Roman"/>
          <w:color w:val="000000"/>
          <w:sz w:val="24"/>
        </w:rPr>
        <w:t>. The validity and construction of this Agreement and the Plan shall be construed in accordance with and governed by the laws of the State of Delaware other than any conflicts or choice of law rule or principle that might otherwise refer construction or interpretation of the Plan and this Agreement to the substantive laws of any other jurisdiction.</w:t>
      </w:r>
    </w:p>
    <w:p>
      <w:pPr>
        <w:pStyle w:val="TextBody"/>
        <w:bidi w:val="0"/>
        <w:spacing w:before="0" w:after="240"/>
        <w:jc w:val="left"/>
        <w:rPr>
          <w:rFonts w:ascii="Times New Roman" w:hAnsi="Times New Roman"/>
          <w:sz w:val="20"/>
        </w:rPr>
      </w:pPr>
      <w:r>
        <w:rPr>
          <w:rFonts w:ascii="Times New Roman" w:hAnsi="Times New Roman"/>
          <w:b/>
          <w:color w:val="000000"/>
          <w:sz w:val="24"/>
        </w:rPr>
        <w:t>12. Binding Effect</w:t>
      </w:r>
      <w:r>
        <w:rPr>
          <w:rFonts w:ascii="Times New Roman" w:hAnsi="Times New Roman"/>
          <w:color w:val="000000"/>
          <w:sz w:val="24"/>
        </w:rPr>
        <w:t>. This Agreement shall be binding upon and inure to the benefit of the Company and Grantee and their respective heirs, executors, administrators, legal representatives, successors and assigns.</w:t>
      </w:r>
    </w:p>
    <w:p>
      <w:pPr>
        <w:pStyle w:val="TextBody"/>
        <w:bidi w:val="0"/>
        <w:spacing w:before="0" w:after="240"/>
        <w:jc w:val="left"/>
        <w:rPr>
          <w:rFonts w:ascii="Times New Roman" w:hAnsi="Times New Roman"/>
          <w:sz w:val="20"/>
        </w:rPr>
      </w:pPr>
      <w:r>
        <w:rPr>
          <w:rFonts w:ascii="Times New Roman" w:hAnsi="Times New Roman"/>
          <w:b/>
          <w:color w:val="000000"/>
          <w:sz w:val="24"/>
        </w:rPr>
        <w:t>13. Tax Treatment; Section 83(b)</w:t>
      </w:r>
      <w:r>
        <w:rPr>
          <w:rFonts w:ascii="Times New Roman" w:hAnsi="Times New Roman"/>
          <w:i/>
          <w:color w:val="000000"/>
          <w:sz w:val="24"/>
        </w:rPr>
        <w:t xml:space="preserve">. </w:t>
      </w:r>
      <w:r>
        <w:rPr>
          <w:rFonts w:ascii="Times New Roman" w:hAnsi="Times New Roman"/>
          <w:color w:val="000000"/>
          <w:sz w:val="24"/>
        </w:rPr>
        <w:t>Grantee may incur tax liability as a result of the vesting of the Restricted Stock Units, the payment of dividend equivalents or the disposition of shares of Common Stock issued upon the vesting of the Restricted Stock Units. Grantee should consult his or her own tax adviser for tax advice.</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Grantee hereby acknowledges that Grantee has been informed that no election under Section 83(b) of the Internal Revenue Code is permitted with respect to the Restricted Stock Units.</w:t>
      </w:r>
    </w:p>
    <w:p>
      <w:pPr>
        <w:pStyle w:val="TextBody"/>
        <w:bidi w:val="0"/>
        <w:spacing w:before="0" w:after="240"/>
        <w:jc w:val="left"/>
        <w:rPr>
          <w:rFonts w:ascii="Times New Roman" w:hAnsi="Times New Roman"/>
          <w:sz w:val="20"/>
        </w:rPr>
      </w:pPr>
      <w:r>
        <w:rPr>
          <w:rFonts w:ascii="Times New Roman" w:hAnsi="Times New Roman"/>
          <w:b/>
          <w:color w:val="000000"/>
          <w:sz w:val="24"/>
        </w:rPr>
        <w:t>14. Amendment</w:t>
      </w:r>
      <w:r>
        <w:rPr>
          <w:rFonts w:ascii="Times New Roman" w:hAnsi="Times New Roman"/>
          <w:color w:val="000000"/>
          <w:sz w:val="24"/>
        </w:rPr>
        <w:t>. The terms and conditions set forth in this Agreement may only be amended by the written consent of the Company and Grantee, except to the extent set forth in the Plan.</w:t>
      </w:r>
    </w:p>
    <w:p>
      <w:pPr>
        <w:pStyle w:val="TextBody"/>
        <w:bidi w:val="0"/>
        <w:spacing w:before="0" w:after="240"/>
        <w:jc w:val="left"/>
        <w:rPr>
          <w:rFonts w:ascii="Times New Roman" w:hAnsi="Times New Roman"/>
          <w:sz w:val="20"/>
        </w:rPr>
      </w:pPr>
      <w:r>
        <w:rPr>
          <w:rFonts w:ascii="Times New Roman" w:hAnsi="Times New Roman"/>
          <w:b/>
          <w:color w:val="000000"/>
          <w:sz w:val="24"/>
        </w:rPr>
        <w:t>15. 2020 Omnibus Incentive Plan</w:t>
      </w:r>
      <w:r>
        <w:rPr>
          <w:rFonts w:ascii="Times New Roman" w:hAnsi="Times New Roman"/>
          <w:color w:val="000000"/>
          <w:sz w:val="24"/>
        </w:rPr>
        <w:t>. The Restricted Stock Units and payment of dividend equivalents granted hereunder shall be subject to such additional terms and conditions as may be imposed under the terms of the Plan, a copy of which has been provided to Grantee. A copy of the Prospectus for the 2020 Omnibus Incentive Plan shall also be provided to Grantee.</w:t>
      </w:r>
    </w:p>
    <w:p>
      <w:pPr>
        <w:pStyle w:val="TextBody"/>
        <w:bidi w:val="0"/>
        <w:spacing w:before="0" w:after="240"/>
        <w:jc w:val="left"/>
        <w:rPr>
          <w:rFonts w:ascii="Times New Roman" w:hAnsi="Times New Roman"/>
          <w:sz w:val="20"/>
        </w:rPr>
      </w:pPr>
      <w:r>
        <w:rPr>
          <w:rFonts w:ascii="Times New Roman" w:hAnsi="Times New Roman"/>
          <w:b/>
          <w:color w:val="000000"/>
          <w:sz w:val="24"/>
        </w:rPr>
        <w:t>16. [Executive Restrictive Covenants</w:t>
      </w:r>
      <w:r>
        <w:rPr>
          <w:rFonts w:ascii="Times New Roman" w:hAnsi="Times New Roman"/>
          <w:color w:val="000000"/>
          <w:sz w:val="24"/>
        </w:rPr>
        <w:t>. The issuances under this Agreement are contingent upon and in consideration for the Grantee having executed and delivered to the Company’s designated contact no later than _________ a signature page to the Restrictive Covenant Agreement between the Grantee and the Company attached as Schedule B attached hereto (the “Restrictive Covenant Agreement”). For the avoidance of doubt, if the Participant has not executed and delivered to the Company’s designated contact the Restrictive Covenant Agreement, the grant of the Restricted Stock Units represented by this Agreement will never take effect and will be null and void.]</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NATIONAL CINEMEDIA, INC.</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0"/>
        </w:rPr>
        <w:t>________________________________________</w:t>
        <w:br/>
      </w:r>
      <w:r>
        <w:rPr>
          <w:rFonts w:ascii="Times New Roman" w:hAnsi="Times New Roman"/>
          <w:color w:val="000000"/>
          <w:sz w:val="24"/>
        </w:rPr>
        <w:t>Ronnie Ng</w:t>
        <w:br/>
        <w:t>Chief Financial Officer</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Schedule A</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Automatic Sale Instructions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undersigned hereby consents and agrees that any taxes due on a vesting date as a result of the vesting of RSUs on such date shall be paid through an automatic sale of shares as follows:</w:t>
      </w:r>
    </w:p>
    <w:p>
      <w:pPr>
        <w:pStyle w:val="Heading2"/>
        <w:bidi w:val="0"/>
        <w:spacing w:before="240" w:after="60"/>
        <w:jc w:val="left"/>
        <w:rPr>
          <w:rFonts w:ascii="Times New Roman" w:hAnsi="Times New Roman"/>
          <w:b w:val="false"/>
          <w:color w:val="000000"/>
          <w:sz w:val="24"/>
        </w:rPr>
      </w:pPr>
      <w:r>
        <w:rPr>
          <w:rFonts w:ascii="Times New Roman" w:hAnsi="Times New Roman"/>
          <w:b w:val="false"/>
          <w:color w:val="000000"/>
          <w:sz w:val="24"/>
        </w:rPr>
        <w:t>(a) Upon any vesting of RSUs pursuant to Section 3 hereof, the Company shall arrange for the sale of such number of shares of Common Stock issuable with respect to the RSUs that vest pursuant to Section 3 as is sufficient to generate net proceeds sufficient to satisfy the Company’s minimum statutory withholding obligations with respect to the income recognized by the Grantee upon the vesting of the RSUs (based on minimum statutory withholding rates for all tax purposes, including payroll and social security taxes, that are applicable to such income), and the net proceeds of such sale shall be delivered to the Company in satisfaction of such tax withholding obligations.</w:t>
      </w:r>
    </w:p>
    <w:p>
      <w:pPr>
        <w:pStyle w:val="Heading2"/>
        <w:bidi w:val="0"/>
        <w:spacing w:before="180" w:after="60"/>
        <w:jc w:val="left"/>
        <w:rPr>
          <w:rFonts w:ascii="Times New Roman" w:hAnsi="Times New Roman"/>
          <w:sz w:val="20"/>
        </w:rPr>
      </w:pPr>
      <w:r>
        <w:rPr>
          <w:rFonts w:ascii="Times New Roman" w:hAnsi="Times New Roman"/>
          <w:b w:val="false"/>
          <w:color w:val="000000"/>
          <w:sz w:val="24"/>
        </w:rPr>
        <w:t xml:space="preserve">(b) The Grantee hereby appoints the Chief Executive Officer, Chief Financial Officer, and the Executive Vice President, General Counsel and Secretary and any of them acting alone and with full power of substitution, to serve as his or her attorneys in fact to arrange for the sale of the Grantee’s Common Stock in accordance with this </w:t>
      </w:r>
      <w:r>
        <w:rPr>
          <w:rFonts w:ascii="Times New Roman" w:hAnsi="Times New Roman"/>
          <w:b w:val="false"/>
          <w:color w:val="000000"/>
          <w:sz w:val="24"/>
          <w:u w:val="single"/>
        </w:rPr>
        <w:t>Schedule A</w:t>
      </w:r>
      <w:r>
        <w:rPr>
          <w:rFonts w:ascii="Times New Roman" w:hAnsi="Times New Roman"/>
          <w:b w:val="false"/>
          <w:color w:val="000000"/>
          <w:sz w:val="24"/>
        </w:rPr>
        <w:t xml:space="preserve">. The Grantee agrees to execute and deliver such documents, instruments and certificates as may reasonably be required in connection with the sale of the shares pursuant to this </w:t>
      </w:r>
      <w:r>
        <w:rPr>
          <w:rFonts w:ascii="Times New Roman" w:hAnsi="Times New Roman"/>
          <w:b w:val="false"/>
          <w:color w:val="000000"/>
          <w:sz w:val="24"/>
          <w:u w:val="single"/>
        </w:rPr>
        <w:t>Schedule A</w:t>
      </w:r>
      <w:r>
        <w:rPr>
          <w:rFonts w:ascii="Times New Roman" w:hAnsi="Times New Roman"/>
          <w:b w:val="false"/>
          <w:color w:val="000000"/>
          <w:sz w:val="24"/>
        </w:rPr>
        <w:t>.</w:t>
      </w:r>
    </w:p>
    <w:p>
      <w:pPr>
        <w:pStyle w:val="Heading2"/>
        <w:bidi w:val="0"/>
        <w:spacing w:before="180" w:after="60"/>
        <w:jc w:val="left"/>
        <w:rPr>
          <w:rFonts w:ascii="Times New Roman" w:hAnsi="Times New Roman"/>
          <w:sz w:val="20"/>
        </w:rPr>
      </w:pPr>
      <w:r>
        <w:rPr>
          <w:rFonts w:ascii="Times New Roman" w:hAnsi="Times New Roman"/>
          <w:b w:val="false"/>
          <w:color w:val="000000"/>
          <w:sz w:val="24"/>
        </w:rPr>
        <w:t xml:space="preserve">(c) The Grantee represents to the Company that, as of the date hereof, (i) he or she is not aware of any material nonpublic information about the Company or the Common Stock and (ii) he or she is not prohibited from entering into these Automatic Sale Instructions under the Company’s insider trading policy. The Grantee and the Company have structured this Agreement, including this </w:t>
      </w:r>
      <w:r>
        <w:rPr>
          <w:rFonts w:ascii="Times New Roman" w:hAnsi="Times New Roman"/>
          <w:b w:val="false"/>
          <w:color w:val="000000"/>
          <w:sz w:val="24"/>
          <w:u w:val="single"/>
        </w:rPr>
        <w:t>Schedule A</w:t>
      </w:r>
      <w:r>
        <w:rPr>
          <w:rFonts w:ascii="Times New Roman" w:hAnsi="Times New Roman"/>
          <w:b w:val="false"/>
          <w:color w:val="000000"/>
          <w:sz w:val="24"/>
        </w:rPr>
        <w:t>, to constitute a “binding contract” relating to the sale of Common Stock, consistent with the affirmative defense to liability under Section 10(b) of the Securities Exchange Act of 1934 under Rule 10b5-1(c) promulgated under such Act.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The Company shall not deliver any shares of Common Stock to the Grantee until it is satisfied that all required withholdings have been made.</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Grantee Name: ________________</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Date: __________________________</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Schedule B</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Restrictive Covenant Agreement</w:t>
      </w:r>
    </w:p>
    <w:p>
      <w:pPr>
        <w:pStyle w:val="TextBody"/>
        <w:bidi w:val="0"/>
        <w:jc w:val="center"/>
        <w:rPr>
          <w:rFonts w:ascii="Times New Roman" w:hAnsi="Times New Roman"/>
          <w:b/>
          <w:color w:val="000000"/>
          <w:sz w:val="24"/>
        </w:rPr>
      </w:pPr>
      <w:r>
        <w:rPr>
          <w:rFonts w:ascii="Times New Roman" w:hAnsi="Times New Roman"/>
          <w:b/>
          <w:color w:val="000000"/>
          <w:sz w:val="24"/>
        </w:rPr>
        <w:t>(Long-Term Inventive Program)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Grantee hereby consents and agrees in consideration of the Grantee’s grant of Restricted Stock Units under the Performance-Based Restricted Stock Unit Agreement, dated ___________, Grantee has read and accepted the terms and conditions of this Restrictive Covenant Agreement. Grantee understands and agrees that if Grantee does not accept and refuses to agree to this Restrictive Covenant Agreement on or prior to _____________, the Compensation and Leadership Committee shall, in its sole discretion, cancel the grant.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Grantee agrees that Grantee has had at least 14 days to consider this Restrictive Covenant Agreement. This Restrictive Covenant Agreement will be effective as of the date following the Grantee’s signature below, which will be no earlier than 14 days following Grantee’s receipt.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provisions of this Restrictive Covenant Agreement will survive the termination of the Grantee’s employment for any reason.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u w:val="single"/>
        </w:rPr>
        <w:t>Restrictive Covenants</w:t>
      </w:r>
      <w:r>
        <w:rPr>
          <w:rFonts w:ascii="Times New Roman" w:hAnsi="Times New Roman"/>
          <w:color w:val="000000"/>
          <w:sz w:val="24"/>
        </w:rPr>
        <w:t xml:space="preserve">. Grantee acknowledges that the Company is engaged in a highly competitive business and that the preservation of its Proprietary or Confidential Information (as defined in </w:t>
      </w:r>
      <w:r>
        <w:rPr>
          <w:rFonts w:ascii="Times New Roman" w:hAnsi="Times New Roman"/>
          <w:color w:val="000000"/>
          <w:sz w:val="24"/>
          <w:u w:val="single"/>
        </w:rPr>
        <w:t>Section 1(a)</w:t>
      </w:r>
      <w:r>
        <w:rPr>
          <w:color w:val="000000"/>
        </w:rPr>
        <w:t xml:space="preserve"> </w:t>
      </w:r>
      <w:r>
        <w:rPr>
          <w:rFonts w:ascii="Times New Roman" w:hAnsi="Times New Roman"/>
          <w:color w:val="000000"/>
          <w:sz w:val="24"/>
        </w:rPr>
        <w:t>below) to which Grantee has been exposed or acquired, and will continue to be exposed to and acquire, is critical to the Company’s continued business success. Grantee also acknowledges that the Company’s relationships with its business partners hereinafter “</w:t>
      </w:r>
      <w:r>
        <w:rPr>
          <w:rFonts w:ascii="Times New Roman" w:hAnsi="Times New Roman"/>
          <w:color w:val="000000"/>
          <w:sz w:val="24"/>
          <w:u w:val="single"/>
        </w:rPr>
        <w:t>Business Partners</w:t>
      </w:r>
      <w:r>
        <w:rPr>
          <w:color w:val="000000"/>
        </w:rPr>
        <w:t xml:space="preserve">” </w:t>
      </w:r>
      <w:r>
        <w:rPr>
          <w:rFonts w:ascii="Times New Roman" w:hAnsi="Times New Roman"/>
          <w:color w:val="000000"/>
          <w:sz w:val="24"/>
        </w:rPr>
        <w:t xml:space="preserve">which means NCM LLC, AMC, Cinemark and Regal and all their respective Affiliates together with any chain, circuit or group (of any nature of description) of movie theaters or like venues </w:t>
      </w:r>
      <w:r>
        <w:rPr>
          <w:rFonts w:ascii="Times New Roman" w:hAnsi="Times New Roman"/>
          <w:color w:val="000000"/>
          <w:sz w:val="24"/>
          <w:u w:val="single"/>
        </w:rPr>
        <w:t>which</w:t>
      </w:r>
      <w:r>
        <w:rPr>
          <w:color w:val="000000"/>
        </w:rPr>
        <w:t xml:space="preserve"> </w:t>
      </w:r>
      <w:r>
        <w:rPr>
          <w:rFonts w:ascii="Times New Roman" w:hAnsi="Times New Roman"/>
          <w:color w:val="000000"/>
          <w:sz w:val="24"/>
        </w:rPr>
        <w:t xml:space="preserve">now or hereafter enter into business relations with the Company), are extremely valuable and that, by virtue of Grantee’s employment with the Company, Grantee may have contact with such Business Partners on behalf of and for the benefit of the Company. As a result, Grantee’s engaging in or working for or with any business which is directly or indirectly competitive with the Company’s business, given Grantee’s knowledge of the Company’s Proprietary or Confidential Information, would cause the Company great and irreparable harm if not done in strict compliance with the provisions of this </w:t>
      </w:r>
      <w:r>
        <w:rPr>
          <w:rFonts w:ascii="Times New Roman" w:hAnsi="Times New Roman"/>
          <w:color w:val="000000"/>
          <w:sz w:val="24"/>
          <w:u w:val="single"/>
        </w:rPr>
        <w:t>Section 1</w:t>
      </w:r>
      <w:r>
        <w:rPr>
          <w:rFonts w:ascii="Times New Roman" w:hAnsi="Times New Roman"/>
          <w:color w:val="000000"/>
          <w:sz w:val="24"/>
        </w:rPr>
        <w:t xml:space="preserve">. Therefore, Grantee acknowledges and agrees that in consideration of all of the above and in exchange for access to the Company’s Proprietary or Confidential Information, Grantee will be bound by, and comply in all respects with, the provisions of this </w:t>
      </w:r>
      <w:r>
        <w:rPr>
          <w:rFonts w:ascii="Times New Roman" w:hAnsi="Times New Roman"/>
          <w:color w:val="000000"/>
          <w:sz w:val="24"/>
          <w:u w:val="single"/>
        </w:rPr>
        <w:t>Section 1</w:t>
      </w:r>
      <w:r>
        <w:rPr>
          <w:rFonts w:ascii="Times New Roman" w:hAnsi="Times New Roman"/>
          <w:color w:val="000000"/>
          <w:sz w:val="24"/>
        </w:rPr>
        <w:t xml:space="preserve">. For purposes of this </w:t>
      </w:r>
      <w:r>
        <w:rPr>
          <w:rFonts w:ascii="Times New Roman" w:hAnsi="Times New Roman"/>
          <w:color w:val="000000"/>
          <w:sz w:val="24"/>
          <w:u w:val="single"/>
        </w:rPr>
        <w:t>Section 1</w:t>
      </w:r>
      <w:r>
        <w:rPr>
          <w:rFonts w:ascii="Times New Roman" w:hAnsi="Times New Roman"/>
          <w:color w:val="000000"/>
          <w:sz w:val="24"/>
        </w:rPr>
        <w:t>, any references to the time period of Grantee’s employment with the Company shall date back to Grantee’s original hire date with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Confidentiality</w:t>
      </w:r>
      <w:r>
        <w:rPr>
          <w:rFonts w:ascii="Times New Roman" w:hAnsi="Times New Roman"/>
          <w:color w:val="000000"/>
          <w:sz w:val="24"/>
        </w:rPr>
        <w:t>. Grantee shall at all times hold in strict confidence any Proprietary or Confidential Information related to the Company or any of its affiliates (which shall mean any entity that, directly or indirectly, is controlled by, controls or is under common control with the Company and/or any entity in which the Company has a significant equity interest, in either case as determined by the Board, hereinafter “</w:t>
      </w:r>
      <w:r>
        <w:rPr>
          <w:rFonts w:ascii="Times New Roman" w:hAnsi="Times New Roman"/>
          <w:color w:val="000000"/>
          <w:sz w:val="24"/>
          <w:u w:val="single"/>
        </w:rPr>
        <w:t>Affiliates</w:t>
      </w:r>
      <w:r>
        <w:rPr>
          <w:color w:val="000000"/>
        </w:rPr>
        <w:t>”</w:t>
      </w:r>
      <w:r>
        <w:rPr>
          <w:rFonts w:ascii="Times New Roman" w:hAnsi="Times New Roman"/>
          <w:color w:val="000000"/>
          <w:sz w:val="24"/>
        </w:rPr>
        <w:t xml:space="preserve">) (including without limitation AMC, Cinemark, Regal and NCM, LLC), except that Grantee may disclose such information as required by law, court order, regulation, or similar order provided Grantee shall first have notified the Company of the pendency of such proceeding and afforded the Company an opportunity to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intervene and defend against disclosure. For purposes of this Agreement, the term “</w:t>
      </w:r>
      <w:r>
        <w:rPr>
          <w:rFonts w:ascii="Times New Roman" w:hAnsi="Times New Roman"/>
          <w:color w:val="000000"/>
          <w:sz w:val="24"/>
          <w:u w:val="single"/>
        </w:rPr>
        <w:t>Proprietary or Confidential Information</w:t>
      </w:r>
      <w:r>
        <w:rPr>
          <w:color w:val="000000"/>
        </w:rPr>
        <w:t xml:space="preserve">” </w:t>
      </w:r>
      <w:r>
        <w:rPr>
          <w:rFonts w:ascii="Times New Roman" w:hAnsi="Times New Roman"/>
          <w:color w:val="000000"/>
          <w:sz w:val="24"/>
        </w:rPr>
        <w:t>shall mean all non-public information relating to the Company or any of its Affiliates (including but not limited to all marketing, alliance, social media, advertising, and sales plans and strategies; pricing information; financial, advertising, and product development plans and strategies; compensation and incentive programs for employees; alliance agreements, plans, and processes; plans, strategies, and agreements related to the sale of assets; third party provider agreements, relationships, and strategies; business methods and processes used by the Company and its employees; all personally identifiable information regarding Company employees, contractors, and applicants; lists of actual or potential Business Partners; and all other business plans, trade secrets, or financial information of strategic importance to the Company or its Affiliates) that is not generally known in the Company’s industry, that was learned, discovered, developed, conceived, originated, or prepared during Grantee’s employment with the Company, and the competitive use or disclosure of which would be harmful to the business prospects, financial status, or reputation of the Company or its Affiliates at the time of any disclosure by Grantee.</w:t>
      </w:r>
      <w:r>
        <w:rPr>
          <w:color w:val="000000"/>
        </w:rPr>
        <w:t xml:space="preserve"> </w:t>
      </w:r>
    </w:p>
    <w:p>
      <w:pPr>
        <w:pStyle w:val="TextBody"/>
        <w:bidi w:val="0"/>
        <w:jc w:val="both"/>
        <w:rPr>
          <w:rFonts w:ascii="Times New Roman" w:hAnsi="Times New Roman"/>
          <w:sz w:val="20"/>
        </w:rPr>
      </w:pPr>
      <w:r>
        <w:rPr>
          <w:rFonts w:ascii="Times New Roman" w:hAnsi="Times New Roman"/>
          <w:color w:val="000000"/>
          <w:sz w:val="24"/>
        </w:rPr>
        <w:t xml:space="preserve">The relationship between Grantee and the Company and its Affiliates is and shall continue to be one in which the Company and its Affiliates repose special trust and confidence in Grantee, and one in which Grantee has and shall have a fiduciary relationship to the Company and its Affiliates. As a result, the Company and its Affiliates shall, in the course of Grantee’s duties to the Company, entrust Grantee with, and disclose to Grantee, Proprietary or Confidential Information. Grantee recognizes that Proprietary or Confidential Information has been developed or acquired, or will be developed or acquired, by the Company and its Affiliates at great expense, is proprietary to the Company and its Affiliates, and is and shall remain the property of the Company and its Affiliates. Grantee acknowledges the confidentiality of Proprietary or Confidential Information and further acknowledges that Grantee could not competently perform Grantee’s duties and responsibilities in Grantee’s position with the Company and/or its Affiliates without access to such information. Grantee acknowledges that any use of Proprietary or Confidential Information by persons not in the employ of the Company and its Affiliates would provide such persons with an unfair competitive advantage which they would not have without the knowledge and/or use of the Proprietary or Confidential Information and that this would cause the Company and its Affiliates irreparable harm. Grantee further acknowledges that because of this unfair competitive advantage, and the Company’s and its Affiliates’ legitimate business interests, which include their need to protect their goodwill and the Proprietary or Confidential Information, Grantee has agreed to the post-employment restrictions set forth in this </w:t>
      </w:r>
      <w:r>
        <w:rPr>
          <w:rFonts w:ascii="Times New Roman" w:hAnsi="Times New Roman"/>
          <w:color w:val="000000"/>
          <w:sz w:val="24"/>
          <w:u w:val="single"/>
        </w:rPr>
        <w:t>Section 1</w:t>
      </w:r>
      <w:r>
        <w:rPr>
          <w:rFonts w:ascii="Times New Roman" w:hAnsi="Times New Roman"/>
          <w:color w:val="000000"/>
          <w:sz w:val="24"/>
        </w:rPr>
        <w:t xml:space="preserve">. Nothing in this </w:t>
      </w:r>
      <w:r>
        <w:rPr>
          <w:rFonts w:ascii="Times New Roman" w:hAnsi="Times New Roman"/>
          <w:color w:val="000000"/>
          <w:sz w:val="24"/>
          <w:u w:val="single"/>
        </w:rPr>
        <w:t>Section 1(a)</w:t>
      </w:r>
      <w:r>
        <w:rPr>
          <w:rFonts w:ascii="Times New Roman" w:hAnsi="Times New Roman"/>
          <w:color w:val="000000"/>
          <w:sz w:val="20"/>
        </w:rPr>
        <w:t xml:space="preserve"> </w:t>
      </w:r>
      <w:r>
        <w:rPr>
          <w:rFonts w:ascii="Times New Roman" w:hAnsi="Times New Roman"/>
          <w:color w:val="000000"/>
          <w:sz w:val="24"/>
        </w:rPr>
        <w:t>is intended, or shall be construed, (i) to limit the protection of any applicable law or policy of the Company or its Affiliates that relates to the protection of trade secrets or confidential or proprietary information or (ii) to limit Grantee’s ability to initiate communications directly with, or to respond to any inquiry from, or provide testimony before, the SEC, FINRA, any other self-regulatory organization or any other state or federal regulatory authority.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Non-Solicitation of Employees</w:t>
      </w:r>
      <w:r>
        <w:rPr>
          <w:rFonts w:ascii="Times New Roman" w:hAnsi="Times New Roman"/>
          <w:color w:val="000000"/>
          <w:sz w:val="24"/>
        </w:rPr>
        <w:t>. During Grantee’s employment and for the one-year period following termination of Grantee’s employment for any reason (the “</w:t>
      </w:r>
      <w:r>
        <w:rPr>
          <w:rFonts w:ascii="Times New Roman" w:hAnsi="Times New Roman"/>
          <w:color w:val="000000"/>
          <w:sz w:val="24"/>
          <w:u w:val="single"/>
        </w:rPr>
        <w:t>Coverage Period</w:t>
      </w:r>
      <w:r>
        <w:rPr>
          <w:color w:val="000000"/>
        </w:rPr>
        <w:t>”</w:t>
      </w:r>
      <w:r>
        <w:rPr>
          <w:rFonts w:ascii="Times New Roman" w:hAnsi="Times New Roman"/>
          <w:color w:val="000000"/>
          <w:sz w:val="24"/>
        </w:rPr>
        <w:t xml:space="preserve">), Grantee hereby agrees not to, directly or indirectly, solicit, hire, seek to hire, engage or assist any other person or entity (on Grantee’s own behalf or on behalf of such other person or entity) in soliciting, hiring or engaging any person who is at that time an employee, consultant, independent contractor, representative, or other agent of the Company or any of its Affiliates to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perform services for any entity (other than the Company or its Affiliates), or attempt to induce or encourage any such employee to leave the employ of the Company or its Affiliates.</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Non-Competition</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rPr>
        <w:t>In return for, among other things, all of the above and the Company’s promise to provide the Proprietary or Confidential Information described herein, Grantee agrees that during Grantee’s employment and the Coverage Period, Grantee shall not compete with the Company by providing work, services or any other form of assistance (whether or not for compensation) in any capacity, whether as an employee, consultant, partner, or otherwise, to any Competitor that (1) is the same or similar to the services Grantee provided to the Company or (2) creates the reasonable risk that Grantee will (willfully, inadvertently or inevitably) use or disclose the Company’s Proprietary or Confidential Information. “</w:t>
      </w:r>
      <w:r>
        <w:rPr>
          <w:rFonts w:ascii="Times New Roman" w:hAnsi="Times New Roman"/>
          <w:color w:val="000000"/>
          <w:sz w:val="24"/>
          <w:u w:val="single"/>
        </w:rPr>
        <w:t>Competitor</w:t>
      </w:r>
      <w:r>
        <w:rPr>
          <w:color w:val="000000"/>
        </w:rPr>
        <w:t xml:space="preserve">” </w:t>
      </w:r>
      <w:r>
        <w:rPr>
          <w:rFonts w:ascii="Times New Roman" w:hAnsi="Times New Roman"/>
          <w:color w:val="000000"/>
          <w:sz w:val="24"/>
        </w:rPr>
        <w:t xml:space="preserve">includes any business that operates or does business similar in nature to that of the Company during the term of Grantee’s employment in any State, territory, or protectorate of the United States in which the Company or an Affiliate does business and/or in any foreign country in which the Company or an Affiliate has or maintains any place of business, venue, facility, or otherwise conducts business, as of the date of Grantee’s termination of employment with the Company. Grantee further acknowledges and agrees that the restrictions imposed in this subparagraph (i) will not prevent Grantee from earning a livelihood and that they are reasonable.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pPr>
      <w:r>
        <w:rPr>
          <w:rFonts w:ascii="Times New Roman" w:hAnsi="Times New Roman"/>
          <w:color w:val="000000"/>
          <w:sz w:val="24"/>
        </w:rPr>
        <w:t xml:space="preserve">Notwithstanding the foregoing, should Grantee consider working for or with any actually, arguably, or potentially competing business following the termination of Grantee’s employment with the Company or any of its Affiliates and during the Coverage Period, then Grantee agrees to provide the Company with two (2) weeks advance written notice of Grantee’s intent to do so, and also to provide the Company with accurate information concerning the nature of Grantee’s anticipated job responsibilities in sufficient detail to allow the Company to meaningfully exercise its rights under this </w:t>
      </w:r>
      <w:r>
        <w:rPr>
          <w:rFonts w:ascii="Times New Roman" w:hAnsi="Times New Roman"/>
          <w:color w:val="000000"/>
          <w:sz w:val="24"/>
          <w:u w:val="single"/>
        </w:rPr>
        <w:t>Section 1</w:t>
      </w:r>
      <w:r>
        <w:rPr>
          <w:rFonts w:ascii="Times New Roman" w:hAnsi="Times New Roman"/>
          <w:color w:val="000000"/>
          <w:sz w:val="24"/>
        </w:rPr>
        <w:t xml:space="preserve">. After receipt of such notice, the Company may then agree, in its sole, absolute, and unreviewable discretion, to waive, modify, or condition its rights under this </w:t>
      </w:r>
      <w:r>
        <w:rPr>
          <w:rFonts w:ascii="Times New Roman" w:hAnsi="Times New Roman"/>
          <w:color w:val="000000"/>
          <w:sz w:val="24"/>
          <w:u w:val="single"/>
        </w:rPr>
        <w:t>Section 1</w:t>
      </w:r>
      <w:r>
        <w:rPr>
          <w:rFonts w:ascii="Times New Roman" w:hAnsi="Times New Roman"/>
          <w:color w:val="000000"/>
          <w:sz w:val="24"/>
        </w:rPr>
        <w:t xml:space="preserve">. In particular, the Company may agree to modify </w:t>
      </w:r>
      <w:r>
        <w:rPr>
          <w:rFonts w:ascii="Times New Roman" w:hAnsi="Times New Roman"/>
          <w:color w:val="000000"/>
          <w:sz w:val="24"/>
          <w:u w:val="single"/>
        </w:rPr>
        <w:t>Section 1(c)</w:t>
      </w:r>
      <w:r>
        <w:rPr>
          <w:color w:val="000000"/>
        </w:rPr>
        <w:t xml:space="preserve"> </w:t>
      </w:r>
      <w:r>
        <w:rPr>
          <w:rFonts w:ascii="Times New Roman" w:hAnsi="Times New Roman"/>
          <w:color w:val="000000"/>
          <w:sz w:val="24"/>
        </w:rPr>
        <w:t xml:space="preserve">if the Company concludes that the work Grantee will be performing for a Competitor is different from the work Grantee was performing during Grantee’s employment with the Company or any of its Affiliates and/or (2) there is no reasonable risk that Grantee will (willfully, inadvertently or inevitably) use or disclose the Company’s Proprietary or Confidential Information.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Non-Solicitation of Business Partners</w:t>
      </w:r>
      <w:r>
        <w:rPr>
          <w:rFonts w:ascii="Times New Roman" w:hAnsi="Times New Roman"/>
          <w:color w:val="000000"/>
          <w:sz w:val="24"/>
        </w:rPr>
        <w:t xml:space="preserve">. Grantee acknowledges that, by virtue of Grantee’s employment by the Company or its Affiliates, Grantee has gained or will gain knowledge of the identity, characteristics, and preferences of the Company’s Business Partners, among other Proprietary or Confidential Information, and that Grantee would inevitably have to draw on such information if Grantee were to solicit or service the Company’s Business Partners on behalf of a Competitor. Accordingly, during the term of Grantee’s employment and the Coverage Period, Grantee agrees not to, directly or indirectly, solicit the business of or perform any services of the type Grantee performed or sell any products of the type Grantee sold during Grantee’s employment with the Company for or to actual or prospective Business Partners of the Company (i) as to which Grantee performed services, sold products or as to which employees 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persons under Grantee’s supervision or authority performed such services, or had direct contact, or (ii) as to which Grantee had accessed Proprietary or Confidential Information during the course of Grantee’s employment by the Company, or in any manner encourage or induce any such actual or prospective Business Partner to cease doing business with or in any way interfere with the relationship between the Company and its Affiliates and such actual or prospective Business Partner. Grantee further agrees that during the term of Grantee’s employment and the Coverage Period, Grantee will not encourage or assist any Competitor to solicit or service any actual or prospective Business Partners or otherwise seek to encourage or induce any Business Partners to cease doing business with, or reduce the extent of its business dealings with the Company.</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Non-Interference</w:t>
      </w:r>
      <w:r>
        <w:rPr>
          <w:rFonts w:ascii="Times New Roman" w:hAnsi="Times New Roman"/>
          <w:color w:val="000000"/>
          <w:sz w:val="24"/>
        </w:rPr>
        <w:t xml:space="preserve">. During the term of Grantee’s employment and the Coverage Period, Grantee agrees that Grantee shall not, directly or indirectly, induce or encourage any Business Partner or other third party, including any provider of goods or services to the Company, to terminate or diminish its business relationship with the Company; nor will Grantee take any other action that could, directly or indirectly, be detrimental to the Company’s relationships with its Business Partners and providers of goods or services or other business affiliates or that could otherwise interfere with the Company’s business.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u w:val="single"/>
        </w:rPr>
        <w:t>Non-Disparagement</w:t>
      </w:r>
      <w:r>
        <w:rPr>
          <w:rFonts w:ascii="Times New Roman" w:hAnsi="Times New Roman"/>
          <w:color w:val="000000"/>
          <w:sz w:val="24"/>
        </w:rPr>
        <w:t xml:space="preserve">. Grantee agrees during and following the term of Grantee’s employment, not to make, or cause to be made, any statement, observation, or opinion, or communicate any information (whether oral or written, directly or indirectly) that (i) accuses or implies that the other party or its Affiliates, as may be applicable, engaged in any wrongful, unlawful or improper conduct, whether relating to Grantee’s employment (or the termination thereof), the business, management, or operations of the Company or its Affiliates, as may be applicable, or otherwise, or (ii) disparages, impugns, or in any way reflects adversely upon the business or reputation of the other party or its subsidiaries or affiliates, as may be applicable. Nothing herein, however, will be deemed to preclude either party from providing truthful testimony or information pursuant to subpoena, court order, or similar legal process, instituting and pursuing legal action, or engaging in other legally protected speech or activities or to prevent either party from making any disclosure required by the Securities Exchange Act of 1934 or other applicable law (including without limitation Company disclosure deemed advisable under the federal securities laws or the rules of any stock exchange).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Breach</w:t>
      </w:r>
      <w:r>
        <w:rPr>
          <w:rFonts w:ascii="Times New Roman" w:hAnsi="Times New Roman"/>
          <w:color w:val="000000"/>
          <w:sz w:val="24"/>
        </w:rPr>
        <w:t xml:space="preserve">. Grantee acknowledges that the restrictions contained in this </w:t>
      </w:r>
      <w:r>
        <w:rPr>
          <w:rFonts w:ascii="Times New Roman" w:hAnsi="Times New Roman"/>
          <w:color w:val="000000"/>
          <w:sz w:val="24"/>
          <w:u w:val="single"/>
        </w:rPr>
        <w:t>Section 1</w:t>
      </w:r>
      <w:r>
        <w:rPr>
          <w:color w:val="000000"/>
        </w:rPr>
        <w:t xml:space="preserve"> </w:t>
      </w:r>
      <w:r>
        <w:rPr>
          <w:rFonts w:ascii="Times New Roman" w:hAnsi="Times New Roman"/>
          <w:color w:val="000000"/>
          <w:sz w:val="24"/>
        </w:rPr>
        <w:t xml:space="preserve">are fair, reasonable, and necessary for the protection of the legitimate business interests of the Company, that the Company will suffer irreparable harm in the event of any actual or threatened breach by Grantee, and that it is difficult to measure in money the damages which will accrue to the Company by reason of a failure by Grantee to perform any of Grantee’s obligations under this </w:t>
      </w:r>
      <w:r>
        <w:rPr>
          <w:rFonts w:ascii="Times New Roman" w:hAnsi="Times New Roman"/>
          <w:color w:val="000000"/>
          <w:sz w:val="24"/>
          <w:u w:val="single"/>
        </w:rPr>
        <w:t>Section 1</w:t>
      </w:r>
      <w:r>
        <w:rPr>
          <w:rFonts w:ascii="Times New Roman" w:hAnsi="Times New Roman"/>
          <w:color w:val="000000"/>
          <w:sz w:val="24"/>
        </w:rPr>
        <w:t xml:space="preserve">. Accordingly, if the Company or any of its subsidiaries or Affiliates institutes any action or proceeding to enforce their rights under this </w:t>
      </w:r>
      <w:r>
        <w:rPr>
          <w:rFonts w:ascii="Times New Roman" w:hAnsi="Times New Roman"/>
          <w:color w:val="000000"/>
          <w:sz w:val="24"/>
          <w:u w:val="single"/>
        </w:rPr>
        <w:t>Section 1</w:t>
      </w:r>
      <w:r>
        <w:rPr>
          <w:rFonts w:ascii="Times New Roman" w:hAnsi="Times New Roman"/>
          <w:color w:val="000000"/>
          <w:sz w:val="24"/>
        </w:rPr>
        <w:t xml:space="preserve">, to the extent permitted by applicable law, Grantee hereby waives the claim or defense that the Company or its Affiliates has an adequate remedy at law, Grantee shall not claim that any such remedy at law exists, and Grantee consents to the entry of a restraining order, preliminary injunction, or other preliminary, provisional, or permanent court order to enforce this Agreement, and expressly waives any security that might otherwise be required in connection with such relief. Grantee also agrees that any request for such relief by the Company shall be in addition and without prejudice to any claim for monetary damages and/or other relief which the Company might elect to assert. The Parties further agree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 xml:space="preserve">that, in the event that any provision of </w:t>
      </w:r>
      <w:r>
        <w:rPr>
          <w:rFonts w:ascii="Times New Roman" w:hAnsi="Times New Roman"/>
          <w:color w:val="000000"/>
          <w:sz w:val="24"/>
          <w:u w:val="single"/>
        </w:rPr>
        <w:t>Section 1</w:t>
      </w:r>
      <w:r>
        <w:rPr>
          <w:color w:val="000000"/>
        </w:rPr>
        <w:t xml:space="preserve"> </w:t>
      </w:r>
      <w:r>
        <w:rPr>
          <w:rFonts w:ascii="Times New Roman" w:hAnsi="Times New Roman"/>
          <w:color w:val="000000"/>
          <w:sz w:val="24"/>
        </w:rPr>
        <w:t xml:space="preserve">shall be determined by any court of competent jurisdiction to be unenforceable by reason of its being extended over too great a time, too large a geographic area or too great a range of activities, such provision shall be deemed to be modified to permit its enforcement to the maximum extent permitted by law. The length of time for which the covenants in </w:t>
      </w:r>
      <w:r>
        <w:rPr>
          <w:rFonts w:ascii="Times New Roman" w:hAnsi="Times New Roman"/>
          <w:color w:val="000000"/>
          <w:sz w:val="24"/>
          <w:u w:val="single"/>
        </w:rPr>
        <w:t>Section 1</w:t>
      </w:r>
      <w:r>
        <w:rPr>
          <w:color w:val="000000"/>
        </w:rPr>
        <w:t xml:space="preserve"> </w:t>
      </w:r>
      <w:r>
        <w:rPr>
          <w:rFonts w:ascii="Times New Roman" w:hAnsi="Times New Roman"/>
          <w:color w:val="000000"/>
          <w:sz w:val="24"/>
        </w:rPr>
        <w:t>shall be in force shall be extended by an amount of time equal to the period of time during which a violation of such covenant is deemed by a court of competent jurisdiction to have occurred (including any period required for litigation during which the Company seeks to enforce such covenant). If, notwithstanding such provision, a court in any judicial proceeding refuses to enforce any of the separate covenants included herein, the unenforceable covenant will be considered eliminated from these provisions for the purpose of those proceedings to the extent necessary to permit the remaining separate covenants to be enforced.</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pPr>
      <w:r>
        <w:rPr>
          <w:rFonts w:ascii="Times New Roman" w:hAnsi="Times New Roman"/>
          <w:color w:val="000000"/>
          <w:sz w:val="24"/>
          <w:u w:val="single"/>
        </w:rPr>
        <w:t>Notice</w:t>
      </w:r>
      <w:r>
        <w:rPr>
          <w:rFonts w:ascii="Times New Roman" w:hAnsi="Times New Roman"/>
          <w:color w:val="000000"/>
          <w:sz w:val="24"/>
        </w:rPr>
        <w:t xml:space="preserve">. Notwithstanding Grantee’s confidentiality and nondisclosure obligations, Grantee is hereby advised as 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 For the avoidance of doubt, nothing in this Agreement is intended to, nor shall be construed to, conflict with the Defend Trade Secrets Act 18 U.S.C. § 1833(b). Further, Grantee understands that nothing in this Agreement or any other agreement that Grantee may have with the Company or any of its Subsidiaries restricts or prohibits Grantee from communicating with government agencies about possible violations of federal, state, or local laws or otherwise providing information to government agencies filing a complaint with government agencies, or participating in government agency investigations or proceedings, or from making other disclosures that are protected under the whistleblower provisions of state or federal law or regulation, and Grantee does not need the Company’s prior authorization to engage in such conduct. </w:t>
      </w:r>
    </w:p>
    <w:p>
      <w:pPr>
        <w:pStyle w:val="TextBody"/>
        <w:bidi w:val="0"/>
        <w:spacing w:before="0" w:after="24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Grantee Name: ________________</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Date: __________________________</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5" w:name="ncmi-ex19_1.htm"/>
      <w:bookmarkStart w:id="46" w:name="ksncmiex19_1"/>
      <w:bookmarkEnd w:id="45"/>
      <w:bookmarkEnd w:id="46"/>
      <w:r>
        <w:rPr/>
        <w:t> </w:t>
      </w:r>
      <w:r>
        <w:br w:type="page"/>
      </w:r>
    </w:p>
    <w:p>
      <w:pPr>
        <w:pStyle w:val="TextBody"/>
        <w:bidi w:val="0"/>
        <w:jc w:val="right"/>
        <w:rPr>
          <w:rFonts w:ascii="Times New Roman" w:hAnsi="Times New Roman"/>
          <w:b/>
          <w:color w:val="000000"/>
          <w:sz w:val="22"/>
        </w:rPr>
      </w:pPr>
      <w:r>
        <w:rPr>
          <w:rFonts w:ascii="Times New Roman" w:hAnsi="Times New Roman"/>
          <w:b/>
          <w:color w:val="000000"/>
          <w:sz w:val="22"/>
        </w:rPr>
        <w:t>February 12, 2026</w:t>
      </w:r>
    </w:p>
    <w:p>
      <w:pPr>
        <w:pStyle w:val="TextBody"/>
        <w:bidi w:val="0"/>
        <w:jc w:val="right"/>
        <w:rPr>
          <w:rFonts w:ascii="Times New Roman" w:hAnsi="Times New Roman"/>
          <w:b/>
          <w:color w:val="000000"/>
          <w:sz w:val="20"/>
        </w:rPr>
      </w:pPr>
      <w:r>
        <w:rPr>
          <w:rFonts w:ascii="Times New Roman" w:hAnsi="Times New Roman"/>
          <w:b/>
          <w:color w:val="000000"/>
          <w:sz w:val="20"/>
        </w:rPr>
        <w:t>Exhibit 19.1</w:t>
      </w:r>
    </w:p>
    <w:p>
      <w:pPr>
        <w:pStyle w:val="TextBody"/>
        <w:bidi w:val="0"/>
        <w:jc w:val="center"/>
        <w:rPr>
          <w:rFonts w:ascii="Times New Roman" w:hAnsi="Times New Roman"/>
          <w:b/>
          <w:color w:val="000000"/>
          <w:sz w:val="24"/>
        </w:rPr>
      </w:pPr>
      <w:r>
        <w:rPr>
          <w:rFonts w:ascii="Times New Roman" w:hAnsi="Times New Roman"/>
          <w:b/>
          <w:color w:val="000000"/>
          <w:sz w:val="24"/>
        </w:rPr>
        <w:t>ATIONAL CINEMEDIA, INC.</w:t>
      </w:r>
    </w:p>
    <w:p>
      <w:pPr>
        <w:pStyle w:val="TextBody"/>
        <w:bidi w:val="0"/>
        <w:jc w:val="center"/>
        <w:rPr>
          <w:rFonts w:ascii="Times New Roman" w:hAnsi="Times New Roman"/>
          <w:b/>
          <w:color w:val="000000"/>
          <w:sz w:val="24"/>
        </w:rPr>
      </w:pPr>
      <w:r>
        <w:rPr>
          <w:rFonts w:ascii="Times New Roman" w:hAnsi="Times New Roman"/>
          <w:b/>
          <w:color w:val="000000"/>
          <w:sz w:val="24"/>
        </w:rPr>
        <w:t>NATIONAL CINEMEDIA, LLC</w:t>
      </w:r>
    </w:p>
    <w:p>
      <w:pPr>
        <w:pStyle w:val="TextBody"/>
        <w:bidi w:val="0"/>
        <w:spacing w:before="240" w:after="283"/>
        <w:jc w:val="center"/>
        <w:rPr>
          <w:rFonts w:ascii="Times New Roman" w:hAnsi="Times New Roman"/>
          <w:sz w:val="20"/>
        </w:rPr>
      </w:pPr>
      <w:r>
        <w:rPr>
          <w:rFonts w:ascii="Times New Roman" w:hAnsi="Times New Roman"/>
          <w:b/>
          <w:color w:val="000000"/>
          <w:sz w:val="24"/>
        </w:rPr>
        <w:t>INSIDER TRADING POLICY</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Purpose</w:t>
      </w:r>
    </w:p>
    <w:p>
      <w:pPr>
        <w:pStyle w:val="TextBody"/>
        <w:bidi w:val="0"/>
        <w:spacing w:before="240" w:after="283"/>
        <w:jc w:val="left"/>
        <w:rPr>
          <w:rFonts w:ascii="Times New Roman" w:hAnsi="Times New Roman"/>
          <w:sz w:val="20"/>
        </w:rPr>
      </w:pPr>
      <w:r>
        <w:rPr>
          <w:rFonts w:ascii="Times New Roman" w:hAnsi="Times New Roman"/>
          <w:color w:val="000000"/>
          <w:sz w:val="24"/>
        </w:rPr>
        <w:t>The purpose of this Insider Trading Policy (the “</w:t>
      </w:r>
      <w:r>
        <w:rPr>
          <w:rFonts w:ascii="Times New Roman" w:hAnsi="Times New Roman"/>
          <w:color w:val="000000"/>
          <w:sz w:val="24"/>
          <w:u w:val="single"/>
        </w:rPr>
        <w:t>Policy</w:t>
      </w:r>
      <w:r>
        <w:rPr>
          <w:rFonts w:ascii="Times New Roman" w:hAnsi="Times New Roman"/>
          <w:color w:val="000000"/>
          <w:sz w:val="20"/>
        </w:rPr>
        <w:t>”</w:t>
      </w:r>
      <w:r>
        <w:rPr>
          <w:rFonts w:ascii="Times New Roman" w:hAnsi="Times New Roman"/>
          <w:color w:val="000000"/>
          <w:sz w:val="24"/>
        </w:rPr>
        <w:t>) is to assure compliance with laws prohibiting “insider trading,” to help protect National CineMedia, Inc. and National CineMedia, LLC and their employees from serious liability and penalties that can result from violation of such laws, and to avoid the appearance of impropriety and resulting damage to our reputation for integrity and ethical conduct. To those ends, this Policy provides guidelines with respect to transactions in the securities of National CineMedia, Inc., National CineMedia, LLC and the companies with which they do business. This Policy also provides guidelines with respect to the handling of confidential information.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 this Policy, we refer to National CineMedia, Inc. as “NCM, Inc.,” National CineMedia, LLC as “NCM LLC,” and National CineMedia, Inc. and National CineMedia, LLC together as the “Company.”</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Individual Responsibility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Persons subject to this Policy have ethical and legal obligations to maintain the confidentiality of information about the Company and to not engage in transactions in Securities (defined below) while in possession of Material Nonpublic Information (defined below). Each individual is responsible for making sure that he or she complies with this Policy, and that any family member, household member or entity whose transactions are subject to this Policy, as discussed below, also complies with this Policy. In all cases, the responsibility for determining whether an individual is in possession of Material Nonpublic Information rests with that individual. Persons subject to this Policy could be subject to severe legal penalties and disciplinary action by the Company for any conduct prohibited by this Policy or applicable securities laws, as described below in more detail under the heading “Consequences.”</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Administration of the Policy</w:t>
      </w:r>
    </w:p>
    <w:p>
      <w:pPr>
        <w:pStyle w:val="TextBody"/>
        <w:bidi w:val="0"/>
        <w:spacing w:before="240" w:after="283"/>
        <w:jc w:val="left"/>
        <w:rPr>
          <w:rFonts w:ascii="Times New Roman" w:hAnsi="Times New Roman"/>
          <w:sz w:val="20"/>
        </w:rPr>
      </w:pPr>
      <w:r>
        <w:rPr>
          <w:rFonts w:ascii="Times New Roman" w:hAnsi="Times New Roman"/>
          <w:color w:val="000000"/>
          <w:sz w:val="24"/>
        </w:rPr>
        <w:t>The Chief Legal Officer and Chief Financial Officer shall administer this policy. Any person who has a question about this Policy or its application to any proposed transaction may obtain additional guidance from the Chief Legal Officer and Chief Financial Officer.</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Definitions</w:t>
      </w:r>
    </w:p>
    <w:p>
      <w:pPr>
        <w:pStyle w:val="TextBody"/>
        <w:bidi w:val="0"/>
        <w:spacing w:before="240" w:after="283"/>
        <w:jc w:val="left"/>
        <w:rPr>
          <w:rFonts w:ascii="Times New Roman" w:hAnsi="Times New Roman"/>
          <w:sz w:val="20"/>
        </w:rPr>
      </w:pPr>
      <w:r>
        <w:rPr>
          <w:rFonts w:ascii="Times New Roman" w:hAnsi="Times New Roman"/>
          <w:i/>
          <w:color w:val="000000"/>
          <w:sz w:val="24"/>
        </w:rPr>
        <w:t>Directors</w:t>
      </w:r>
      <w:r>
        <w:rPr>
          <w:rFonts w:ascii="Times New Roman" w:hAnsi="Times New Roman"/>
          <w:color w:val="000000"/>
          <w:sz w:val="20"/>
        </w:rPr>
        <w:t xml:space="preserve">— </w:t>
      </w:r>
      <w:r>
        <w:rPr>
          <w:rFonts w:ascii="Times New Roman" w:hAnsi="Times New Roman"/>
          <w:color w:val="000000"/>
          <w:sz w:val="24"/>
        </w:rPr>
        <w:t>Directors of NCM, Inc.</w:t>
      </w:r>
    </w:p>
    <w:p>
      <w:pPr>
        <w:pStyle w:val="TextBody"/>
        <w:bidi w:val="0"/>
        <w:spacing w:before="240" w:after="283"/>
        <w:jc w:val="left"/>
        <w:rPr>
          <w:rFonts w:ascii="Times New Roman" w:hAnsi="Times New Roman"/>
          <w:sz w:val="20"/>
        </w:rPr>
      </w:pPr>
      <w:r>
        <w:rPr>
          <w:rFonts w:ascii="Times New Roman" w:hAnsi="Times New Roman"/>
          <w:i/>
          <w:color w:val="000000"/>
          <w:sz w:val="24"/>
        </w:rPr>
        <w:t>Employees</w:t>
      </w:r>
      <w:r>
        <w:rPr>
          <w:rFonts w:ascii="Times New Roman" w:hAnsi="Times New Roman"/>
          <w:color w:val="000000"/>
          <w:sz w:val="20"/>
        </w:rPr>
        <w:t xml:space="preserve">— </w:t>
      </w:r>
      <w:r>
        <w:rPr>
          <w:rFonts w:ascii="Times New Roman" w:hAnsi="Times New Roman"/>
          <w:color w:val="000000"/>
          <w:sz w:val="24"/>
        </w:rPr>
        <w:t>Employees and Officers of, as well as consultants or contractors to, NCM, Inc. or NCM LLC, and any employees of consultants or contractors.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4"/>
        </w:rPr>
        <w:t>Material</w:t>
      </w:r>
      <w:r>
        <w:rPr>
          <w:rFonts w:ascii="Times New Roman" w:hAnsi="Times New Roman"/>
          <w:color w:val="000000"/>
          <w:sz w:val="20"/>
        </w:rPr>
        <w:t xml:space="preserve">— </w:t>
      </w:r>
      <w:r>
        <w:rPr>
          <w:rFonts w:ascii="Times New Roman" w:hAnsi="Times New Roman"/>
          <w:color w:val="000000"/>
          <w:sz w:val="24"/>
        </w:rPr>
        <w:t>Information is considered “material” if a reasonable investor would consider that information important in making a decision to buy, hold or sell Securities. Any information that could be expected to affect a company’s stock price, whether it is positive or negative, should be considered material. See “Examples of Material Nonpublic Information” below.</w:t>
      </w:r>
    </w:p>
    <w:p>
      <w:pPr>
        <w:pStyle w:val="TextBody"/>
        <w:bidi w:val="0"/>
        <w:spacing w:before="240" w:after="283"/>
        <w:jc w:val="left"/>
        <w:rPr>
          <w:rFonts w:ascii="Times New Roman" w:hAnsi="Times New Roman"/>
          <w:sz w:val="20"/>
        </w:rPr>
      </w:pPr>
      <w:r>
        <w:rPr>
          <w:rFonts w:ascii="Times New Roman" w:hAnsi="Times New Roman"/>
          <w:i/>
          <w:color w:val="000000"/>
          <w:sz w:val="24"/>
        </w:rPr>
        <w:t>Material</w:t>
      </w:r>
      <w:r>
        <w:rPr>
          <w:rFonts w:ascii="Times New Roman" w:hAnsi="Times New Roman"/>
          <w:color w:val="000000"/>
          <w:sz w:val="20"/>
        </w:rPr>
        <w:t xml:space="preserve"> </w:t>
      </w:r>
      <w:r>
        <w:rPr>
          <w:rFonts w:ascii="Times New Roman" w:hAnsi="Times New Roman"/>
          <w:i/>
          <w:color w:val="000000"/>
          <w:sz w:val="24"/>
        </w:rPr>
        <w:t>Nonpublic Information</w:t>
      </w:r>
      <w:r>
        <w:rPr>
          <w:rFonts w:ascii="Times New Roman" w:hAnsi="Times New Roman"/>
          <w:color w:val="000000"/>
          <w:sz w:val="20"/>
        </w:rPr>
        <w:t xml:space="preserve"> — </w:t>
      </w:r>
      <w:r>
        <w:rPr>
          <w:rFonts w:ascii="Times New Roman" w:hAnsi="Times New Roman"/>
          <w:color w:val="000000"/>
          <w:sz w:val="24"/>
        </w:rPr>
        <w:t>Information concerning the Company that is both Material and Nonpublic, or other companies when that information is obtained in the course of employment with, or the performance of services on behalf of, the Company.</w:t>
      </w:r>
    </w:p>
    <w:p>
      <w:pPr>
        <w:pStyle w:val="TextBody"/>
        <w:bidi w:val="0"/>
        <w:spacing w:before="240" w:after="283"/>
        <w:jc w:val="left"/>
        <w:rPr>
          <w:rFonts w:ascii="Times New Roman" w:hAnsi="Times New Roman"/>
          <w:sz w:val="20"/>
        </w:rPr>
      </w:pPr>
      <w:r>
        <w:rPr>
          <w:rFonts w:ascii="Times New Roman" w:hAnsi="Times New Roman"/>
          <w:i/>
          <w:color w:val="000000"/>
          <w:sz w:val="24"/>
        </w:rPr>
        <w:t>Nonpublic</w:t>
      </w:r>
      <w:r>
        <w:rPr>
          <w:rFonts w:ascii="Times New Roman" w:hAnsi="Times New Roman"/>
          <w:color w:val="000000"/>
          <w:sz w:val="20"/>
        </w:rPr>
        <w:t xml:space="preserve">— </w:t>
      </w:r>
      <w:r>
        <w:rPr>
          <w:rFonts w:ascii="Times New Roman" w:hAnsi="Times New Roman"/>
          <w:color w:val="000000"/>
          <w:sz w:val="24"/>
        </w:rPr>
        <w:t xml:space="preserve">Information that has not been disclosed to the public is generally considered to be nonpublic information. In order to establish that the information has been disclosed to the public, it may be necessary to demonstrate that the information has been widely disseminated. Information generally would be considered widely disseminated if it was included in the Company’s filings with the Securities and Exchange Commission or in a press release issued by the Company or otherwise widely disseminated to the investing public. Information is considered public </w:t>
      </w:r>
      <w:r>
        <w:rPr>
          <w:rFonts w:ascii="Times New Roman" w:hAnsi="Times New Roman"/>
          <w:color w:val="000000"/>
          <w:sz w:val="24"/>
          <w:u w:val="single"/>
        </w:rPr>
        <w:t>one full business day</w:t>
      </w:r>
      <w:r>
        <w:rPr>
          <w:rFonts w:ascii="Times New Roman" w:hAnsi="Times New Roman"/>
          <w:color w:val="000000"/>
          <w:sz w:val="20"/>
        </w:rPr>
        <w:t xml:space="preserve"> </w:t>
      </w:r>
      <w:r>
        <w:rPr>
          <w:rFonts w:ascii="Times New Roman" w:hAnsi="Times New Roman"/>
          <w:color w:val="000000"/>
          <w:sz w:val="24"/>
        </w:rPr>
        <w:t>after its public release. If, for example, the Company were to make an announcement before Nasdaq opens on a Monday, no Employee or Director may Trade in Securities until Tuesday. If the Company were to make an announcement during or after Nasdaq’s market hours on a Monday, no Employee or Director may Trade in Securities until Wednesday.</w:t>
      </w:r>
    </w:p>
    <w:p>
      <w:pPr>
        <w:pStyle w:val="TextBody"/>
        <w:bidi w:val="0"/>
        <w:spacing w:before="240" w:after="283"/>
        <w:jc w:val="left"/>
        <w:rPr>
          <w:rFonts w:ascii="Times New Roman" w:hAnsi="Times New Roman"/>
          <w:sz w:val="20"/>
        </w:rPr>
      </w:pPr>
      <w:r>
        <w:rPr>
          <w:rFonts w:ascii="Times New Roman" w:hAnsi="Times New Roman"/>
          <w:i/>
          <w:color w:val="000000"/>
          <w:sz w:val="24"/>
        </w:rPr>
        <w:t>Officers</w:t>
      </w:r>
      <w:r>
        <w:rPr>
          <w:rFonts w:ascii="Times New Roman" w:hAnsi="Times New Roman"/>
          <w:color w:val="000000"/>
          <w:sz w:val="20"/>
        </w:rPr>
        <w:t xml:space="preserve">— </w:t>
      </w:r>
      <w:r>
        <w:rPr>
          <w:rFonts w:ascii="Times New Roman" w:hAnsi="Times New Roman"/>
          <w:color w:val="000000"/>
          <w:sz w:val="24"/>
        </w:rPr>
        <w:t>Officers of NCM, Inc. or NCM LLC.</w:t>
      </w:r>
    </w:p>
    <w:p>
      <w:pPr>
        <w:pStyle w:val="TextBody"/>
        <w:bidi w:val="0"/>
        <w:spacing w:before="240" w:after="283"/>
        <w:jc w:val="left"/>
        <w:rPr>
          <w:rFonts w:ascii="Times New Roman" w:hAnsi="Times New Roman"/>
          <w:sz w:val="20"/>
        </w:rPr>
      </w:pPr>
      <w:r>
        <w:rPr>
          <w:rFonts w:ascii="Times New Roman" w:hAnsi="Times New Roman"/>
          <w:i/>
          <w:color w:val="000000"/>
          <w:sz w:val="24"/>
        </w:rPr>
        <w:t xml:space="preserve">Securities </w:t>
      </w:r>
      <w:r>
        <w:rPr>
          <w:rFonts w:ascii="Times New Roman" w:hAnsi="Times New Roman"/>
          <w:color w:val="000000"/>
          <w:sz w:val="20"/>
        </w:rPr>
        <w:t xml:space="preserve">— </w:t>
      </w:r>
      <w:r>
        <w:rPr>
          <w:rFonts w:ascii="Times New Roman" w:hAnsi="Times New Roman"/>
          <w:color w:val="000000"/>
          <w:sz w:val="24"/>
        </w:rPr>
        <w:t>Equity, debt or convertible securities of NCM, Inc. or NCM LLC and put or call options or other derivative securities, the value and characteristics of which depend, in part or in whole, on the value and characteristics of the securities of NCM, Inc. or NCM LLC.</w:t>
      </w:r>
    </w:p>
    <w:p>
      <w:pPr>
        <w:pStyle w:val="TextBody"/>
        <w:bidi w:val="0"/>
        <w:spacing w:before="240" w:after="283"/>
        <w:jc w:val="left"/>
        <w:rPr>
          <w:rFonts w:ascii="Times New Roman" w:hAnsi="Times New Roman"/>
          <w:sz w:val="20"/>
        </w:rPr>
      </w:pPr>
      <w:r>
        <w:rPr>
          <w:rFonts w:ascii="Times New Roman" w:hAnsi="Times New Roman"/>
          <w:i/>
          <w:color w:val="000000"/>
          <w:sz w:val="24"/>
        </w:rPr>
        <w:t>Trade or Trading</w:t>
      </w:r>
      <w:r>
        <w:rPr>
          <w:rFonts w:ascii="Times New Roman" w:hAnsi="Times New Roman"/>
          <w:color w:val="000000"/>
          <w:sz w:val="20"/>
        </w:rPr>
        <w:t xml:space="preserve">— </w:t>
      </w:r>
      <w:r>
        <w:rPr>
          <w:rFonts w:ascii="Times New Roman" w:hAnsi="Times New Roman"/>
          <w:color w:val="000000"/>
          <w:sz w:val="24"/>
        </w:rPr>
        <w:t>Buying or selling, or placing an order to buy or sell Securities either now or in the future, including through cashless exercise of stock options where shares are sold to pay the exercise price.</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Policy</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1.</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Trading in Securities by Employees or Directors</w:t>
      </w:r>
    </w:p>
    <w:p>
      <w:pPr>
        <w:pStyle w:val="TextBody"/>
        <w:bidi w:val="0"/>
        <w:spacing w:before="240" w:after="283"/>
        <w:jc w:val="left"/>
        <w:rPr>
          <w:rFonts w:ascii="Times New Roman" w:hAnsi="Times New Roman"/>
          <w:sz w:val="20"/>
        </w:rPr>
      </w:pPr>
      <w:r>
        <w:rPr>
          <w:rFonts w:ascii="Times New Roman" w:hAnsi="Times New Roman"/>
          <w:i/>
          <w:color w:val="000000"/>
          <w:sz w:val="24"/>
        </w:rPr>
        <w:t>Insider Trading</w:t>
      </w:r>
      <w:r>
        <w:rPr>
          <w:rFonts w:ascii="Times New Roman" w:hAnsi="Times New Roman"/>
          <w:color w:val="000000"/>
          <w:sz w:val="24"/>
        </w:rPr>
        <w:t xml:space="preserve">. Employees or Directors may </w:t>
      </w:r>
      <w:r>
        <w:rPr>
          <w:rFonts w:ascii="Times New Roman" w:hAnsi="Times New Roman"/>
          <w:color w:val="000000"/>
          <w:sz w:val="24"/>
          <w:u w:val="single"/>
        </w:rPr>
        <w:t>not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purchase or sell Securities while in possession of Material Nonpublic Information;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Trade in Securities from the time that they learn of Material Nonpublic Information until one full business day after any Material Nonpublic Information regarding the Company is released to the public.</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This prohibition includes: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purchases or sales of Securities by members of the Employee’s household;</w:t>
      </w:r>
    </w:p>
    <w:p>
      <w:pPr>
        <w:pStyle w:val="TextBody"/>
        <w:bidi w:val="0"/>
        <w:jc w:val="center"/>
        <w:rPr>
          <w:rFonts w:ascii="Times New Roman" w:hAnsi="Times New Roman"/>
          <w:b/>
          <w:caps/>
          <w:color w:val="000000"/>
          <w:sz w:val="24"/>
        </w:rPr>
      </w:pPr>
      <w:r>
        <w:rPr>
          <w:rFonts w:ascii="Times New Roman" w:hAnsi="Times New Roman"/>
          <w:b/>
          <w:caps/>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purchases or sales of Securities by family members who do not live in the Employee’s household but whose transactions in Securities are influenced or controlled by such Employee;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purchases or sales of Securities by entities controlled by the Employee (corporations, partnerships, trusts, etc.).</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prohibition on Trading while in possession of Material Nonpublic Information continues for as long as any information the Employee has is both Material and Nonpublic – and can continue even after the Employee’s employment or engagement with the Company has terminated.</w:t>
      </w:r>
    </w:p>
    <w:p>
      <w:pPr>
        <w:pStyle w:val="TextBody"/>
        <w:bidi w:val="0"/>
        <w:spacing w:before="240" w:after="283"/>
        <w:jc w:val="left"/>
        <w:rPr>
          <w:rFonts w:ascii="Times New Roman" w:hAnsi="Times New Roman"/>
          <w:sz w:val="20"/>
        </w:rPr>
      </w:pPr>
      <w:r>
        <w:rPr>
          <w:rFonts w:ascii="Times New Roman" w:hAnsi="Times New Roman"/>
          <w:i/>
          <w:color w:val="000000"/>
          <w:sz w:val="24"/>
        </w:rPr>
        <w:t>Tipping</w:t>
      </w:r>
      <w:r>
        <w:rPr>
          <w:rFonts w:ascii="Times New Roman" w:hAnsi="Times New Roman"/>
          <w:color w:val="000000"/>
          <w:sz w:val="24"/>
        </w:rPr>
        <w:t>. Employees or Directors may not disclose Material Nonpublic Information regarding the Company to other Employees or outside parties (except in each case on a need to know basis), or to family members. This is to assure that no Employee becomes a “tipper,” liable for the Trading of his or her “tippee.”</w:t>
      </w:r>
    </w:p>
    <w:p>
      <w:pPr>
        <w:pStyle w:val="TextBody"/>
        <w:bidi w:val="0"/>
        <w:spacing w:before="240" w:after="283"/>
        <w:jc w:val="left"/>
        <w:rPr>
          <w:rFonts w:ascii="Times New Roman" w:hAnsi="Times New Roman"/>
          <w:sz w:val="20"/>
        </w:rPr>
      </w:pPr>
      <w:r>
        <w:rPr>
          <w:rFonts w:ascii="Times New Roman" w:hAnsi="Times New Roman"/>
          <w:i/>
          <w:color w:val="000000"/>
          <w:sz w:val="24"/>
        </w:rPr>
        <w:t>Family Members</w:t>
      </w:r>
      <w:r>
        <w:rPr>
          <w:rFonts w:ascii="Times New Roman" w:hAnsi="Times New Roman"/>
          <w:color w:val="000000"/>
          <w:sz w:val="24"/>
        </w:rPr>
        <w:t>. All Employees and Directors must instruct (i) their household members and (ii) any family members who do not live in the Employee’s household but whose transactions in Securities are influenced or controlled by the Employee to observe the above rules and take all reasonable precautions to assure such observance.</w:t>
      </w:r>
    </w:p>
    <w:p>
      <w:pPr>
        <w:pStyle w:val="TextBody"/>
        <w:bidi w:val="0"/>
        <w:spacing w:before="240" w:after="283"/>
        <w:jc w:val="left"/>
        <w:rPr>
          <w:rFonts w:ascii="Times New Roman" w:hAnsi="Times New Roman"/>
          <w:sz w:val="20"/>
        </w:rPr>
      </w:pPr>
      <w:r>
        <w:rPr>
          <w:rFonts w:ascii="Times New Roman" w:hAnsi="Times New Roman"/>
          <w:i/>
          <w:color w:val="000000"/>
          <w:sz w:val="24"/>
        </w:rPr>
        <w:t xml:space="preserve">Pre-Clearance. </w:t>
      </w:r>
      <w:r>
        <w:rPr>
          <w:rFonts w:ascii="Times New Roman" w:hAnsi="Times New Roman"/>
          <w:color w:val="000000"/>
          <w:sz w:val="24"/>
        </w:rPr>
        <w:t>All Designated Persons are required to pre-clear any Trading in Securities by written request to Financial Reporting. Approval or rejection should be communicated within 72 hours of the request and if approved, the Trade must be completed within five trading days, except in the case of a limit order.</w:t>
      </w:r>
    </w:p>
    <w:p>
      <w:pPr>
        <w:pStyle w:val="TextBody"/>
        <w:bidi w:val="0"/>
        <w:spacing w:before="240" w:after="283"/>
        <w:jc w:val="left"/>
        <w:rPr>
          <w:rFonts w:ascii="Times New Roman" w:hAnsi="Times New Roman"/>
          <w:sz w:val="20"/>
        </w:rPr>
      </w:pPr>
      <w:r>
        <w:rPr>
          <w:rFonts w:ascii="Times New Roman" w:hAnsi="Times New Roman"/>
          <w:i/>
          <w:color w:val="000000"/>
          <w:sz w:val="24"/>
        </w:rPr>
        <w:t>Gifts</w:t>
      </w:r>
      <w:r>
        <w:rPr>
          <w:rFonts w:ascii="Times New Roman" w:hAnsi="Times New Roman"/>
          <w:color w:val="000000"/>
          <w:sz w:val="24"/>
        </w:rPr>
        <w:t>. The restrictions on Trading in Securities set out in this Policy may apply equally to gifts of Securities, so Employees and Directors must pre-clear proposed gifts with the Chief Legal Officer and Chief Financial Officer of the Company before the gift is made.</w:t>
      </w:r>
    </w:p>
    <w:p>
      <w:pPr>
        <w:pStyle w:val="TextBody"/>
        <w:bidi w:val="0"/>
        <w:spacing w:before="240" w:after="283"/>
        <w:jc w:val="left"/>
        <w:rPr>
          <w:rFonts w:ascii="Times New Roman" w:hAnsi="Times New Roman"/>
          <w:sz w:val="20"/>
        </w:rPr>
      </w:pPr>
      <w:r>
        <w:rPr>
          <w:rFonts w:ascii="Times New Roman" w:hAnsi="Times New Roman"/>
          <w:i/>
          <w:color w:val="000000"/>
          <w:sz w:val="24"/>
        </w:rPr>
        <w:t>Options, Derivatives and Short Sales</w:t>
      </w:r>
      <w:r>
        <w:rPr>
          <w:rFonts w:ascii="Times New Roman" w:hAnsi="Times New Roman"/>
          <w:color w:val="000000"/>
          <w:sz w:val="24"/>
        </w:rPr>
        <w:t>. Neither Employees nor Directors may engage in transactions in options, puts, calls or other derivative Securities with respect to Securities or sell short Securities.</w:t>
      </w:r>
    </w:p>
    <w:p>
      <w:pPr>
        <w:pStyle w:val="TextBody"/>
        <w:bidi w:val="0"/>
        <w:spacing w:before="240" w:after="283"/>
        <w:jc w:val="left"/>
        <w:rPr>
          <w:rFonts w:ascii="Times New Roman" w:hAnsi="Times New Roman"/>
          <w:sz w:val="20"/>
        </w:rPr>
      </w:pPr>
      <w:r>
        <w:rPr>
          <w:rFonts w:ascii="Times New Roman" w:hAnsi="Times New Roman"/>
          <w:i/>
          <w:color w:val="000000"/>
          <w:sz w:val="24"/>
        </w:rPr>
        <w:t>Margin Accounts and Pledged Securities</w:t>
      </w:r>
      <w:r>
        <w:rPr>
          <w:rFonts w:ascii="Times New Roman" w:hAnsi="Times New Roman"/>
          <w:color w:val="000000"/>
          <w:sz w:val="24"/>
        </w:rPr>
        <w:t>. Neither Employees nor Directors may keep Securities in a margin account and may not use Securities as collateral for a loan.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4"/>
        </w:rPr>
        <w:t>Hedging Transactions</w:t>
      </w:r>
      <w:r>
        <w:rPr>
          <w:rFonts w:ascii="Times New Roman" w:hAnsi="Times New Roman"/>
          <w:color w:val="000000"/>
          <w:sz w:val="24"/>
        </w:rPr>
        <w:t>. Neither Employees nor Directors may, directly or indirectly through a designee, purchase any financial instruments (including prepaid variable forward contracts, equity swaps, collars and exchange funds) that are designed to hedge or offset any decrease in market value of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2.</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Additional Restrictions for Officers, Directors and Other Designated Persons</w:t>
      </w:r>
    </w:p>
    <w:p>
      <w:pPr>
        <w:pStyle w:val="TextBody"/>
        <w:bidi w:val="0"/>
        <w:spacing w:before="240" w:after="283"/>
        <w:jc w:val="left"/>
        <w:rPr>
          <w:rFonts w:ascii="Times New Roman" w:hAnsi="Times New Roman"/>
          <w:sz w:val="20"/>
        </w:rPr>
      </w:pPr>
      <w:r>
        <w:rPr>
          <w:rFonts w:ascii="Times New Roman" w:hAnsi="Times New Roman"/>
          <w:color w:val="000000"/>
          <w:sz w:val="24"/>
        </w:rPr>
        <w:t>All Officers, Directors and other persons so identified by the Chief Legal Officer and Chief Financial Officer of the Company are “</w:t>
      </w:r>
      <w:r>
        <w:rPr>
          <w:rFonts w:ascii="Times New Roman" w:hAnsi="Times New Roman"/>
          <w:color w:val="000000"/>
          <w:sz w:val="24"/>
          <w:u w:val="single"/>
        </w:rPr>
        <w:t>Designated Persons</w:t>
      </w:r>
      <w:r>
        <w:rPr>
          <w:rFonts w:ascii="Times New Roman" w:hAnsi="Times New Roman"/>
          <w:color w:val="000000"/>
          <w:sz w:val="20"/>
        </w:rPr>
        <w:t xml:space="preserve">” </w:t>
      </w:r>
      <w:r>
        <w:rPr>
          <w:rFonts w:ascii="Times New Roman" w:hAnsi="Times New Roman"/>
          <w:color w:val="000000"/>
          <w:sz w:val="24"/>
        </w:rPr>
        <w:t>for purposes of this Policy. From time to time, the Chief Legal Officer and Chief Financial Officer may identify additional</w:t>
      </w:r>
      <w:r>
        <w:rPr>
          <w:rFonts w:ascii="Times New Roman" w:hAnsi="Times New Roman"/>
          <w:color w:val="000000"/>
          <w:sz w:val="20"/>
        </w:rPr>
        <w:t xml:space="preserve"> </w:t>
      </w:r>
    </w:p>
    <w:p>
      <w:pPr>
        <w:pStyle w:val="TextBody"/>
        <w:bidi w:val="0"/>
        <w:jc w:val="center"/>
        <w:rPr>
          <w:rFonts w:ascii="Times New Roman" w:hAnsi="Times New Roman"/>
          <w:b/>
          <w:caps/>
          <w:color w:val="000000"/>
          <w:sz w:val="24"/>
        </w:rPr>
      </w:pPr>
      <w:r>
        <w:rPr>
          <w:rFonts w:ascii="Times New Roman" w:hAnsi="Times New Roman"/>
          <w:b/>
          <w:caps/>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Designated Persons, and the Chief Legal Officer or Chief Financial Officer will notify such persons of their designation.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All Designated Persons must follow the restrictions and guidelines in Part 1. In addition, all Designated Persons will also need to comply with the restrictions and guidelines set forth below:</w:t>
      </w:r>
    </w:p>
    <w:p>
      <w:pPr>
        <w:pStyle w:val="TextBody"/>
        <w:bidi w:val="0"/>
        <w:spacing w:before="240" w:after="283"/>
        <w:jc w:val="left"/>
        <w:rPr>
          <w:rFonts w:ascii="Times New Roman" w:hAnsi="Times New Roman"/>
          <w:sz w:val="20"/>
        </w:rPr>
      </w:pPr>
      <w:r>
        <w:rPr>
          <w:rFonts w:ascii="Times New Roman" w:hAnsi="Times New Roman"/>
          <w:i/>
          <w:color w:val="000000"/>
          <w:sz w:val="24"/>
        </w:rPr>
        <w:t xml:space="preserve">Blackout Period. </w:t>
      </w:r>
      <w:r>
        <w:rPr>
          <w:rFonts w:ascii="Times New Roman" w:hAnsi="Times New Roman"/>
          <w:color w:val="000000"/>
          <w:sz w:val="24"/>
        </w:rPr>
        <w:t>No Designated Person may Trade in Securities during the period commencing on the last day of each fiscal quarter and ending after the close of the business day after the public release of earnings for the quarter or fiscal year.</w:t>
      </w:r>
    </w:p>
    <w:p>
      <w:pPr>
        <w:pStyle w:val="TextBody"/>
        <w:bidi w:val="0"/>
        <w:spacing w:before="240" w:after="283"/>
        <w:jc w:val="left"/>
        <w:rPr>
          <w:rFonts w:ascii="Times New Roman" w:hAnsi="Times New Roman"/>
          <w:sz w:val="20"/>
        </w:rPr>
      </w:pPr>
      <w:r>
        <w:rPr>
          <w:rFonts w:ascii="Times New Roman" w:hAnsi="Times New Roman"/>
          <w:i/>
          <w:color w:val="000000"/>
          <w:sz w:val="24"/>
        </w:rPr>
        <w:t xml:space="preserve">Material Nonpublic Information. </w:t>
      </w:r>
      <w:r>
        <w:rPr>
          <w:rFonts w:ascii="Times New Roman" w:hAnsi="Times New Roman"/>
          <w:color w:val="000000"/>
          <w:sz w:val="24"/>
        </w:rPr>
        <w:t>Designated Persons are encouraged to Trade only in periods of relative stability for the Company, even when they do not know of Material Nonpublic Information. They should limit their transactions in Securities to periods shortly after all Material Nonpublic Information has been disclosed in a filing or otherwise, but no sooner than one full business day following any disclosure. See “Examples of Material, Nonpublic Information” below. Note that the pre-clearance requirement still applies.</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3.</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 xml:space="preserve">Special Circumstances </w:t>
      </w:r>
    </w:p>
    <w:p>
      <w:pPr>
        <w:pStyle w:val="TextBody"/>
        <w:bidi w:val="0"/>
        <w:spacing w:before="240" w:after="283"/>
        <w:jc w:val="left"/>
        <w:rPr>
          <w:rFonts w:ascii="Times New Roman" w:hAnsi="Times New Roman"/>
          <w:sz w:val="20"/>
        </w:rPr>
      </w:pPr>
      <w:r>
        <w:rPr>
          <w:rFonts w:ascii="Times New Roman" w:hAnsi="Times New Roman"/>
          <w:color w:val="000000"/>
          <w:sz w:val="24"/>
        </w:rPr>
        <w:t>At times, the Company may determine that it is prudent to restrict Trading by certain Employees or groups. Special notifications will be provided to applicable individuals.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4.</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Transactions Under Company Plans</w:t>
      </w:r>
    </w:p>
    <w:p>
      <w:pPr>
        <w:pStyle w:val="TextBody"/>
        <w:bidi w:val="0"/>
        <w:spacing w:before="240" w:after="283"/>
        <w:jc w:val="left"/>
        <w:rPr>
          <w:rFonts w:ascii="Times New Roman" w:hAnsi="Times New Roman"/>
          <w:sz w:val="20"/>
        </w:rPr>
      </w:pPr>
      <w:r>
        <w:rPr>
          <w:rFonts w:ascii="Times New Roman" w:hAnsi="Times New Roman"/>
          <w:i/>
          <w:color w:val="000000"/>
          <w:sz w:val="24"/>
        </w:rPr>
        <w:t xml:space="preserve">Stock Option Exercises. </w:t>
      </w:r>
      <w:r>
        <w:rPr>
          <w:rFonts w:ascii="Times New Roman" w:hAnsi="Times New Roman"/>
          <w:color w:val="000000"/>
          <w:sz w:val="24"/>
        </w:rPr>
        <w:t>This Policy does not apply to the exercise of an employee stock option under the cash purchase option if the Employee holds the shares. The Policy does apply, however, to all sales of stock upon the exercise of a stock option, regardless of whether such sale is for the purpose of generating cash needed to pay the exercise price.</w:t>
      </w:r>
    </w:p>
    <w:p>
      <w:pPr>
        <w:pStyle w:val="TextBody"/>
        <w:bidi w:val="0"/>
        <w:spacing w:before="240" w:after="283"/>
        <w:jc w:val="left"/>
        <w:rPr>
          <w:rFonts w:ascii="Times New Roman" w:hAnsi="Times New Roman"/>
          <w:sz w:val="20"/>
        </w:rPr>
      </w:pPr>
      <w:r>
        <w:rPr>
          <w:rFonts w:ascii="Times New Roman" w:hAnsi="Times New Roman"/>
          <w:i/>
          <w:color w:val="000000"/>
          <w:sz w:val="24"/>
        </w:rPr>
        <w:t xml:space="preserve">Approved 10b5-1 Plans. </w:t>
      </w:r>
      <w:r>
        <w:rPr>
          <w:rFonts w:ascii="Times New Roman" w:hAnsi="Times New Roman"/>
          <w:color w:val="000000"/>
          <w:sz w:val="24"/>
        </w:rPr>
        <w:t>Trades in Securities that are executed pursuant to an approved 10b5-1 plan are not subject to the prohibition on Trading on the basis of Material Nonpublic Information contained in this Policy. The Company requires that all Trading by Designated Persons occurs through 10b5-1 plans that comply with applicable law unless otherwise approved by the Chief Legal Officer or Chief Financial Officer.</w:t>
      </w:r>
    </w:p>
    <w:p>
      <w:pPr>
        <w:pStyle w:val="TextBody"/>
        <w:bidi w:val="0"/>
        <w:spacing w:before="240" w:after="283"/>
        <w:jc w:val="left"/>
        <w:rPr>
          <w:rFonts w:ascii="Times New Roman" w:hAnsi="Times New Roman"/>
          <w:sz w:val="20"/>
        </w:rPr>
      </w:pPr>
      <w:r>
        <w:rPr>
          <w:rFonts w:ascii="Times New Roman" w:hAnsi="Times New Roman"/>
          <w:color w:val="000000"/>
          <w:sz w:val="24"/>
        </w:rPr>
        <w:t>Rule 10b5-l provides an affirmative defense from insider trading liability under the federal securities laws for trading plans that meet certain requirements. In general, a 10b5-1 plan must be entered into, modified, suspended, or terminated when the person is not aware of any Material Nonpublic Information and may not be adopted during a blackout period. Once the plan is adopted, such person must not exercise any influence over the amount of Securities to be Traded, the price at which they are to be Traded or the date of the Trade. The plan must either specify (including by formula) the amount, pricing and timing of transactions in advance or delegate discretion on those matters to an independent third party. Trades pursuant to a 10b5-1 plan may occur at any time, subject to a waiting period after adoption of the 10b5-1 plan during which time no transactions under the 10b5-1 plan can be made equal to the later of (i) 90 days following adoption or modification of a plan, or (ii) 2 business days after the disclosure of the company’s financial results in a Form 10-Q or Form 10-K for the completed fiscal period in</w:t>
      </w:r>
      <w:r>
        <w:rPr>
          <w:rFonts w:ascii="Times New Roman" w:hAnsi="Times New Roman"/>
          <w:color w:val="000000"/>
          <w:sz w:val="20"/>
        </w:rPr>
        <w:t xml:space="preserve"> </w:t>
      </w:r>
    </w:p>
    <w:p>
      <w:pPr>
        <w:pStyle w:val="TextBody"/>
        <w:bidi w:val="0"/>
        <w:jc w:val="center"/>
        <w:rPr>
          <w:rFonts w:ascii="Times New Roman" w:hAnsi="Times New Roman"/>
          <w:b/>
          <w:caps/>
          <w:color w:val="000000"/>
          <w:sz w:val="24"/>
        </w:rPr>
      </w:pPr>
      <w:r>
        <w:rPr>
          <w:rFonts w:ascii="Times New Roman" w:hAnsi="Times New Roman"/>
          <w:b/>
          <w:caps/>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which the plan was adopted or modified (subject to a maximum waiting period of 120 days after adoption or modification); provided that if the individual adopting or modifying the 10b5-1 plan is not a director or officer, a shorter time period that complies with applicable law may be agreed to with the approval of the Chief Legal Officer and the Chief Financial Officer. Only one 10b5-1 plan may be in effect at a time for an individual.</w:t>
      </w:r>
    </w:p>
    <w:p>
      <w:pPr>
        <w:pStyle w:val="TextBody"/>
        <w:bidi w:val="0"/>
        <w:spacing w:before="240" w:after="283"/>
        <w:jc w:val="left"/>
        <w:rPr>
          <w:rFonts w:ascii="Times New Roman" w:hAnsi="Times New Roman"/>
          <w:sz w:val="20"/>
        </w:rPr>
      </w:pPr>
      <w:r>
        <w:rPr>
          <w:rFonts w:ascii="Times New Roman" w:hAnsi="Times New Roman"/>
          <w:color w:val="000000"/>
          <w:sz w:val="24"/>
        </w:rPr>
        <w:t>The Company requires that all 10b5-1 plans, including any modifications or terminations, be approved in writing in advance by the Chief Legal Officer or the Chief Financial Officer of the Company. The Company expects that all 10b5-1 plans presented for adoption, modification, or termination comply with all applicable laws and reserves the right to request any changes it deems prudent prior to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5.</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Applicability of this Policy to Inside Information Regarding Other Companies</w:t>
      </w:r>
    </w:p>
    <w:p>
      <w:pPr>
        <w:pStyle w:val="TextBody"/>
        <w:bidi w:val="0"/>
        <w:spacing w:before="240" w:after="283"/>
        <w:jc w:val="left"/>
        <w:rPr>
          <w:rFonts w:ascii="Times New Roman" w:hAnsi="Times New Roman"/>
          <w:sz w:val="20"/>
        </w:rPr>
      </w:pPr>
      <w:r>
        <w:rPr>
          <w:rFonts w:ascii="Times New Roman" w:hAnsi="Times New Roman"/>
          <w:color w:val="000000"/>
          <w:sz w:val="24"/>
        </w:rPr>
        <w:t>This Policy and the guidelines described herein also apply to Material Nonpublic Information relating to other companies, including the Company’s vendors and suppliers (“</w:t>
      </w:r>
      <w:r>
        <w:rPr>
          <w:rFonts w:ascii="Times New Roman" w:hAnsi="Times New Roman"/>
          <w:color w:val="000000"/>
          <w:sz w:val="24"/>
          <w:u w:val="single"/>
        </w:rPr>
        <w:t>business partners</w:t>
      </w:r>
      <w:r>
        <w:rPr>
          <w:rFonts w:ascii="Times New Roman" w:hAnsi="Times New Roman"/>
          <w:color w:val="000000"/>
          <w:sz w:val="20"/>
        </w:rPr>
        <w:t>”</w:t>
      </w:r>
      <w:r>
        <w:rPr>
          <w:rFonts w:ascii="Times New Roman" w:hAnsi="Times New Roman"/>
          <w:color w:val="000000"/>
          <w:sz w:val="24"/>
        </w:rPr>
        <w:t>), when that information is obtained in the course of employment with, or the performance of services on behalf of, the Company. Civil and criminal penalties, and the termination of employment, may result from Trading on inside information regarding the Company’s business partners. All Employees and Directors should treat Material Nonpublic Information about the Company’s business partners with the same care required with respect to information related directly to the Company.</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6.</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Post-Termination Transactions</w:t>
      </w:r>
    </w:p>
    <w:p>
      <w:pPr>
        <w:pStyle w:val="TextBody"/>
        <w:bidi w:val="0"/>
        <w:spacing w:before="240" w:after="283"/>
        <w:jc w:val="left"/>
        <w:rPr>
          <w:rFonts w:ascii="Times New Roman" w:hAnsi="Times New Roman"/>
          <w:sz w:val="20"/>
        </w:rPr>
      </w:pPr>
      <w:r>
        <w:rPr>
          <w:rFonts w:ascii="Times New Roman" w:hAnsi="Times New Roman"/>
          <w:color w:val="000000"/>
          <w:sz w:val="24"/>
        </w:rPr>
        <w:t>This Policy continues to apply to transactions in Securities even after an Employee has terminated employment or a Director has ceased to be a director of the Company. If an Employee or Director is in possession of Material Nonpublic Information when his or her service terminates, such person may not Trade in Securities until that information has become public or is no longer Material. The pre-clearance procedures applicable to such individuals specified under the heading “Pre-Clearance” in Section 1 of this Policy, will cease to apply to transactions in Securities upon the expiration of any blackout period or other Company-imposed trading restrictions in force at the time of such individual’s termination of service.</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Consequences</w:t>
      </w:r>
    </w:p>
    <w:p>
      <w:pPr>
        <w:pStyle w:val="TextBody"/>
        <w:bidi w:val="0"/>
        <w:spacing w:before="240" w:after="283"/>
        <w:jc w:val="left"/>
        <w:rPr>
          <w:rFonts w:ascii="Times New Roman" w:hAnsi="Times New Roman"/>
          <w:sz w:val="20"/>
        </w:rPr>
      </w:pPr>
      <w:r>
        <w:rPr>
          <w:rFonts w:ascii="Times New Roman" w:hAnsi="Times New Roman"/>
          <w:color w:val="000000"/>
          <w:sz w:val="24"/>
        </w:rPr>
        <w:t>You should be aware that securities market surveillance techniques are very sophisticated and the chance that federal authorities or Nasdaq officials will detect and prosecute even apparently minor insider trading violations is a significant one. The Securities and Exchange Commission has successfully prosecuted cases against employees trading through foreign accounts, trading by family members and friends, and trading involving only a small number of shares. The consequences of an insider trading violation can be severe.</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Failure by any Employee to abide by this Policy, whether or not the Employee’s failure to comply results in a violation of law, will result in sanctions, which may include dismissal for cause.</w:t>
      </w:r>
    </w:p>
    <w:p>
      <w:pPr>
        <w:pStyle w:val="TextBody"/>
        <w:bidi w:val="0"/>
        <w:jc w:val="center"/>
        <w:rPr>
          <w:rFonts w:ascii="Times New Roman" w:hAnsi="Times New Roman"/>
          <w:b/>
          <w:caps/>
          <w:color w:val="000000"/>
          <w:sz w:val="24"/>
        </w:rPr>
      </w:pPr>
      <w:r>
        <w:rPr>
          <w:rFonts w:ascii="Times New Roman" w:hAnsi="Times New Roman"/>
          <w:b/>
          <w:caps/>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Any sanctions imposed upon or liabilities incurred by an Employee for insider trading will be the sole responsibility of the Employee. The Company will not cover or indemnify the Employee for these costs.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Trading on Material Nonpublic Information is a crime subject to fines (no matter how small the profit of the Trade) of up to $5 million and jail terms of up to 20 years for individuals. In addition, the Securities and Exchange Commission may seek civil penalties of up to three times the profits made or losses avoided from insider trading. Inside traders must also disgorge any profits made, may be subject to civil liability to private plaintiffs and may be prohibited from serving as directors or officers of the Company or any other public company.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Company is also at risk under federal law and may be fined if the Company recklessly fails to take preventive steps to control insider trading.</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Examples of Material Nonpublic Information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following is a list of common types of information that might be considered Material Nonpublic Information (if it is not generally known or available to the public):</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Earnings information or other operating data for the Company or a company doing business with the Company, including revenue results, sales data, or other revenue projections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pending or potential merger, joint venture, acquisition, disposition, tender offer or other significant changes in assets by the Company or a company doing business with the Company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Material legal actions filed or threatened against the Company or Material developments with respect to any such actions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Material change, either up or down, in the Company’s business, financial condition or operating results, or in the business, financial condition or operating results of a company doing business with the Company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Significant personnel or operations changes or restructuring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Significant related party transactions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change in management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Pending or potential changes in dividend policy, or proposals for a stock split or the offering of additional Securities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Establishment by the Company of a repurchase program for its Securities </w:t>
      </w:r>
    </w:p>
    <w:p>
      <w:pPr>
        <w:pStyle w:val="TextBody"/>
        <w:bidi w:val="0"/>
        <w:jc w:val="center"/>
        <w:rPr>
          <w:rFonts w:ascii="Times New Roman" w:hAnsi="Times New Roman"/>
          <w:b/>
          <w:caps/>
          <w:color w:val="000000"/>
          <w:sz w:val="24"/>
        </w:rPr>
      </w:pPr>
      <w:r>
        <w:rPr>
          <w:rFonts w:ascii="Times New Roman" w:hAnsi="Times New Roman"/>
          <w:b/>
          <w:caps/>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News about a major development, contract, lease or cancellation of an existing contract or lease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Significant cybersecurity incidents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Financial liquidity issues (e.g., impending bankruptcy or the existence of severe liquidity problems)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Changes in the Company’s auditors or a notification from its auditors that the Company may no longer rely on the auditors’ report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Major financing transactions or bank borrowings out of the ordinary course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Material write-offs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Imposition of a ban on Trading in Securities or Securities of a business partner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Anything that is likely to affect the market price of the Company’s Securities, either negatively or positively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Both positive and negative information can be Material. Because Trading that receives scrutiny will be evaluated after the fact with the benefit of hindsight, questions concerning the Materiality of particular information should be resolved in favor of Materiality, and Trading should be avoided. The above list is provided for informational purposes only and is not intended to be exhaustive.</w:t>
      </w:r>
    </w:p>
    <w:p>
      <w:pPr>
        <w:pStyle w:val="TextBody"/>
        <w:bidi w:val="0"/>
        <w:spacing w:before="240" w:after="283"/>
        <w:jc w:val="center"/>
        <w:rPr>
          <w:rFonts w:ascii="Times New Roman" w:hAnsi="Times New Roman"/>
          <w:sz w:val="20"/>
        </w:rPr>
      </w:pP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b/>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This Policy supersedes any previous policy of the Company concerning Securities Trading. In the event of any conflict or inconsistency between this Policy and other materials previously distributed by the Company, this Policy shall govern.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APPROVED </w:t>
      </w:r>
      <w:r>
        <w:rPr>
          <w:rFonts w:ascii="Times New Roman" w:hAnsi="Times New Roman"/>
          <w:color w:val="000000"/>
          <w:sz w:val="24"/>
        </w:rPr>
        <w:t>by the Board on February 12, 2026.</w:t>
      </w:r>
    </w:p>
    <w:p>
      <w:pPr>
        <w:pStyle w:val="TextBody"/>
        <w:bidi w:val="0"/>
        <w:spacing w:before="240" w:after="283"/>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aps/>
          <w:color w:val="000000"/>
          <w:sz w:val="24"/>
        </w:rPr>
      </w:pPr>
      <w:r>
        <w:rPr>
          <w:rFonts w:ascii="Times New Roman" w:hAnsi="Times New Roman"/>
          <w:b/>
          <w:caps/>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bookmarkStart w:id="47" w:name="ncmi-ex21_1.htm"/>
      <w:bookmarkStart w:id="48" w:name="ksncmiex21_1"/>
      <w:bookmarkEnd w:id="47"/>
      <w:bookmarkEnd w:id="48"/>
      <w:r>
        <w:rPr/>
        <w:t> </w:t>
      </w:r>
      <w:r>
        <w:br w:type="page"/>
      </w:r>
    </w:p>
    <w:p>
      <w:pPr>
        <w:pStyle w:val="TextBody"/>
        <w:bidi w:val="0"/>
        <w:jc w:val="right"/>
        <w:rPr>
          <w:rFonts w:ascii="Times New Roman" w:hAnsi="Times New Roman"/>
          <w:b/>
          <w:color w:val="000000"/>
          <w:sz w:val="20"/>
        </w:rPr>
      </w:pPr>
      <w:bookmarkStart w:id="49" w:name="section1"/>
      <w:bookmarkEnd w:id="49"/>
      <w:r>
        <w:rPr>
          <w:rFonts w:ascii="Times New Roman" w:hAnsi="Times New Roman"/>
          <w:b/>
          <w:color w:val="000000"/>
          <w:sz w:val="20"/>
        </w:rPr>
        <w:t>Exhibit 21.1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SUBSIDIARIES OF NATIONAL CINEMEDIA,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National CineMedia, LLC, a Delaware limited liability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NCMI II, LLC, a Delaware limited liability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NCM Blocker Sub 2, LLC, a Delaware limited liability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NCM Investments DS, LLC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Spotlight Cinema Networks, LLC, a Texas limited liability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Storming Images North America, LLC, a Texas limited liability company</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0" w:name="ncmi-ex23_1.htm"/>
      <w:bookmarkStart w:id="51" w:name="ksncmiex23_1"/>
      <w:bookmarkEnd w:id="50"/>
      <w:bookmarkEnd w:id="51"/>
      <w:r>
        <w:rPr/>
        <w:t> </w:t>
      </w:r>
      <w:r>
        <w:br w:type="page"/>
      </w:r>
    </w:p>
    <w:p>
      <w:pPr>
        <w:pStyle w:val="TextBody"/>
        <w:bidi w:val="0"/>
        <w:jc w:val="right"/>
        <w:rPr>
          <w:rFonts w:ascii="Times New Roman" w:hAnsi="Times New Roman"/>
          <w:b/>
          <w:color w:val="000000"/>
          <w:sz w:val="20"/>
        </w:rPr>
      </w:pPr>
      <w:bookmarkStart w:id="52" w:name="section11"/>
      <w:bookmarkEnd w:id="52"/>
      <w:r>
        <w:rPr>
          <w:rFonts w:ascii="Times New Roman" w:hAnsi="Times New Roman"/>
          <w:b/>
          <w:color w:val="000000"/>
          <w:sz w:val="20"/>
        </w:rPr>
        <w:t>Exhibit 23.1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We consent to the incorporation by reference in Registration Statement Nos. 333-289259 on Form S-3 and Registration Statement Nos. 333-238733, 333-266717, and 333-278043 on Form S-8 of our report dated March 18, 2024, (March 6, 2025, as to the effects of the adoption of ASU 2023-07, </w:t>
      </w:r>
      <w:r>
        <w:rPr>
          <w:rFonts w:ascii="Times New Roman" w:hAnsi="Times New Roman"/>
          <w:i/>
          <w:color w:val="000000"/>
          <w:sz w:val="20"/>
        </w:rPr>
        <w:t>Improvements to Reportable Segment Disclosures</w:t>
      </w:r>
      <w:r>
        <w:rPr>
          <w:rFonts w:ascii="Times New Roman" w:hAnsi="Times New Roman"/>
          <w:color w:val="000000"/>
          <w:sz w:val="20"/>
        </w:rPr>
        <w:t>, described in Note 1 within the captions labeled Segment Reporting and Capital Expenditures), relating to the financial statements of National CineMedia, Inc. and subsidiaries appearing in this Annual Report on Form 10-K of National CineMedia, Inc. for the period ended December 28,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Denver, Colorado</w:t>
      </w:r>
    </w:p>
    <w:p>
      <w:pPr>
        <w:pStyle w:val="TextBody"/>
        <w:bidi w:val="0"/>
        <w:jc w:val="left"/>
        <w:rPr>
          <w:rFonts w:ascii="Times New Roman" w:hAnsi="Times New Roman"/>
          <w:color w:val="000000"/>
          <w:sz w:val="20"/>
        </w:rPr>
      </w:pPr>
      <w:r>
        <w:rPr>
          <w:rFonts w:ascii="Times New Roman" w:hAnsi="Times New Roman"/>
          <w:color w:val="000000"/>
          <w:sz w:val="20"/>
        </w:rPr>
        <w:t>February 26, 2026</w:t>
      </w:r>
    </w:p>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3" w:name="ncmi-ex23_2.htm"/>
      <w:bookmarkStart w:id="54" w:name="ksncmiex23_2"/>
      <w:bookmarkEnd w:id="53"/>
      <w:bookmarkEnd w:id="54"/>
      <w:r>
        <w:rPr/>
        <w:t> </w:t>
      </w:r>
      <w:r>
        <w:br w:type="page"/>
      </w:r>
    </w:p>
    <w:p>
      <w:pPr>
        <w:pStyle w:val="TextBody"/>
        <w:bidi w:val="0"/>
        <w:jc w:val="right"/>
        <w:rPr>
          <w:rFonts w:ascii="Times New Roman" w:hAnsi="Times New Roman"/>
          <w:b/>
          <w:color w:val="000000"/>
          <w:sz w:val="20"/>
        </w:rPr>
      </w:pPr>
      <w:bookmarkStart w:id="55" w:name="section12"/>
      <w:bookmarkEnd w:id="55"/>
      <w:r>
        <w:rPr>
          <w:rFonts w:ascii="Times New Roman" w:hAnsi="Times New Roman"/>
          <w:b/>
          <w:color w:val="000000"/>
          <w:sz w:val="20"/>
        </w:rPr>
        <w:t>Exhibit 23.2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issued our reports dated February 26, 2026, with respect to the consolidated financial statements and internal control over financial reporting included in the Annual Report of National CineMedia, Inc. on Form 10-K for the year ended January 1, 2026. We consent to the incorporation by reference of said reports in the Registration Statements of National CineMedia, Inc. on Form S-3 (File No. 333-289259) and Forms S-8 (File No. 333-238733, File No. 333-266717 and File No. 333-278043).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GRANT THRONTON LLP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Denver, Colorado</w:t>
      </w:r>
    </w:p>
    <w:p>
      <w:pPr>
        <w:pStyle w:val="TextBody"/>
        <w:bidi w:val="0"/>
        <w:jc w:val="left"/>
        <w:rPr>
          <w:rFonts w:ascii="Times New Roman" w:hAnsi="Times New Roman"/>
          <w:color w:val="000000"/>
          <w:sz w:val="20"/>
        </w:rPr>
      </w:pPr>
      <w:r>
        <w:rPr>
          <w:rFonts w:ascii="Times New Roman" w:hAnsi="Times New Roman"/>
          <w:color w:val="000000"/>
          <w:sz w:val="20"/>
        </w:rPr>
        <w:t>February 26, 2026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6" w:name="ncmi-ex24_1.htm"/>
      <w:bookmarkStart w:id="57" w:name="ksncmiex24_1"/>
      <w:bookmarkEnd w:id="56"/>
      <w:bookmarkEnd w:id="57"/>
      <w:r>
        <w:rPr/>
        <w:t> </w:t>
      </w:r>
      <w:r>
        <w:br w:type="page"/>
      </w:r>
    </w:p>
    <w:p>
      <w:pPr>
        <w:pStyle w:val="TextBody"/>
        <w:bidi w:val="0"/>
        <w:spacing w:before="0" w:after="100"/>
        <w:jc w:val="right"/>
        <w:rPr>
          <w:rFonts w:ascii="Times New Roman" w:hAnsi="Times New Roman"/>
          <w:sz w:val="20"/>
        </w:rPr>
      </w:pPr>
      <w:bookmarkStart w:id="58" w:name="section13"/>
      <w:bookmarkEnd w:id="58"/>
      <w:r>
        <w:rPr>
          <w:rFonts w:ascii="Times New Roman" w:hAnsi="Times New Roman"/>
          <w:b/>
          <w:color w:val="000000"/>
          <w:sz w:val="20"/>
        </w:rPr>
        <w:t>Exhibit 24.1</w:t>
      </w:r>
      <w:r>
        <w:rPr>
          <w:rFonts w:ascii="Times New Roman" w:hAnsi="Times New Roman"/>
          <w:color w:val="000000"/>
          <w:sz w:val="20"/>
        </w:rPr>
        <w:t xml:space="preserve"> </w:t>
      </w:r>
    </w:p>
    <w:p>
      <w:pPr>
        <w:pStyle w:val="TextBody"/>
        <w:bidi w:val="0"/>
        <w:spacing w:before="140" w:after="283"/>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POWER OF ATTORNEY</w:t>
      </w:r>
      <w:r>
        <w:rPr>
          <w:rFonts w:ascii="Times New Roman" w:hAnsi="Times New Roman"/>
          <w:color w:val="000000"/>
          <w:sz w:val="20"/>
        </w:rPr>
        <w:t xml:space="preserve"> </w:t>
      </w:r>
    </w:p>
    <w:p>
      <w:pPr>
        <w:pStyle w:val="TextBody"/>
        <w:bidi w:val="0"/>
        <w:spacing w:before="0" w:after="100"/>
        <w:jc w:val="left"/>
        <w:rPr>
          <w:rFonts w:ascii="Times New Roman" w:hAnsi="Times New Roman"/>
          <w:sz w:val="20"/>
        </w:rPr>
      </w:pPr>
      <w:r>
        <w:rPr>
          <w:rFonts w:ascii="Times New Roman" w:hAnsi="Times New Roman"/>
          <w:color w:val="000000"/>
          <w:sz w:val="24"/>
        </w:rPr>
        <w:t>Each person whose signature appears below hereby constitutes and appoints Maria V. Woods, Ronnie Y. Ng, and Thomas F. Lesinski, and each of them severally, his or her true and lawful attorneys-in-fact and agents, with full power of substitution and resubstitution, for him or her and in his or her name, place and stead, in any and all capacities, to sign National CineMedia, Inc.’s Annual Report on Form 10-K for the fiscal year ended January 1, 2026, and any and all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of them, or their or her substitutes or substitute, may lawfully do or cause to be done by virtue hereof.</w:t>
      </w:r>
      <w:r>
        <w:rPr>
          <w:rFonts w:ascii="Times New Roman" w:hAnsi="Times New Roman"/>
          <w:color w:val="000000"/>
          <w:sz w:val="20"/>
        </w:rPr>
        <w:t xml:space="preserve"> </w:t>
      </w:r>
    </w:p>
    <w:tbl>
      <w:tblPr>
        <w:tblW w:w="8155" w:type="dxa"/>
        <w:jc w:val="left"/>
        <w:tblInd w:w="0" w:type="dxa"/>
        <w:tblLayout w:type="fixed"/>
        <w:tblCellMar>
          <w:top w:w="28" w:type="dxa"/>
          <w:left w:w="28" w:type="dxa"/>
          <w:bottom w:w="28" w:type="dxa"/>
          <w:right w:w="28" w:type="dxa"/>
        </w:tblCellMar>
      </w:tblPr>
      <w:tblGrid>
        <w:gridCol w:w="2431"/>
        <w:gridCol w:w="1241"/>
        <w:gridCol w:w="2701"/>
        <w:gridCol w:w="146"/>
        <w:gridCol w:w="1636"/>
      </w:tblGrid>
      <w:tr>
        <w:trPr/>
        <w:tc>
          <w:tcPr>
            <w:tcW w:w="243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u w:val="single"/>
              </w:rPr>
            </w:pPr>
            <w:r>
              <w:rPr>
                <w:rFonts w:ascii="Times New Roman" w:hAnsi="Times New Roman"/>
                <w:b/>
                <w:color w:val="000000"/>
                <w:sz w:val="16"/>
                <w:u w:val="single"/>
              </w:rPr>
              <w:t>Signature</w:t>
            </w:r>
          </w:p>
        </w:tc>
        <w:tc>
          <w:tcPr>
            <w:tcW w:w="1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u w:val="single"/>
              </w:rPr>
            </w:pPr>
            <w:r>
              <w:rPr>
                <w:rFonts w:ascii="Times New Roman" w:hAnsi="Times New Roman"/>
                <w:b/>
                <w:color w:val="000000"/>
                <w:sz w:val="16"/>
                <w:u w:val="single"/>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u w:val="single"/>
              </w:rPr>
            </w:pPr>
            <w:r>
              <w:rPr>
                <w:rFonts w:ascii="Times New Roman" w:hAnsi="Times New Roman"/>
                <w:b/>
                <w:color w:val="000000"/>
                <w:sz w:val="16"/>
                <w:u w:val="single"/>
              </w:rPr>
              <w:t>Date</w:t>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3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David E. Glazek</w:t>
            </w:r>
          </w:p>
        </w:tc>
        <w:tc>
          <w:tcPr>
            <w:tcW w:w="1241" w:type="dxa"/>
            <w:tcBorders>
              <w:bottom w:val="single" w:sz="4" w:space="0" w:color="000000"/>
            </w:tcBorders>
            <w:tcMar>
              <w:top w:w="0" w:type="dxa"/>
              <w:left w:w="0" w:type="dxa"/>
              <w:right w:w="0" w:type="dxa"/>
            </w:tcMar>
            <w:vAlign w:val="center"/>
          </w:tcPr>
          <w:p>
            <w:pPr>
              <w:pStyle w:val="TableContents"/>
              <w:bidi w:val="0"/>
              <w:spacing w:before="0" w:after="283"/>
              <w:ind w:left="0" w:right="0" w:firstLine="1095"/>
              <w:jc w:val="left"/>
              <w:rPr>
                <w:sz w:val="4"/>
                <w:szCs w:val="4"/>
              </w:rPr>
            </w:pPr>
            <w:r>
              <w:rPr>
                <w:sz w:val="4"/>
                <w:szCs w:val="4"/>
              </w:rPr>
            </w:r>
          </w:p>
        </w:tc>
        <w:tc>
          <w:tcPr>
            <w:tcW w:w="2701" w:type="dxa"/>
            <w:tcBorders/>
            <w:tcMar>
              <w:top w:w="0" w:type="dxa"/>
              <w:left w:w="0" w:type="dxa"/>
              <w:bottom w:w="0" w:type="dxa"/>
              <w:right w:w="0" w:type="dxa"/>
            </w:tcMar>
            <w:vAlign w:val="center"/>
          </w:tcPr>
          <w:p>
            <w:pPr>
              <w:pStyle w:val="TableContents"/>
              <w:bidi w:val="0"/>
              <w:spacing w:before="53" w:after="30"/>
              <w:ind w:left="0" w:right="0" w:firstLine="1095"/>
              <w:jc w:val="left"/>
              <w:rPr>
                <w:rFonts w:ascii="Times New Roman" w:hAnsi="Times New Roman"/>
                <w:color w:val="000000"/>
                <w:sz w:val="20"/>
              </w:rPr>
            </w:pPr>
            <w:r>
              <w:rPr>
                <w:rFonts w:ascii="Times New Roman" w:hAnsi="Times New Roman"/>
                <w:color w:val="000000"/>
                <w:sz w:val="20"/>
              </w:rPr>
              <w:t>Chair of the Board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February 12, 2026</w:t>
            </w:r>
          </w:p>
        </w:tc>
      </w:tr>
      <w:tr>
        <w:trPr/>
        <w:tc>
          <w:tcPr>
            <w:tcW w:w="2431" w:type="dxa"/>
            <w:tcBorders/>
            <w:tcMar>
              <w:top w:w="0" w:type="dxa"/>
              <w:left w:w="0" w:type="dxa"/>
              <w:bottom w:w="0" w:type="dxa"/>
              <w:right w:w="0" w:type="dxa"/>
            </w:tcMar>
            <w:vAlign w:val="center"/>
          </w:tcPr>
          <w:p>
            <w:pPr>
              <w:pStyle w:val="TableContents"/>
              <w:bidi w:val="0"/>
              <w:spacing w:before="43" w:after="30"/>
              <w:jc w:val="center"/>
              <w:rPr>
                <w:rFonts w:ascii="Times New Roman" w:hAnsi="Times New Roman"/>
                <w:color w:val="000000"/>
                <w:sz w:val="20"/>
              </w:rPr>
            </w:pPr>
            <w:r>
              <w:rPr>
                <w:rFonts w:ascii="Times New Roman" w:hAnsi="Times New Roman"/>
                <w:color w:val="000000"/>
                <w:sz w:val="20"/>
              </w:rPr>
              <w:t>David E. Glazek</w:t>
            </w:r>
          </w:p>
        </w:tc>
        <w:tc>
          <w:tcPr>
            <w:tcW w:w="1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3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Nicholas Bell</w:t>
            </w:r>
          </w:p>
        </w:tc>
        <w:tc>
          <w:tcPr>
            <w:tcW w:w="1241" w:type="dxa"/>
            <w:tcBorders>
              <w:bottom w:val="single" w:sz="4" w:space="0" w:color="000000"/>
            </w:tcBorders>
            <w:tcMar>
              <w:top w:w="0" w:type="dxa"/>
              <w:left w:w="0" w:type="dxa"/>
              <w:right w:w="0" w:type="dxa"/>
            </w:tcMar>
            <w:vAlign w:val="center"/>
          </w:tcPr>
          <w:p>
            <w:pPr>
              <w:pStyle w:val="TableContents"/>
              <w:bidi w:val="0"/>
              <w:spacing w:before="0" w:after="283"/>
              <w:ind w:left="0" w:right="0" w:firstLine="1095"/>
              <w:jc w:val="left"/>
              <w:rPr>
                <w:sz w:val="4"/>
                <w:szCs w:val="4"/>
              </w:rPr>
            </w:pPr>
            <w:r>
              <w:rPr>
                <w:sz w:val="4"/>
                <w:szCs w:val="4"/>
              </w:rPr>
            </w:r>
          </w:p>
        </w:tc>
        <w:tc>
          <w:tcPr>
            <w:tcW w:w="2701" w:type="dxa"/>
            <w:tcBorders/>
            <w:tcMar>
              <w:top w:w="0" w:type="dxa"/>
              <w:left w:w="0" w:type="dxa"/>
              <w:bottom w:w="0" w:type="dxa"/>
              <w:right w:w="0" w:type="dxa"/>
            </w:tcMar>
            <w:vAlign w:val="center"/>
          </w:tcPr>
          <w:p>
            <w:pPr>
              <w:pStyle w:val="TableContents"/>
              <w:bidi w:val="0"/>
              <w:spacing w:before="53" w:after="30"/>
              <w:ind w:left="0" w:right="0" w:firstLine="1095"/>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February 12, 2026</w:t>
            </w:r>
          </w:p>
        </w:tc>
      </w:tr>
      <w:tr>
        <w:trPr/>
        <w:tc>
          <w:tcPr>
            <w:tcW w:w="2431" w:type="dxa"/>
            <w:tcBorders/>
            <w:tcMar>
              <w:top w:w="0" w:type="dxa"/>
              <w:left w:w="0" w:type="dxa"/>
              <w:bottom w:w="0" w:type="dxa"/>
              <w:right w:w="0" w:type="dxa"/>
            </w:tcMar>
            <w:vAlign w:val="center"/>
          </w:tcPr>
          <w:p>
            <w:pPr>
              <w:pStyle w:val="TableContents"/>
              <w:bidi w:val="0"/>
              <w:spacing w:before="43" w:after="30"/>
              <w:jc w:val="center"/>
              <w:rPr>
                <w:rFonts w:ascii="Times New Roman" w:hAnsi="Times New Roman"/>
                <w:color w:val="000000"/>
                <w:sz w:val="20"/>
              </w:rPr>
            </w:pPr>
            <w:r>
              <w:rPr>
                <w:rFonts w:ascii="Times New Roman" w:hAnsi="Times New Roman"/>
                <w:color w:val="000000"/>
                <w:sz w:val="20"/>
              </w:rPr>
              <w:t>Nicholas Bell</w:t>
            </w:r>
          </w:p>
        </w:tc>
        <w:tc>
          <w:tcPr>
            <w:tcW w:w="1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tcMar>
              <w:top w:w="0" w:type="dxa"/>
              <w:left w:w="0" w:type="dxa"/>
              <w:bottom w:w="0" w:type="dxa"/>
              <w:right w:w="0" w:type="dxa"/>
            </w:tcMar>
            <w:vAlign w:val="center"/>
          </w:tcPr>
          <w:p>
            <w:pPr>
              <w:pStyle w:val="TableContents"/>
              <w:bidi w:val="0"/>
              <w:spacing w:before="53" w:after="30"/>
              <w:jc w:val="left"/>
              <w:rPr/>
            </w:pPr>
            <w:r>
              <w:rPr/>
              <w:t> </w:t>
            </w:r>
          </w:p>
        </w:tc>
        <w:tc>
          <w:tcPr>
            <w:tcW w:w="124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Kelly Campbell Kotzman</w:t>
            </w:r>
          </w:p>
        </w:tc>
        <w:tc>
          <w:tcPr>
            <w:tcW w:w="1241" w:type="dxa"/>
            <w:tcBorders>
              <w:bottom w:val="single" w:sz="4" w:space="0" w:color="000000"/>
            </w:tcBorders>
            <w:tcMar>
              <w:top w:w="0" w:type="dxa"/>
              <w:left w:w="0" w:type="dxa"/>
              <w:right w:w="0" w:type="dxa"/>
            </w:tcMar>
            <w:vAlign w:val="center"/>
          </w:tcPr>
          <w:p>
            <w:pPr>
              <w:pStyle w:val="TableContents"/>
              <w:bidi w:val="0"/>
              <w:spacing w:before="0" w:after="283"/>
              <w:ind w:left="0" w:right="0" w:firstLine="1095"/>
              <w:jc w:val="left"/>
              <w:rPr/>
            </w:pPr>
            <w:r>
              <w:rPr/>
              <w:t> </w:t>
            </w:r>
          </w:p>
        </w:tc>
        <w:tc>
          <w:tcPr>
            <w:tcW w:w="2701" w:type="dxa"/>
            <w:tcBorders/>
            <w:tcMar>
              <w:top w:w="0" w:type="dxa"/>
              <w:left w:w="0" w:type="dxa"/>
              <w:bottom w:w="0" w:type="dxa"/>
              <w:right w:w="0" w:type="dxa"/>
            </w:tcMar>
            <w:vAlign w:val="center"/>
          </w:tcPr>
          <w:p>
            <w:pPr>
              <w:pStyle w:val="TableContents"/>
              <w:bidi w:val="0"/>
              <w:spacing w:before="53" w:after="30"/>
              <w:ind w:left="0" w:right="0" w:firstLine="1095"/>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February 12, 2026</w:t>
            </w:r>
          </w:p>
        </w:tc>
      </w:tr>
      <w:tr>
        <w:trPr/>
        <w:tc>
          <w:tcPr>
            <w:tcW w:w="2431" w:type="dxa"/>
            <w:tcBorders/>
            <w:tcMar>
              <w:top w:w="0" w:type="dxa"/>
              <w:left w:w="0" w:type="dxa"/>
              <w:bottom w:w="0" w:type="dxa"/>
              <w:right w:w="0" w:type="dxa"/>
            </w:tcMar>
            <w:vAlign w:val="center"/>
          </w:tcPr>
          <w:p>
            <w:pPr>
              <w:pStyle w:val="TableContents"/>
              <w:bidi w:val="0"/>
              <w:spacing w:before="43" w:after="30"/>
              <w:jc w:val="center"/>
              <w:rPr>
                <w:rFonts w:ascii="Times New Roman" w:hAnsi="Times New Roman"/>
                <w:color w:val="000000"/>
                <w:sz w:val="20"/>
              </w:rPr>
            </w:pPr>
            <w:r>
              <w:rPr>
                <w:rFonts w:ascii="Times New Roman" w:hAnsi="Times New Roman"/>
                <w:color w:val="000000"/>
                <w:sz w:val="20"/>
              </w:rPr>
              <w:t>Kelly Campbell Kotzman</w:t>
            </w:r>
          </w:p>
        </w:tc>
        <w:tc>
          <w:tcPr>
            <w:tcW w:w="124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tcMar>
              <w:top w:w="0" w:type="dxa"/>
              <w:left w:w="0" w:type="dxa"/>
              <w:bottom w:w="0" w:type="dxa"/>
              <w:right w:w="0" w:type="dxa"/>
            </w:tcMar>
            <w:vAlign w:val="center"/>
          </w:tcPr>
          <w:p>
            <w:pPr>
              <w:pStyle w:val="TableContents"/>
              <w:bidi w:val="0"/>
              <w:spacing w:before="53" w:after="30"/>
              <w:jc w:val="left"/>
              <w:rPr/>
            </w:pPr>
            <w:r>
              <w:rPr/>
              <w:t> </w:t>
            </w:r>
          </w:p>
        </w:tc>
        <w:tc>
          <w:tcPr>
            <w:tcW w:w="3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Juliana F. Hill</w:t>
            </w:r>
          </w:p>
        </w:tc>
        <w:tc>
          <w:tcPr>
            <w:tcW w:w="1241" w:type="dxa"/>
            <w:tcBorders>
              <w:bottom w:val="single" w:sz="4" w:space="0" w:color="000000"/>
            </w:tcBorders>
            <w:tcMar>
              <w:top w:w="0" w:type="dxa"/>
              <w:left w:w="0" w:type="dxa"/>
              <w:right w:w="0" w:type="dxa"/>
            </w:tcMar>
            <w:vAlign w:val="center"/>
          </w:tcPr>
          <w:p>
            <w:pPr>
              <w:pStyle w:val="TableContents"/>
              <w:bidi w:val="0"/>
              <w:spacing w:before="0" w:after="283"/>
              <w:ind w:left="0" w:right="0" w:firstLine="1095"/>
              <w:jc w:val="left"/>
              <w:rPr>
                <w:sz w:val="4"/>
                <w:szCs w:val="4"/>
              </w:rPr>
            </w:pPr>
            <w:r>
              <w:rPr>
                <w:sz w:val="4"/>
                <w:szCs w:val="4"/>
              </w:rPr>
            </w:r>
          </w:p>
        </w:tc>
        <w:tc>
          <w:tcPr>
            <w:tcW w:w="2701" w:type="dxa"/>
            <w:tcBorders/>
            <w:tcMar>
              <w:top w:w="0" w:type="dxa"/>
              <w:left w:w="0" w:type="dxa"/>
              <w:bottom w:w="0" w:type="dxa"/>
              <w:right w:w="0" w:type="dxa"/>
            </w:tcMar>
            <w:vAlign w:val="center"/>
          </w:tcPr>
          <w:p>
            <w:pPr>
              <w:pStyle w:val="TableContents"/>
              <w:bidi w:val="0"/>
              <w:spacing w:before="53" w:after="30"/>
              <w:ind w:left="0" w:right="0" w:firstLine="1095"/>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February 12, 2026</w:t>
            </w:r>
          </w:p>
        </w:tc>
      </w:tr>
      <w:tr>
        <w:trPr/>
        <w:tc>
          <w:tcPr>
            <w:tcW w:w="2431" w:type="dxa"/>
            <w:tcBorders/>
            <w:tcMar>
              <w:top w:w="0" w:type="dxa"/>
              <w:left w:w="0" w:type="dxa"/>
              <w:bottom w:w="0" w:type="dxa"/>
              <w:right w:w="0" w:type="dxa"/>
            </w:tcMar>
            <w:vAlign w:val="center"/>
          </w:tcPr>
          <w:p>
            <w:pPr>
              <w:pStyle w:val="TableContents"/>
              <w:bidi w:val="0"/>
              <w:spacing w:before="43" w:after="30"/>
              <w:jc w:val="center"/>
              <w:rPr>
                <w:rFonts w:ascii="Times New Roman" w:hAnsi="Times New Roman"/>
                <w:color w:val="000000"/>
                <w:sz w:val="20"/>
              </w:rPr>
            </w:pPr>
            <w:r>
              <w:rPr>
                <w:rFonts w:ascii="Times New Roman" w:hAnsi="Times New Roman"/>
                <w:color w:val="000000"/>
                <w:sz w:val="20"/>
              </w:rPr>
              <w:t>Juliana F. Hill</w:t>
            </w:r>
          </w:p>
        </w:tc>
        <w:tc>
          <w:tcPr>
            <w:tcW w:w="1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tcMar>
              <w:top w:w="0" w:type="dxa"/>
              <w:left w:w="0" w:type="dxa"/>
              <w:bottom w:w="0" w:type="dxa"/>
              <w:right w:w="0" w:type="dxa"/>
            </w:tcMar>
            <w:vAlign w:val="center"/>
          </w:tcPr>
          <w:p>
            <w:pPr>
              <w:pStyle w:val="TableContents"/>
              <w:bidi w:val="0"/>
              <w:spacing w:before="53" w:after="30"/>
              <w:jc w:val="left"/>
              <w:rPr/>
            </w:pPr>
            <w:r>
              <w:rPr/>
              <w:t> </w:t>
            </w:r>
          </w:p>
        </w:tc>
        <w:tc>
          <w:tcPr>
            <w:tcW w:w="39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Joseph Marchese</w:t>
            </w:r>
          </w:p>
        </w:tc>
        <w:tc>
          <w:tcPr>
            <w:tcW w:w="1241" w:type="dxa"/>
            <w:tcBorders>
              <w:bottom w:val="single" w:sz="4" w:space="0" w:color="000000"/>
            </w:tcBorders>
            <w:tcMar>
              <w:top w:w="0" w:type="dxa"/>
              <w:left w:w="0" w:type="dxa"/>
              <w:right w:w="0" w:type="dxa"/>
            </w:tcMar>
            <w:vAlign w:val="center"/>
          </w:tcPr>
          <w:p>
            <w:pPr>
              <w:pStyle w:val="TableContents"/>
              <w:bidi w:val="0"/>
              <w:spacing w:before="53" w:after="30"/>
              <w:ind w:left="0" w:right="0" w:firstLine="1095"/>
              <w:jc w:val="left"/>
              <w:rPr/>
            </w:pPr>
            <w:r>
              <w:rPr/>
              <w:t> </w:t>
            </w:r>
          </w:p>
        </w:tc>
        <w:tc>
          <w:tcPr>
            <w:tcW w:w="2701" w:type="dxa"/>
            <w:tcBorders/>
            <w:tcMar>
              <w:top w:w="0" w:type="dxa"/>
              <w:left w:w="0" w:type="dxa"/>
              <w:bottom w:w="0" w:type="dxa"/>
              <w:right w:w="0" w:type="dxa"/>
            </w:tcMar>
            <w:vAlign w:val="center"/>
          </w:tcPr>
          <w:p>
            <w:pPr>
              <w:pStyle w:val="TableContents"/>
              <w:bidi w:val="0"/>
              <w:spacing w:before="53" w:after="30"/>
              <w:ind w:left="0" w:right="0" w:firstLine="1095"/>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February 12, 2026</w:t>
            </w:r>
          </w:p>
        </w:tc>
      </w:tr>
      <w:tr>
        <w:trPr/>
        <w:tc>
          <w:tcPr>
            <w:tcW w:w="2431" w:type="dxa"/>
            <w:tcBorders/>
            <w:tcMar>
              <w:top w:w="0" w:type="dxa"/>
              <w:left w:w="0" w:type="dxa"/>
              <w:bottom w:w="0" w:type="dxa"/>
              <w:right w:w="0" w:type="dxa"/>
            </w:tcMar>
            <w:vAlign w:val="center"/>
          </w:tcPr>
          <w:p>
            <w:pPr>
              <w:pStyle w:val="TableContents"/>
              <w:bidi w:val="0"/>
              <w:spacing w:before="43" w:after="30"/>
              <w:jc w:val="center"/>
              <w:rPr>
                <w:rFonts w:ascii="Times New Roman" w:hAnsi="Times New Roman"/>
                <w:color w:val="000000"/>
                <w:sz w:val="20"/>
              </w:rPr>
            </w:pPr>
            <w:r>
              <w:rPr>
                <w:rFonts w:ascii="Times New Roman" w:hAnsi="Times New Roman"/>
                <w:color w:val="000000"/>
                <w:sz w:val="20"/>
              </w:rPr>
              <w:t>Joseph Marchese</w:t>
            </w:r>
          </w:p>
        </w:tc>
        <w:tc>
          <w:tcPr>
            <w:tcW w:w="1241" w:type="dxa"/>
            <w:tcBorders/>
            <w:tcMar>
              <w:top w:w="0" w:type="dxa"/>
              <w:left w:w="0" w:type="dxa"/>
              <w:bottom w:w="0" w:type="dxa"/>
              <w:right w:w="0" w:type="dxa"/>
            </w:tcMar>
            <w:vAlign w:val="center"/>
          </w:tcPr>
          <w:p>
            <w:pPr>
              <w:pStyle w:val="TableContents"/>
              <w:bidi w:val="0"/>
              <w:spacing w:before="43" w:after="30"/>
              <w:jc w:val="left"/>
              <w:rPr/>
            </w:pPr>
            <w:r>
              <w:rPr/>
              <w:t> </w:t>
            </w:r>
          </w:p>
        </w:tc>
        <w:tc>
          <w:tcPr>
            <w:tcW w:w="2701" w:type="dxa"/>
            <w:tcBorders/>
            <w:tcMar>
              <w:top w:w="0" w:type="dxa"/>
              <w:left w:w="0" w:type="dxa"/>
              <w:bottom w:w="0" w:type="dxa"/>
              <w:right w:w="0" w:type="dxa"/>
            </w:tcMar>
            <w:vAlign w:val="center"/>
          </w:tcPr>
          <w:p>
            <w:pPr>
              <w:pStyle w:val="TableContents"/>
              <w:bidi w:val="0"/>
              <w:spacing w:before="43" w:after="3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Simon Mullaly</w:t>
            </w:r>
          </w:p>
        </w:tc>
        <w:tc>
          <w:tcPr>
            <w:tcW w:w="1241" w:type="dxa"/>
            <w:tcBorders>
              <w:bottom w:val="single" w:sz="4" w:space="0" w:color="000000"/>
            </w:tcBorders>
            <w:tcMar>
              <w:top w:w="0" w:type="dxa"/>
              <w:left w:w="0" w:type="dxa"/>
              <w:right w:w="0" w:type="dxa"/>
            </w:tcMar>
            <w:vAlign w:val="center"/>
          </w:tcPr>
          <w:p>
            <w:pPr>
              <w:pStyle w:val="TableContents"/>
              <w:bidi w:val="0"/>
              <w:spacing w:before="0" w:after="283"/>
              <w:ind w:left="0" w:right="0" w:firstLine="1095"/>
              <w:jc w:val="left"/>
              <w:rPr/>
            </w:pPr>
            <w:r>
              <w:rPr/>
              <w:t> </w:t>
            </w:r>
          </w:p>
        </w:tc>
        <w:tc>
          <w:tcPr>
            <w:tcW w:w="2701" w:type="dxa"/>
            <w:tcBorders/>
            <w:tcMar>
              <w:top w:w="0" w:type="dxa"/>
              <w:left w:w="0" w:type="dxa"/>
              <w:bottom w:w="0" w:type="dxa"/>
              <w:right w:w="0" w:type="dxa"/>
            </w:tcMar>
            <w:vAlign w:val="center"/>
          </w:tcPr>
          <w:p>
            <w:pPr>
              <w:pStyle w:val="TableContents"/>
              <w:bidi w:val="0"/>
              <w:spacing w:before="53" w:after="30"/>
              <w:ind w:left="0" w:right="0" w:firstLine="1095"/>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February 12, 2026</w:t>
            </w:r>
          </w:p>
        </w:tc>
      </w:tr>
      <w:tr>
        <w:trPr/>
        <w:tc>
          <w:tcPr>
            <w:tcW w:w="2431" w:type="dxa"/>
            <w:tcBorders/>
            <w:tcMar>
              <w:top w:w="0" w:type="dxa"/>
              <w:left w:w="0" w:type="dxa"/>
              <w:bottom w:w="0" w:type="dxa"/>
              <w:right w:w="0" w:type="dxa"/>
            </w:tcMar>
            <w:vAlign w:val="center"/>
          </w:tcPr>
          <w:p>
            <w:pPr>
              <w:pStyle w:val="TableContents"/>
              <w:bidi w:val="0"/>
              <w:spacing w:before="43" w:after="30"/>
              <w:jc w:val="center"/>
              <w:rPr>
                <w:rFonts w:ascii="Times New Roman" w:hAnsi="Times New Roman"/>
                <w:color w:val="000000"/>
                <w:sz w:val="20"/>
              </w:rPr>
            </w:pPr>
            <w:r>
              <w:rPr>
                <w:rFonts w:ascii="Times New Roman" w:hAnsi="Times New Roman"/>
                <w:color w:val="000000"/>
                <w:sz w:val="20"/>
              </w:rPr>
              <w:t>Simon Mullaly</w:t>
            </w:r>
          </w:p>
        </w:tc>
        <w:tc>
          <w:tcPr>
            <w:tcW w:w="124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bidi w:val="0"/>
              <w:spacing w:before="43" w:after="30"/>
              <w:jc w:val="center"/>
              <w:rPr/>
            </w:pPr>
            <w:r>
              <w:rPr/>
              <w:t> </w:t>
            </w:r>
          </w:p>
        </w:tc>
        <w:tc>
          <w:tcPr>
            <w:tcW w:w="124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80" w:after="283"/>
        <w:jc w:val="right"/>
        <w:rPr>
          <w:rFonts w:ascii="Times New Roman" w:hAnsi="Times New Roman"/>
          <w:b/>
          <w:color w:val="231F20"/>
          <w:sz w:val="20"/>
        </w:rPr>
      </w:pPr>
      <w:bookmarkStart w:id="59" w:name="section14"/>
      <w:bookmarkStart w:id="60" w:name="ncmi-ex31_1.htm"/>
      <w:bookmarkStart w:id="61" w:name="ksncmiex31_1"/>
      <w:bookmarkEnd w:id="59"/>
      <w:bookmarkEnd w:id="60"/>
      <w:bookmarkEnd w:id="61"/>
      <w:r>
        <w:rPr>
          <w:rFonts w:ascii="Times New Roman" w:hAnsi="Times New Roman"/>
          <w:b/>
          <w:color w:val="231F20"/>
          <w:sz w:val="20"/>
        </w:rPr>
        <w:t>Exhibit 31.1</w:t>
      </w:r>
      <w:r>
        <w:br w:type="page"/>
      </w:r>
    </w:p>
    <w:p>
      <w:pPr>
        <w:pStyle w:val="TextBody"/>
        <w:bidi w:val="0"/>
        <w:spacing w:before="226" w:after="283"/>
        <w:jc w:val="center"/>
        <w:rPr>
          <w:rFonts w:ascii="Times New Roman" w:hAnsi="Times New Roman"/>
          <w:b/>
          <w:color w:val="231F20"/>
          <w:sz w:val="20"/>
        </w:rPr>
      </w:pPr>
      <w:r>
        <w:rPr>
          <w:rFonts w:ascii="Times New Roman" w:hAnsi="Times New Roman"/>
          <w:b/>
          <w:color w:val="231F20"/>
          <w:sz w:val="20"/>
        </w:rPr>
        <w:t>CERTIFICATIONS</w:t>
      </w:r>
    </w:p>
    <w:p>
      <w:pPr>
        <w:pStyle w:val="TextBody"/>
        <w:bidi w:val="0"/>
        <w:spacing w:before="226" w:after="283"/>
        <w:jc w:val="left"/>
        <w:rPr>
          <w:rFonts w:ascii="Times New Roman" w:hAnsi="Times New Roman"/>
          <w:color w:val="231F20"/>
          <w:sz w:val="20"/>
        </w:rPr>
      </w:pPr>
      <w:r>
        <w:rPr>
          <w:rFonts w:ascii="Times New Roman" w:hAnsi="Times New Roman"/>
          <w:color w:val="231F20"/>
          <w:sz w:val="20"/>
        </w:rPr>
        <w:t>I, Thomas F. Lesinski, certify that:</w:t>
      </w:r>
    </w:p>
    <w:p>
      <w:pPr>
        <w:pStyle w:val="TextBody"/>
        <w:bidi w:val="0"/>
        <w:spacing w:before="226" w:after="283"/>
        <w:jc w:val="left"/>
        <w:rPr>
          <w:rFonts w:ascii="Times New Roman" w:hAnsi="Times New Roman"/>
          <w:color w:val="231F20"/>
          <w:sz w:val="20"/>
        </w:rPr>
      </w:pPr>
      <w:r>
        <w:rPr>
          <w:rFonts w:ascii="Times New Roman" w:hAnsi="Times New Roman"/>
          <w:color w:val="231F20"/>
          <w:sz w:val="20"/>
        </w:rPr>
        <w:t>1.</w:t>
      </w:r>
    </w:p>
    <w:p>
      <w:pPr>
        <w:pStyle w:val="TextBody"/>
        <w:bidi w:val="0"/>
        <w:spacing w:before="226" w:after="283"/>
        <w:jc w:val="left"/>
        <w:rPr>
          <w:rFonts w:ascii="Times New Roman" w:hAnsi="Times New Roman"/>
          <w:color w:val="231F20"/>
          <w:sz w:val="20"/>
        </w:rPr>
      </w:pPr>
      <w:r>
        <w:rPr>
          <w:rFonts w:ascii="Times New Roman" w:hAnsi="Times New Roman"/>
          <w:color w:val="231F20"/>
          <w:sz w:val="20"/>
        </w:rPr>
        <w:t>I have reviewed this Annual Report on Form 10-K of National CineMedia, Inc.;</w:t>
      </w:r>
    </w:p>
    <w:p>
      <w:pPr>
        <w:pStyle w:val="TextBody"/>
        <w:bidi w:val="0"/>
        <w:spacing w:before="226" w:after="283"/>
        <w:jc w:val="left"/>
        <w:rPr>
          <w:rFonts w:ascii="Times New Roman" w:hAnsi="Times New Roman"/>
          <w:color w:val="231F20"/>
          <w:sz w:val="20"/>
        </w:rPr>
      </w:pPr>
      <w:r>
        <w:rPr>
          <w:rFonts w:ascii="Times New Roman" w:hAnsi="Times New Roman"/>
          <w:color w:val="231F20"/>
          <w:sz w:val="20"/>
        </w:rPr>
        <w:t>2.</w:t>
      </w:r>
    </w:p>
    <w:p>
      <w:pPr>
        <w:pStyle w:val="TextBody"/>
        <w:bidi w:val="0"/>
        <w:spacing w:before="226" w:after="283"/>
        <w:jc w:val="left"/>
        <w:rPr>
          <w:rFonts w:ascii="Times New Roman" w:hAnsi="Times New Roman"/>
          <w:color w:val="231F20"/>
          <w:sz w:val="20"/>
        </w:rPr>
      </w:pPr>
      <w:r>
        <w:rPr>
          <w:rFonts w:ascii="Times New Roman" w:hAnsi="Times New Roman"/>
          <w:color w:val="231F2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3.</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4.</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79" w:after="283"/>
        <w:jc w:val="left"/>
        <w:rPr>
          <w:rFonts w:ascii="Times New Roman" w:hAnsi="Times New Roman"/>
          <w:color w:val="231F20"/>
          <w:sz w:val="20"/>
        </w:rPr>
      </w:pPr>
      <w:r>
        <w:rPr>
          <w:rFonts w:ascii="Times New Roman" w:hAnsi="Times New Roman"/>
          <w:color w:val="231F20"/>
          <w:sz w:val="20"/>
        </w:rPr>
        <w:t>(a)</w:t>
      </w:r>
    </w:p>
    <w:p>
      <w:pPr>
        <w:pStyle w:val="TextBody"/>
        <w:bidi w:val="0"/>
        <w:spacing w:before="179" w:after="283"/>
        <w:jc w:val="left"/>
        <w:rPr>
          <w:rFonts w:ascii="Times New Roman" w:hAnsi="Times New Roman"/>
          <w:color w:val="231F20"/>
          <w:sz w:val="20"/>
        </w:rPr>
      </w:pPr>
      <w:r>
        <w:rPr>
          <w:rFonts w:ascii="Times New Roman" w:hAnsi="Times New Roman"/>
          <w:color w:val="231F2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(b)</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(c)</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(d)</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5.</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(a)</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(b)</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Any fraud, whether or not material, that involves management or other employees who have a significant role in the registrant’s internal control over financial reporting.</w:t>
      </w:r>
    </w:p>
    <w:p>
      <w:pPr>
        <w:pStyle w:val="TextBody"/>
        <w:bidi w:val="0"/>
        <w:spacing w:before="3"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Date: February 26, 2026 </w:t>
      </w:r>
      <w:r>
        <w:rPr>
          <w:rFonts w:ascii="Times New Roman" w:hAnsi="Times New Roman"/>
          <w:color w:val="000000"/>
          <w:sz w:val="20"/>
          <w:u w:val="single"/>
        </w:rPr>
        <w:t xml:space="preserve">/s/ Thomas F. Lesinski </w:t>
      </w:r>
    </w:p>
    <w:p>
      <w:pPr>
        <w:pStyle w:val="TextBody"/>
        <w:bidi w:val="0"/>
        <w:spacing w:before="33" w:after="283"/>
        <w:jc w:val="left"/>
        <w:rPr>
          <w:rFonts w:ascii="Times New Roman" w:hAnsi="Times New Roman"/>
          <w:color w:val="231F20"/>
          <w:sz w:val="20"/>
        </w:rPr>
      </w:pPr>
      <w:r>
        <w:rPr>
          <w:rFonts w:ascii="Times New Roman" w:hAnsi="Times New Roman"/>
          <w:color w:val="231F20"/>
          <w:sz w:val="20"/>
        </w:rPr>
        <w:t>Thomas F. Lesinski</w:t>
      </w:r>
    </w:p>
    <w:p>
      <w:pPr>
        <w:pStyle w:val="TextBody"/>
        <w:bidi w:val="0"/>
        <w:spacing w:before="106" w:after="283"/>
        <w:jc w:val="left"/>
        <w:rPr>
          <w:rFonts w:ascii="Times New Roman" w:hAnsi="Times New Roman"/>
          <w:color w:val="231F20"/>
          <w:sz w:val="20"/>
        </w:rPr>
      </w:pPr>
      <w:r>
        <w:rPr>
          <w:rFonts w:ascii="Times New Roman" w:hAnsi="Times New Roman"/>
          <w:color w:val="231F20"/>
          <w:sz w:val="20"/>
        </w:rPr>
        <w:t>Chief Executive Officer and Director</w:t>
      </w:r>
    </w:p>
    <w:p>
      <w:pPr>
        <w:pStyle w:val="TextBody"/>
        <w:bidi w:val="0"/>
        <w:spacing w:before="106" w:after="283"/>
        <w:jc w:val="left"/>
        <w:rPr>
          <w:rFonts w:ascii="Times New Roman" w:hAnsi="Times New Roman"/>
          <w:i/>
          <w:color w:val="231F20"/>
          <w:sz w:val="20"/>
        </w:rPr>
      </w:pPr>
      <w:r>
        <w:rPr>
          <w:rFonts w:ascii="Times New Roman" w:hAnsi="Times New Roman"/>
          <w:i/>
          <w:color w:val="231F20"/>
          <w:sz w:val="20"/>
        </w:rPr>
        <w:t>(Principal Executive Officer)</w:t>
      </w:r>
    </w:p>
    <w:p>
      <w:pPr>
        <w:pStyle w:val="HorizontalLine"/>
        <w:pBdr>
          <w:bottom w:val="double" w:sz="2" w:space="0" w:color="808080"/>
        </w:pBdr>
        <w:bidi w:val="0"/>
        <w:spacing w:before="0" w:after="283"/>
        <w:jc w:val="left"/>
        <w:rPr/>
      </w:pPr>
      <w:r>
        <w:rPr/>
      </w:r>
    </w:p>
    <w:p>
      <w:pPr>
        <w:pStyle w:val="TextBody"/>
        <w:bidi w:val="0"/>
        <w:spacing w:before="80" w:after="283"/>
        <w:jc w:val="right"/>
        <w:rPr>
          <w:rFonts w:ascii="Times New Roman" w:hAnsi="Times New Roman"/>
          <w:b/>
          <w:color w:val="231F20"/>
          <w:sz w:val="20"/>
        </w:rPr>
      </w:pPr>
      <w:bookmarkStart w:id="62" w:name="section15"/>
      <w:bookmarkStart w:id="63" w:name="ncmi-ex31_2.htm"/>
      <w:bookmarkStart w:id="64" w:name="ksncmiex31_2"/>
      <w:bookmarkEnd w:id="62"/>
      <w:bookmarkEnd w:id="63"/>
      <w:bookmarkEnd w:id="64"/>
      <w:r>
        <w:rPr>
          <w:rFonts w:ascii="Times New Roman" w:hAnsi="Times New Roman"/>
          <w:b/>
          <w:color w:val="231F20"/>
          <w:sz w:val="20"/>
        </w:rPr>
        <w:t>Exhibit 31.2</w:t>
      </w:r>
      <w:r>
        <w:br w:type="page"/>
      </w:r>
    </w:p>
    <w:p>
      <w:pPr>
        <w:pStyle w:val="TextBody"/>
        <w:bidi w:val="0"/>
        <w:spacing w:before="226" w:after="283"/>
        <w:jc w:val="center"/>
        <w:rPr>
          <w:rFonts w:ascii="Times New Roman" w:hAnsi="Times New Roman"/>
          <w:b/>
          <w:color w:val="231F20"/>
          <w:sz w:val="20"/>
        </w:rPr>
      </w:pPr>
      <w:r>
        <w:rPr>
          <w:rFonts w:ascii="Times New Roman" w:hAnsi="Times New Roman"/>
          <w:b/>
          <w:color w:val="231F20"/>
          <w:sz w:val="20"/>
        </w:rPr>
        <w:t>CERTIFICATIONS</w:t>
      </w:r>
    </w:p>
    <w:p>
      <w:pPr>
        <w:pStyle w:val="TextBody"/>
        <w:bidi w:val="0"/>
        <w:spacing w:before="226" w:after="283"/>
        <w:jc w:val="left"/>
        <w:rPr>
          <w:rFonts w:ascii="Times New Roman" w:hAnsi="Times New Roman"/>
          <w:color w:val="231F20"/>
          <w:sz w:val="20"/>
        </w:rPr>
      </w:pPr>
      <w:r>
        <w:rPr>
          <w:rFonts w:ascii="Times New Roman" w:hAnsi="Times New Roman"/>
          <w:color w:val="231F20"/>
          <w:sz w:val="20"/>
        </w:rPr>
        <w:t>I, Ronnie Y. Ng, certify that:</w:t>
      </w:r>
    </w:p>
    <w:p>
      <w:pPr>
        <w:pStyle w:val="TextBody"/>
        <w:bidi w:val="0"/>
        <w:spacing w:before="226" w:after="283"/>
        <w:jc w:val="left"/>
        <w:rPr>
          <w:rFonts w:ascii="Times New Roman" w:hAnsi="Times New Roman"/>
          <w:color w:val="231F20"/>
          <w:sz w:val="20"/>
        </w:rPr>
      </w:pPr>
      <w:r>
        <w:rPr>
          <w:rFonts w:ascii="Times New Roman" w:hAnsi="Times New Roman"/>
          <w:color w:val="231F20"/>
          <w:sz w:val="20"/>
        </w:rPr>
        <w:t>1.</w:t>
      </w:r>
    </w:p>
    <w:p>
      <w:pPr>
        <w:pStyle w:val="TextBody"/>
        <w:bidi w:val="0"/>
        <w:spacing w:before="226" w:after="283"/>
        <w:jc w:val="left"/>
        <w:rPr>
          <w:rFonts w:ascii="Times New Roman" w:hAnsi="Times New Roman"/>
          <w:color w:val="231F20"/>
          <w:sz w:val="20"/>
        </w:rPr>
      </w:pPr>
      <w:r>
        <w:rPr>
          <w:rFonts w:ascii="Times New Roman" w:hAnsi="Times New Roman"/>
          <w:color w:val="231F20"/>
          <w:sz w:val="20"/>
        </w:rPr>
        <w:t>I have reviewed this Annual Report on Form 10-K of National CineMedia, Inc.;</w:t>
      </w:r>
    </w:p>
    <w:p>
      <w:pPr>
        <w:pStyle w:val="TextBody"/>
        <w:bidi w:val="0"/>
        <w:spacing w:before="226" w:after="283"/>
        <w:jc w:val="left"/>
        <w:rPr>
          <w:rFonts w:ascii="Times New Roman" w:hAnsi="Times New Roman"/>
          <w:color w:val="231F20"/>
          <w:sz w:val="20"/>
        </w:rPr>
      </w:pPr>
      <w:r>
        <w:rPr>
          <w:rFonts w:ascii="Times New Roman" w:hAnsi="Times New Roman"/>
          <w:color w:val="231F20"/>
          <w:sz w:val="20"/>
        </w:rPr>
        <w:t>2.</w:t>
      </w:r>
    </w:p>
    <w:p>
      <w:pPr>
        <w:pStyle w:val="TextBody"/>
        <w:bidi w:val="0"/>
        <w:spacing w:before="226" w:after="283"/>
        <w:jc w:val="left"/>
        <w:rPr>
          <w:rFonts w:ascii="Times New Roman" w:hAnsi="Times New Roman"/>
          <w:color w:val="231F20"/>
          <w:sz w:val="20"/>
        </w:rPr>
      </w:pPr>
      <w:r>
        <w:rPr>
          <w:rFonts w:ascii="Times New Roman" w:hAnsi="Times New Roman"/>
          <w:color w:val="231F2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3.</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4.</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79" w:after="283"/>
        <w:jc w:val="left"/>
        <w:rPr>
          <w:rFonts w:ascii="Times New Roman" w:hAnsi="Times New Roman"/>
          <w:color w:val="231F20"/>
          <w:sz w:val="20"/>
        </w:rPr>
      </w:pPr>
      <w:r>
        <w:rPr>
          <w:rFonts w:ascii="Times New Roman" w:hAnsi="Times New Roman"/>
          <w:color w:val="231F20"/>
          <w:sz w:val="20"/>
        </w:rPr>
        <w:t>(a)</w:t>
      </w:r>
    </w:p>
    <w:p>
      <w:pPr>
        <w:pStyle w:val="TextBody"/>
        <w:bidi w:val="0"/>
        <w:spacing w:before="179" w:after="283"/>
        <w:jc w:val="left"/>
        <w:rPr>
          <w:rFonts w:ascii="Times New Roman" w:hAnsi="Times New Roman"/>
          <w:color w:val="231F20"/>
          <w:sz w:val="20"/>
        </w:rPr>
      </w:pPr>
      <w:r>
        <w:rPr>
          <w:rFonts w:ascii="Times New Roman" w:hAnsi="Times New Roman"/>
          <w:color w:val="231F2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(b)</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(c)</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(d)</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5.</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(a)</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(b)</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Any fraud, whether or not material, that involves management or other employees who have a significant role in the registrant’s internal control over financial reporting.</w:t>
      </w:r>
    </w:p>
    <w:p>
      <w:pPr>
        <w:pStyle w:val="TextBody"/>
        <w:bidi w:val="0"/>
        <w:spacing w:before="3"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Date: February 26, 2026</w:t>
      </w:r>
      <w:r>
        <w:rPr>
          <w:rFonts w:ascii="Times New Roman" w:hAnsi="Times New Roman"/>
          <w:color w:val="FF0000"/>
          <w:sz w:val="20"/>
        </w:rPr>
        <w:t xml:space="preserve"> </w:t>
      </w:r>
      <w:r>
        <w:rPr>
          <w:rFonts w:ascii="Times New Roman" w:hAnsi="Times New Roman"/>
          <w:color w:val="000000"/>
          <w:sz w:val="20"/>
          <w:u w:val="single"/>
        </w:rPr>
        <w:t xml:space="preserve">/s/ Ronnie Y. Ng </w:t>
      </w:r>
    </w:p>
    <w:p>
      <w:pPr>
        <w:pStyle w:val="TextBody"/>
        <w:bidi w:val="0"/>
        <w:spacing w:before="33" w:after="283"/>
        <w:jc w:val="left"/>
        <w:rPr>
          <w:rFonts w:ascii="Times New Roman" w:hAnsi="Times New Roman"/>
          <w:color w:val="231F20"/>
          <w:sz w:val="20"/>
        </w:rPr>
      </w:pPr>
      <w:r>
        <w:rPr>
          <w:rFonts w:ascii="Times New Roman" w:hAnsi="Times New Roman"/>
          <w:color w:val="231F20"/>
          <w:sz w:val="20"/>
        </w:rPr>
        <w:t>Ronnie Y. Ng</w:t>
      </w:r>
    </w:p>
    <w:p>
      <w:pPr>
        <w:pStyle w:val="TextBody"/>
        <w:bidi w:val="0"/>
        <w:spacing w:before="106" w:after="283"/>
        <w:jc w:val="left"/>
        <w:rPr>
          <w:rFonts w:ascii="Times New Roman" w:hAnsi="Times New Roman"/>
          <w:color w:val="231F20"/>
          <w:sz w:val="20"/>
        </w:rPr>
      </w:pPr>
      <w:r>
        <w:rPr>
          <w:rFonts w:ascii="Times New Roman" w:hAnsi="Times New Roman"/>
          <w:color w:val="231F20"/>
          <w:sz w:val="20"/>
        </w:rPr>
        <w:t>Chief Financial Officer</w:t>
      </w:r>
    </w:p>
    <w:p>
      <w:pPr>
        <w:pStyle w:val="TextBody"/>
        <w:bidi w:val="0"/>
        <w:spacing w:before="106" w:after="283"/>
        <w:jc w:val="left"/>
        <w:rPr>
          <w:rFonts w:ascii="Times New Roman" w:hAnsi="Times New Roman"/>
          <w:i/>
          <w:color w:val="231F20"/>
          <w:sz w:val="20"/>
        </w:rPr>
      </w:pPr>
      <w:r>
        <w:rPr>
          <w:rFonts w:ascii="Times New Roman" w:hAnsi="Times New Roman"/>
          <w:i/>
          <w:color w:val="231F20"/>
          <w:sz w:val="20"/>
        </w:rPr>
        <w:t>(Principal Financial and Accounting Officer)</w:t>
      </w:r>
    </w:p>
    <w:p>
      <w:pPr>
        <w:pStyle w:val="HorizontalLine"/>
        <w:pBdr>
          <w:bottom w:val="double" w:sz="2" w:space="0" w:color="808080"/>
        </w:pBdr>
        <w:bidi w:val="0"/>
        <w:spacing w:before="0" w:after="283"/>
        <w:jc w:val="left"/>
        <w:rPr/>
      </w:pPr>
      <w:r>
        <w:rPr/>
      </w:r>
    </w:p>
    <w:p>
      <w:pPr>
        <w:pStyle w:val="TextBody"/>
        <w:bidi w:val="0"/>
        <w:spacing w:before="80" w:after="283"/>
        <w:jc w:val="right"/>
        <w:rPr>
          <w:rFonts w:ascii="Times New Roman" w:hAnsi="Times New Roman"/>
          <w:b/>
          <w:color w:val="231F20"/>
          <w:sz w:val="20"/>
        </w:rPr>
      </w:pPr>
      <w:bookmarkStart w:id="65" w:name="section16"/>
      <w:bookmarkStart w:id="66" w:name="ncmi-ex32_1.htm"/>
      <w:bookmarkStart w:id="67" w:name="ksncmiex32_1"/>
      <w:bookmarkEnd w:id="65"/>
      <w:bookmarkEnd w:id="66"/>
      <w:bookmarkEnd w:id="67"/>
      <w:r>
        <w:rPr>
          <w:rFonts w:ascii="Times New Roman" w:hAnsi="Times New Roman"/>
          <w:b/>
          <w:color w:val="231F20"/>
          <w:sz w:val="20"/>
        </w:rPr>
        <w:t>Exhibit 32.1</w:t>
      </w:r>
      <w:r>
        <w:br w:type="page"/>
      </w:r>
    </w:p>
    <w:p>
      <w:pPr>
        <w:pStyle w:val="TextBody"/>
        <w:bidi w:val="0"/>
        <w:spacing w:before="226" w:after="283"/>
        <w:jc w:val="center"/>
        <w:rPr>
          <w:rFonts w:ascii="Times New Roman" w:hAnsi="Times New Roman"/>
          <w:b/>
          <w:color w:val="231F20"/>
          <w:sz w:val="20"/>
        </w:rPr>
      </w:pPr>
      <w:r>
        <w:rPr>
          <w:rFonts w:ascii="Times New Roman" w:hAnsi="Times New Roman"/>
          <w:b/>
          <w:color w:val="231F20"/>
          <w:sz w:val="20"/>
        </w:rPr>
        <w:t>CERTIFICATION PURSUANT TO 18 U.S.C. SECTION 1350,</w:t>
      </w:r>
    </w:p>
    <w:p>
      <w:pPr>
        <w:pStyle w:val="TextBody"/>
        <w:bidi w:val="0"/>
        <w:jc w:val="center"/>
        <w:rPr>
          <w:rFonts w:ascii="Times New Roman" w:hAnsi="Times New Roman"/>
          <w:b/>
          <w:color w:val="231F20"/>
          <w:sz w:val="20"/>
        </w:rPr>
      </w:pPr>
      <w:r>
        <w:rPr>
          <w:rFonts w:ascii="Times New Roman" w:hAnsi="Times New Roman"/>
          <w:b/>
          <w:color w:val="231F20"/>
          <w:sz w:val="20"/>
        </w:rPr>
        <w:t>AS ADOPTED PURSUANT TO</w:t>
      </w:r>
    </w:p>
    <w:p>
      <w:pPr>
        <w:pStyle w:val="TextBody"/>
        <w:bidi w:val="0"/>
        <w:spacing w:before="46" w:after="283"/>
        <w:jc w:val="center"/>
        <w:rPr>
          <w:rFonts w:ascii="Times New Roman" w:hAnsi="Times New Roman"/>
          <w:b/>
          <w:color w:val="231F20"/>
          <w:sz w:val="20"/>
        </w:rPr>
      </w:pPr>
      <w:r>
        <w:rPr>
          <w:rFonts w:ascii="Times New Roman" w:hAnsi="Times New Roman"/>
          <w:b/>
          <w:color w:val="231F20"/>
          <w:sz w:val="20"/>
        </w:rPr>
        <w:t>SECTION 906 OF THE SARBANES-OXLEY ACT OF 2002</w:t>
      </w:r>
    </w:p>
    <w:p>
      <w:pPr>
        <w:pStyle w:val="TextBody"/>
        <w:bidi w:val="0"/>
        <w:spacing w:before="226" w:after="283"/>
        <w:jc w:val="left"/>
        <w:rPr>
          <w:rFonts w:ascii="Times New Roman" w:hAnsi="Times New Roman"/>
          <w:color w:val="231F20"/>
          <w:sz w:val="20"/>
        </w:rPr>
      </w:pPr>
      <w:r>
        <w:rPr>
          <w:rFonts w:ascii="Times New Roman" w:hAnsi="Times New Roman"/>
          <w:color w:val="231F20"/>
          <w:sz w:val="20"/>
        </w:rPr>
        <w:t>In connection with the Annual Report on Form 10-K for the period ending January 1, 2026 (the “Report”) of National CineMedia, Inc. (the “Registrant”) as filed with the Securities and Exchange Commission on the date hereof, I, Thomas F. Lesinski, the Chief Executive Officer and Director of the Registrant, certify, pursuant to 18 U.S.C. § 1350, as adopted pursuant to § 906 of the Sarbanes-Oxley Act of 2002, that to the best of my knowledge:</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1.</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The Report fully complies with the requirements of section 13(a) or 15(d) of the Securities Exchange Act of 1934, as amended; and</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2.</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The information contained in the Report fairly presents, in all material respects, the financial condition and results of operations of the Registrant.</w:t>
      </w:r>
    </w:p>
    <w:p>
      <w:pPr>
        <w:pStyle w:val="TextBody"/>
        <w:bidi w:val="0"/>
        <w:spacing w:before="2" w:after="283"/>
        <w:jc w:val="left"/>
        <w:rPr/>
      </w:pPr>
      <w:r>
        <w:rPr/>
        <w:t> </w:t>
      </w:r>
    </w:p>
    <w:p>
      <w:pPr>
        <w:pStyle w:val="TextBody"/>
        <w:bidi w:val="0"/>
        <w:jc w:val="left"/>
        <w:rPr>
          <w:rFonts w:ascii="Times New Roman" w:hAnsi="Times New Roman"/>
          <w:sz w:val="20"/>
        </w:rPr>
      </w:pPr>
      <w:r>
        <w:rPr>
          <w:rFonts w:ascii="Times New Roman" w:hAnsi="Times New Roman"/>
          <w:color w:val="231F20"/>
          <w:sz w:val="20"/>
        </w:rPr>
        <w:t>Dat</w:t>
      </w:r>
      <w:r>
        <w:rPr>
          <w:rFonts w:ascii="Times New Roman" w:hAnsi="Times New Roman"/>
          <w:color w:val="000000"/>
          <w:sz w:val="20"/>
        </w:rPr>
        <w:t xml:space="preserve">e: February 26, 2026 </w:t>
      </w:r>
      <w:r>
        <w:rPr>
          <w:rFonts w:ascii="Times New Roman" w:hAnsi="Times New Roman"/>
          <w:color w:val="000000"/>
          <w:sz w:val="20"/>
          <w:u w:val="single"/>
        </w:rPr>
        <w:t xml:space="preserve">/s/ Thomas F. Lesinski </w:t>
      </w:r>
    </w:p>
    <w:p>
      <w:pPr>
        <w:pStyle w:val="TextBody"/>
        <w:bidi w:val="0"/>
        <w:spacing w:before="33" w:after="283"/>
        <w:jc w:val="left"/>
        <w:rPr>
          <w:rFonts w:ascii="Times New Roman" w:hAnsi="Times New Roman"/>
          <w:color w:val="231F20"/>
          <w:sz w:val="20"/>
        </w:rPr>
      </w:pPr>
      <w:r>
        <w:rPr>
          <w:rFonts w:ascii="Times New Roman" w:hAnsi="Times New Roman"/>
          <w:color w:val="231F20"/>
          <w:sz w:val="20"/>
        </w:rPr>
        <w:t>Thomas F. Lesinski</w:t>
      </w:r>
    </w:p>
    <w:p>
      <w:pPr>
        <w:pStyle w:val="TextBody"/>
        <w:bidi w:val="0"/>
        <w:spacing w:before="106" w:after="283"/>
        <w:jc w:val="left"/>
        <w:rPr>
          <w:rFonts w:ascii="Times New Roman" w:hAnsi="Times New Roman"/>
          <w:color w:val="231F20"/>
          <w:sz w:val="20"/>
        </w:rPr>
      </w:pPr>
      <w:r>
        <w:rPr>
          <w:rFonts w:ascii="Times New Roman" w:hAnsi="Times New Roman"/>
          <w:color w:val="231F20"/>
          <w:sz w:val="20"/>
        </w:rPr>
        <w:t>Chief Executive Officer and Director</w:t>
      </w:r>
    </w:p>
    <w:p>
      <w:pPr>
        <w:pStyle w:val="TextBody"/>
        <w:bidi w:val="0"/>
        <w:spacing w:before="106" w:after="283"/>
        <w:jc w:val="left"/>
        <w:rPr>
          <w:rFonts w:ascii="Times New Roman" w:hAnsi="Times New Roman"/>
          <w:i/>
          <w:color w:val="231F20"/>
          <w:sz w:val="20"/>
        </w:rPr>
      </w:pPr>
      <w:r>
        <w:rPr>
          <w:rFonts w:ascii="Times New Roman" w:hAnsi="Times New Roman"/>
          <w:i/>
          <w:color w:val="231F20"/>
          <w:sz w:val="20"/>
        </w:rPr>
        <w:t>(Principal Executive Officer)</w:t>
      </w:r>
    </w:p>
    <w:p>
      <w:pPr>
        <w:pStyle w:val="TextBody"/>
        <w:bidi w:val="0"/>
        <w:spacing w:before="3" w:after="283"/>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pStyle w:val="HorizontalLine"/>
        <w:pBdr>
          <w:bottom w:val="double" w:sz="2" w:space="0" w:color="808080"/>
        </w:pBdr>
        <w:bidi w:val="0"/>
        <w:spacing w:before="0" w:after="283"/>
        <w:jc w:val="left"/>
        <w:rPr/>
      </w:pPr>
      <w:r>
        <w:rPr/>
      </w:r>
    </w:p>
    <w:p>
      <w:pPr>
        <w:pStyle w:val="TextBody"/>
        <w:bidi w:val="0"/>
        <w:spacing w:before="80" w:after="283"/>
        <w:jc w:val="right"/>
        <w:rPr>
          <w:rFonts w:ascii="Times New Roman" w:hAnsi="Times New Roman"/>
          <w:b/>
          <w:color w:val="231F20"/>
          <w:sz w:val="20"/>
        </w:rPr>
      </w:pPr>
      <w:bookmarkStart w:id="68" w:name="section17"/>
      <w:bookmarkStart w:id="69" w:name="ncmi-ex32_2.htm"/>
      <w:bookmarkStart w:id="70" w:name="ksncmiex32_2"/>
      <w:bookmarkEnd w:id="68"/>
      <w:bookmarkEnd w:id="69"/>
      <w:bookmarkEnd w:id="70"/>
      <w:r>
        <w:rPr>
          <w:rFonts w:ascii="Times New Roman" w:hAnsi="Times New Roman"/>
          <w:b/>
          <w:color w:val="231F20"/>
          <w:sz w:val="20"/>
        </w:rPr>
        <w:t>Exhibit 32.2</w:t>
      </w:r>
      <w:r>
        <w:br w:type="page"/>
      </w:r>
    </w:p>
    <w:p>
      <w:pPr>
        <w:pStyle w:val="TextBody"/>
        <w:bidi w:val="0"/>
        <w:spacing w:before="226" w:after="283"/>
        <w:jc w:val="center"/>
        <w:rPr>
          <w:rFonts w:ascii="Times New Roman" w:hAnsi="Times New Roman"/>
          <w:b/>
          <w:color w:val="231F20"/>
          <w:sz w:val="20"/>
        </w:rPr>
      </w:pPr>
      <w:r>
        <w:rPr>
          <w:rFonts w:ascii="Times New Roman" w:hAnsi="Times New Roman"/>
          <w:b/>
          <w:color w:val="231F20"/>
          <w:sz w:val="20"/>
        </w:rPr>
        <w:t>CERTIFICATION PURSUANT TO 18 U.S.C. SECTION 1350,</w:t>
      </w:r>
    </w:p>
    <w:p>
      <w:pPr>
        <w:pStyle w:val="TextBody"/>
        <w:bidi w:val="0"/>
        <w:jc w:val="center"/>
        <w:rPr>
          <w:rFonts w:ascii="Times New Roman" w:hAnsi="Times New Roman"/>
          <w:b/>
          <w:color w:val="231F20"/>
          <w:sz w:val="20"/>
        </w:rPr>
      </w:pPr>
      <w:r>
        <w:rPr>
          <w:rFonts w:ascii="Times New Roman" w:hAnsi="Times New Roman"/>
          <w:b/>
          <w:color w:val="231F20"/>
          <w:sz w:val="20"/>
        </w:rPr>
        <w:t>AS ADOPTED PURSUANT TO</w:t>
      </w:r>
    </w:p>
    <w:p>
      <w:pPr>
        <w:pStyle w:val="TextBody"/>
        <w:bidi w:val="0"/>
        <w:spacing w:before="46" w:after="283"/>
        <w:jc w:val="center"/>
        <w:rPr>
          <w:rFonts w:ascii="Times New Roman" w:hAnsi="Times New Roman"/>
          <w:b/>
          <w:color w:val="231F20"/>
          <w:sz w:val="20"/>
        </w:rPr>
      </w:pPr>
      <w:r>
        <w:rPr>
          <w:rFonts w:ascii="Times New Roman" w:hAnsi="Times New Roman"/>
          <w:b/>
          <w:color w:val="231F20"/>
          <w:sz w:val="20"/>
        </w:rPr>
        <w:t>SECTION 906 OF THE SARBANES-OXLEY ACT OF 2002</w:t>
      </w:r>
    </w:p>
    <w:p>
      <w:pPr>
        <w:pStyle w:val="TextBody"/>
        <w:bidi w:val="0"/>
        <w:spacing w:before="226" w:after="283"/>
        <w:jc w:val="left"/>
        <w:rPr>
          <w:rFonts w:ascii="Times New Roman" w:hAnsi="Times New Roman"/>
          <w:color w:val="231F20"/>
          <w:sz w:val="20"/>
        </w:rPr>
      </w:pPr>
      <w:r>
        <w:rPr>
          <w:rFonts w:ascii="Times New Roman" w:hAnsi="Times New Roman"/>
          <w:color w:val="231F20"/>
          <w:sz w:val="20"/>
        </w:rPr>
        <w:t>In connection with the Annual Report on Form 10-K for the period ending January 1, 2026 (the “Report”) of National CineMedia, Inc. (the “Registrant”) as filed with the Securities and Exchange Commission on the date hereof, I, Ronnie Y. Ng, the Chief Financial Officer of the Registrant, certify, pursuant to 18 U.S.C. § 1350, as adopted pursuant to § 906 of the Sarbanes-Oxley Act of 2002, that to the best of my knowledge:</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1.</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The Report fully complies with the requirements of section 13(a) or 15(d) of the Securities Exchange Act of 1934, as amended; and</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2.</w:t>
      </w:r>
    </w:p>
    <w:p>
      <w:pPr>
        <w:pStyle w:val="TextBody"/>
        <w:bidi w:val="0"/>
        <w:spacing w:before="180" w:after="283"/>
        <w:jc w:val="left"/>
        <w:rPr>
          <w:rFonts w:ascii="Times New Roman" w:hAnsi="Times New Roman"/>
          <w:color w:val="231F20"/>
          <w:sz w:val="20"/>
        </w:rPr>
      </w:pPr>
      <w:r>
        <w:rPr>
          <w:rFonts w:ascii="Times New Roman" w:hAnsi="Times New Roman"/>
          <w:color w:val="231F20"/>
          <w:sz w:val="20"/>
        </w:rPr>
        <w:t>The information contained in the Report fairly presents, in all material respects, the financial condition and results of operations of the Registrant.</w:t>
      </w:r>
    </w:p>
    <w:p>
      <w:pPr>
        <w:pStyle w:val="TextBody"/>
        <w:bidi w:val="0"/>
        <w:spacing w:before="2"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Date: February 26, 2026 </w:t>
      </w:r>
      <w:r>
        <w:rPr>
          <w:rFonts w:ascii="Times New Roman" w:hAnsi="Times New Roman"/>
          <w:color w:val="000000"/>
          <w:sz w:val="20"/>
          <w:u w:val="single"/>
        </w:rPr>
        <w:t xml:space="preserve">/s/ Ronnie Y. Ng </w:t>
      </w:r>
    </w:p>
    <w:p>
      <w:pPr>
        <w:pStyle w:val="TextBody"/>
        <w:bidi w:val="0"/>
        <w:spacing w:before="33" w:after="283"/>
        <w:jc w:val="left"/>
        <w:rPr>
          <w:rFonts w:ascii="Times New Roman" w:hAnsi="Times New Roman"/>
          <w:color w:val="231F20"/>
          <w:sz w:val="20"/>
        </w:rPr>
      </w:pPr>
      <w:r>
        <w:rPr>
          <w:rFonts w:ascii="Times New Roman" w:hAnsi="Times New Roman"/>
          <w:color w:val="231F20"/>
          <w:sz w:val="20"/>
        </w:rPr>
        <w:t>Ronnie Y. Ng</w:t>
      </w:r>
    </w:p>
    <w:p>
      <w:pPr>
        <w:pStyle w:val="TextBody"/>
        <w:bidi w:val="0"/>
        <w:spacing w:before="106" w:after="283"/>
        <w:jc w:val="left"/>
        <w:rPr>
          <w:rFonts w:ascii="Times New Roman" w:hAnsi="Times New Roman"/>
          <w:color w:val="231F20"/>
          <w:sz w:val="20"/>
        </w:rPr>
      </w:pPr>
      <w:r>
        <w:rPr>
          <w:rFonts w:ascii="Times New Roman" w:hAnsi="Times New Roman"/>
          <w:color w:val="231F20"/>
          <w:sz w:val="20"/>
        </w:rPr>
        <w:t>Chief Financial Officer</w:t>
      </w:r>
    </w:p>
    <w:p>
      <w:pPr>
        <w:pStyle w:val="TextBody"/>
        <w:bidi w:val="0"/>
        <w:spacing w:before="106" w:after="283"/>
        <w:jc w:val="left"/>
        <w:rPr>
          <w:rFonts w:ascii="Times New Roman" w:hAnsi="Times New Roman"/>
          <w:i/>
          <w:color w:val="231F20"/>
          <w:sz w:val="20"/>
        </w:rPr>
      </w:pPr>
      <w:r>
        <w:rPr>
          <w:rFonts w:ascii="Times New Roman" w:hAnsi="Times New Roman"/>
          <w:i/>
          <w:color w:val="231F20"/>
          <w:sz w:val="20"/>
        </w:rPr>
        <w:t>(Principal Financial and Accounting Officer)</w:t>
      </w:r>
    </w:p>
    <w:p>
      <w:pPr>
        <w:pStyle w:val="TextBody"/>
        <w:bidi w:val="0"/>
        <w:spacing w:before="3" w:after="283"/>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Cambr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377630/000095017025064502/ncmi-ex3_1.htm" TargetMode="External"/><Relationship Id="rId6" Type="http://schemas.openxmlformats.org/officeDocument/2006/relationships/hyperlink" Target="https://www.sec.gov/Archives/edgar/data/1377630/000137763023000189/secondamendedandrestatedce.htm" TargetMode="External"/><Relationship Id="rId7" Type="http://schemas.openxmlformats.org/officeDocument/2006/relationships/hyperlink" Target="https://www.sec.gov/Archives/edgar/data/1377630/000137763023000189/secondamendedandrestatedce.htm" TargetMode="External"/><Relationship Id="rId8" Type="http://schemas.openxmlformats.org/officeDocument/2006/relationships/hyperlink" Target="https://www.sec.gov/Archives/edgar/data/1377630/000137763023000189/secondamendedandrestatedce.htm" TargetMode="External"/><Relationship Id="rId9" Type="http://schemas.openxmlformats.org/officeDocument/2006/relationships/hyperlink" Target="https://www.sec.gov/Archives/edgar/data/1377630/000137763023000124/ncmicertificateofdesignati.htm" TargetMode="External"/><Relationship Id="rId10" Type="http://schemas.openxmlformats.org/officeDocument/2006/relationships/hyperlink" Target="https://www.sec.gov/Archives/edgar/data/1377630/000095017025034706/ncmi-ex10_1.htm" TargetMode="External"/><Relationship Id="rId11" Type="http://schemas.openxmlformats.org/officeDocument/2006/relationships/hyperlink" Target="https://www.sec.gov/Archives/edgar/data/1377630/000095017025034706/ncmi-ex10_1.htm" TargetMode="External"/><Relationship Id="rId12" Type="http://schemas.openxmlformats.org/officeDocument/2006/relationships/hyperlink" Target="https://www.sec.gov/Archives/edgar/data/1377630/000119312514062920/d630896dex1024.htm" TargetMode="External"/><Relationship Id="rId13" Type="http://schemas.openxmlformats.org/officeDocument/2006/relationships/hyperlink" Target="https://www.sec.gov/Archives/edgar/data/1377630/000156459017004375/ncmi-ex101_32.htm" TargetMode="External"/><Relationship Id="rId14" Type="http://schemas.openxmlformats.org/officeDocument/2006/relationships/hyperlink" Target="https://www.sec.gov/Archives/edgar/data/1377630/000119312525258597/ncmi-ex10_1.htm" TargetMode="External"/><Relationship Id="rId15" Type="http://schemas.openxmlformats.org/officeDocument/2006/relationships/hyperlink" Target="https://www.sec.gov/Archives/edgar/data/1377630/000095017025064502/ncmi-ex10_4.htm" TargetMode="External"/><Relationship Id="rId16" Type="http://schemas.openxmlformats.org/officeDocument/2006/relationships/hyperlink" Target="https://www.sec.gov/Archives/edgar/data/1377630/000095017025064502/ncmi-ex10_4.htm" TargetMode="External"/><Relationship Id="rId17" Type="http://schemas.openxmlformats.org/officeDocument/2006/relationships/hyperlink" Target="https://www.sec.gov/Archives/edgar/data/1377630/000119312514062920/d630896dex1034.htm" TargetMode="External"/><Relationship Id="rId18" Type="http://schemas.openxmlformats.org/officeDocument/2006/relationships/hyperlink" Target="https://www.sec.gov/Archives/edgar/data/1377630/000137763019000108/ex101cinemarkesaamendment.htm" TargetMode="External"/><Relationship Id="rId19" Type="http://schemas.openxmlformats.org/officeDocument/2006/relationships/hyperlink" Target="https://www.sec.gov/Archives/edgar/data/1377630/000137763022000119/cinemark-ncmxamendtoesatoe.htm" TargetMode="External"/><Relationship Id="rId20" Type="http://schemas.openxmlformats.org/officeDocument/2006/relationships/hyperlink" Target="https://www.sec.gov/Archives/edgar/data/1377630/000119312507034062/dex106.htm" TargetMode="External"/><Relationship Id="rId21" Type="http://schemas.openxmlformats.org/officeDocument/2006/relationships/hyperlink" Target="https://www.sec.gov/Archives/edgar/data/1377630/000119312507034062/dex106.htm" TargetMode="External"/><Relationship Id="rId22" Type="http://schemas.openxmlformats.org/officeDocument/2006/relationships/hyperlink" Target="https://www.sec.gov/Archives/edgar/data/1377630/000119312507034062/dex106.htm" TargetMode="External"/><Relationship Id="rId23" Type="http://schemas.openxmlformats.org/officeDocument/2006/relationships/hyperlink" Target="https://www.sec.gov/Archives/edgar/data/1377630/000119312507034062/dex107.htm" TargetMode="External"/><Relationship Id="rId24" Type="http://schemas.openxmlformats.org/officeDocument/2006/relationships/hyperlink" Target="https://www.sec.gov/Archives/edgar/data/1377630/000119312508101806/dex101.htm" TargetMode="External"/><Relationship Id="rId25" Type="http://schemas.openxmlformats.org/officeDocument/2006/relationships/hyperlink" Target="https://www.sec.gov/Archives/edgar/data/1377630/000119312507034062/dex109.htm" TargetMode="External"/><Relationship Id="rId26" Type="http://schemas.openxmlformats.org/officeDocument/2006/relationships/hyperlink" Target="https://www.sec.gov/Archives/edgar/data/1377630/000119312507034062/dex1010.htm" TargetMode="External"/><Relationship Id="rId27" Type="http://schemas.openxmlformats.org/officeDocument/2006/relationships/hyperlink" Target="https://www.sec.gov/Archives/edgar/data/1377630/000119312507034062/dex1011.htm" TargetMode="External"/><Relationship Id="rId28" Type="http://schemas.openxmlformats.org/officeDocument/2006/relationships/hyperlink" Target="https://www.sec.gov/Archives/edgar/data/1377630/000119312507034062/dex1012.htm" TargetMode="External"/><Relationship Id="rId29" Type="http://schemas.openxmlformats.org/officeDocument/2006/relationships/hyperlink" Target="https://www.sec.gov/Archives/edgar/data/1377630/000137763023000124/directordesignationagreeme.htm" TargetMode="External"/><Relationship Id="rId30" Type="http://schemas.openxmlformats.org/officeDocument/2006/relationships/hyperlink" Target="https://www.sec.gov/Archives/edgar/data/1377630/000137763023000124/loansecurityandguaranteeag.htm" TargetMode="External"/><Relationship Id="rId31" Type="http://schemas.openxmlformats.org/officeDocument/2006/relationships/hyperlink" Target="https://www.sec.gov/Archives/edgar/data/1377630/000095017025064502/ncmi-ex10_2.htm" TargetMode="External"/><Relationship Id="rId32" Type="http://schemas.openxmlformats.org/officeDocument/2006/relationships/hyperlink" Target="https://www.sec.gov/Archives/edgar/data/1377630/000137763023000109/jointventureterminationand.htm" TargetMode="External"/><Relationship Id="rId33" Type="http://schemas.openxmlformats.org/officeDocument/2006/relationships/hyperlink" Target="https://www.sec.gov/Archives/edgar/data/1377630/000137763023000109/networkaffiliatetransactio.htm" TargetMode="External"/><Relationship Id="rId34" Type="http://schemas.openxmlformats.org/officeDocument/2006/relationships/hyperlink" Target="https://www.sec.gov/Archives/edgar/data/1377630/000119312525330847/ncmi-ex10_1.htm" TargetMode="External"/><Relationship Id="rId35" Type="http://schemas.openxmlformats.org/officeDocument/2006/relationships/hyperlink" Target="https://www.sec.gov/Archives/edgar/data/1377630/000095017024121466/ncmi-ex10_1.htm" TargetMode="External"/><Relationship Id="rId36" Type="http://schemas.openxmlformats.org/officeDocument/2006/relationships/hyperlink" Target="https://www.sec.gov/Archives/edgar/data/1377630/000119312525330847/ncmi-ex10_2.htm" TargetMode="External"/><Relationship Id="rId37" Type="http://schemas.openxmlformats.org/officeDocument/2006/relationships/hyperlink" Target="https://www.sec.gov/Archives/edgar/data/1377630/000119312507028592/dex101.htm" TargetMode="External"/><Relationship Id="rId38" Type="http://schemas.openxmlformats.org/officeDocument/2006/relationships/hyperlink" Target="https://www.sec.gov/Archives/edgar/data/1377630/000137763018000022/ncmiexhibit103.htm" TargetMode="External"/><Relationship Id="rId39" Type="http://schemas.openxmlformats.org/officeDocument/2006/relationships/hyperlink" Target="https://www.sec.gov/Archives/edgar/data/1377630/000119312516567279/d165713dex41.htm" TargetMode="External"/><Relationship Id="rId40" Type="http://schemas.openxmlformats.org/officeDocument/2006/relationships/hyperlink" Target="https://www.sec.gov/Archives/edgar/data/1377630/000137763020000089/exhibit102equityplan.htm" TargetMode="External"/><Relationship Id="rId41" Type="http://schemas.openxmlformats.org/officeDocument/2006/relationships/hyperlink" Target="https://www.sec.gov/Archives/edgar/data/1377630/000137763022000080/ncm-amendmentno1to2020omni.htm" TargetMode="External"/><Relationship Id="rId42" Type="http://schemas.openxmlformats.org/officeDocument/2006/relationships/hyperlink" Target="https://www.sec.gov/Archives/edgar/data/1377630/000137763023000188/ncm-amendmentno2to2020omni.htm" TargetMode="External"/><Relationship Id="rId43" Type="http://schemas.openxmlformats.org/officeDocument/2006/relationships/hyperlink" Target="https://www.sec.gov/Archives/edgar/data/1377630/000137763019000132/a2019stockoptionagreement.htm" TargetMode="External"/><Relationship Id="rId44" Type="http://schemas.openxmlformats.org/officeDocument/2006/relationships/hyperlink" Target="https://www.sec.gov/Archives/edgar/data/1377630/000137763020000141/formof2020stockoptiona.htm" TargetMode="External"/><Relationship Id="rId45" Type="http://schemas.openxmlformats.org/officeDocument/2006/relationships/hyperlink" Target="https://www.sec.gov/Archives/edgar/data/1377630/000137763020000141/directortime-basedrsua.htm" TargetMode="External"/><Relationship Id="rId46" Type="http://schemas.openxmlformats.org/officeDocument/2006/relationships/hyperlink" Target="https://www.sec.gov/Archives/edgar/data/1377630/000137763024000008/formoftimebasedrsuagreemen.htm" TargetMode="External"/><Relationship Id="rId47" Type="http://schemas.openxmlformats.org/officeDocument/2006/relationships/hyperlink" Target="https://www.sec.gov/Archives/edgar/data/1377630/000137763024000008/formofperformancebasedrsua.htm" TargetMode="External"/><Relationship Id="rId48" Type="http://schemas.openxmlformats.org/officeDocument/2006/relationships/hyperlink" Target="https://www.sec.gov/Archives/edgar/data/1377630/000137763024000042/ncmincentivecompensationre.htm" TargetMode="External"/><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121181</Words>
  <Characters>649593</Characters>
  <CharactersWithSpaces>770751</CharactersWithSpaces>
  <Paragraphs>10103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