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THE SECURITIES EXCHANGE ACT OF 1934</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July 1, 2010</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160"/>
            <w:col w:w="260" w:space="80"/>
            <w:col w:w="160" w:space="180"/>
            <w:col w:w="220" w:space="80"/>
            <w:col w:w="1840"/>
          </w:cols>
          <w:pgMar w:left="240" w:top="230" w:right="239" w:bottom="1440" w:gutter="0" w:footer="0" w:header="0"/>
          <w:type w:val="continuous"/>
        </w:sectPr>
      </w:pPr>
    </w:p>
    <w:p>
      <w:pPr>
        <w:ind w:right="600" w:firstLine="456"/>
        <w:spacing w:after="0" w:line="268" w:lineRule="auto"/>
        <w:rPr>
          <w:sz w:val="20"/>
          <w:szCs w:val="20"/>
          <w:color w:val="auto"/>
        </w:rPr>
      </w:pPr>
      <w:r>
        <w:rPr>
          <w:rFonts w:ascii="Arial" w:cs="Arial" w:eastAsia="Arial" w:hAnsi="Arial"/>
          <w:sz w:val="18"/>
          <w:szCs w:val="18"/>
          <w:color w:val="auto"/>
        </w:rPr>
        <w:t>As of August 2, 2010, 43,164,527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140" w:type="dxa"/>
            <w:vAlign w:val="bottom"/>
            <w:gridSpan w:val="3"/>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EE"/>
            </w:tcBorders>
            <w:gridSpan w:val="3"/>
            <w:vMerge w:val="continue"/>
          </w:tcPr>
          <w:p>
            <w:pPr>
              <w:spacing w:after="0"/>
              <w:rPr>
                <w:sz w:val="14"/>
                <w:szCs w:val="14"/>
                <w:color w:val="auto"/>
              </w:rPr>
            </w:pPr>
          </w:p>
        </w:tc>
        <w:tc>
          <w:tcPr>
            <w:tcW w:w="51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660" w:type="dxa"/>
            <w:vAlign w:val="bottom"/>
            <w:gridSpan w:val="1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Condensed Consolidated Statements of Cash Flows</w:t>
              </w:r>
            </w:hyperlink>
          </w:p>
        </w:tc>
        <w:tc>
          <w:tcPr>
            <w:tcW w:w="57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 of Equity/(Deficit)</w:t>
              </w:r>
            </w:hyperlink>
          </w:p>
        </w:tc>
        <w:tc>
          <w:tcPr>
            <w:tcW w:w="55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Unaudited Condensed Consolidated Financial Statements</w:t>
              </w:r>
            </w:hyperlink>
          </w:p>
        </w:tc>
        <w:tc>
          <w:tcPr>
            <w:tcW w:w="54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9"/>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51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8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9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(Removed and Reserved)</w:t>
              </w:r>
            </w:hyperlink>
          </w:p>
        </w:tc>
        <w:tc>
          <w:tcPr>
            <w:tcW w:w="83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8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100" w:type="dxa"/>
            <w:vAlign w:val="bottom"/>
          </w:tcPr>
          <w:p>
            <w:pPr>
              <w:jc w:val="center"/>
              <w:ind w:left="1992"/>
              <w:spacing w:after="0"/>
              <w:rPr>
                <w:sz w:val="20"/>
                <w:szCs w:val="20"/>
                <w:color w:val="auto"/>
              </w:rPr>
            </w:pPr>
            <w:r>
              <w:rPr>
                <w:rFonts w:ascii="Arial" w:cs="Arial" w:eastAsia="Arial" w:hAnsi="Arial"/>
                <w:sz w:val="18"/>
                <w:szCs w:val="18"/>
                <w:b w:val="1"/>
                <w:bCs w:val="1"/>
                <w:color w:val="auto"/>
                <w:w w:val="98"/>
              </w:rPr>
              <w:t>PART I</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0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00" w:type="dxa"/>
            <w:vAlign w:val="bottom"/>
          </w:tcPr>
          <w:p>
            <w:pPr>
              <w:jc w:val="center"/>
              <w:ind w:left="199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00" w:type="dxa"/>
            <w:vAlign w:val="bottom"/>
          </w:tcPr>
          <w:p>
            <w:pPr>
              <w:jc w:val="center"/>
              <w:ind w:left="19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00" w:type="dxa"/>
            <w:vAlign w:val="bottom"/>
          </w:tcPr>
          <w:p>
            <w:pPr>
              <w:jc w:val="center"/>
              <w:ind w:left="1992"/>
              <w:spacing w:after="0"/>
              <w:rPr>
                <w:sz w:val="20"/>
                <w:szCs w:val="20"/>
                <w:color w:val="auto"/>
              </w:rPr>
            </w:pPr>
            <w:r>
              <w:rPr>
                <w:rFonts w:ascii="Arial" w:cs="Arial" w:eastAsia="Arial" w:hAnsi="Arial"/>
                <w:sz w:val="18"/>
                <w:szCs w:val="18"/>
                <w:b w:val="1"/>
                <w:bCs w:val="1"/>
                <w:color w:val="auto"/>
                <w:w w:val="87"/>
              </w:rPr>
              <w:t>(In millions, except share and per share data)</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100" w:type="dxa"/>
            <w:vAlign w:val="bottom"/>
          </w:tcPr>
          <w:p>
            <w:pPr>
              <w:jc w:val="center"/>
              <w:ind w:left="1992"/>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July 1, 2010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$3.5 and $3.6 million, respectively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151.0</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$41.3 and $39.3 million, respectively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$6.5 and $4.4 million,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282.1</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 of valuation allowance of $1.8 and $1.9 million,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258.0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issuance costs,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Other investment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w:t>
            </w:r>
          </w:p>
        </w:tc>
        <w:tc>
          <w:tcPr>
            <w:tcW w:w="8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Amounts due to founding members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 and 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60.8</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1,046.4</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1,107.2</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EQUITY/(DEFICIT):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NCM, Inc. Stockholders’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w w:val="97"/>
              </w:rPr>
              <w:t>Preferred stock, $0.01 par value; 10,000,000 shares authorized, none issued and outstanding, respectively</w:t>
            </w:r>
          </w:p>
        </w:tc>
        <w:tc>
          <w:tcPr>
            <w:tcW w:w="120" w:type="dxa"/>
            <w:vAlign w:val="bottom"/>
          </w:tcPr>
          <w:p>
            <w:pPr>
              <w:spacing w:after="0"/>
              <w:rPr>
                <w:sz w:val="18"/>
                <w:szCs w:val="18"/>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Common stock, $0.01 par value; 120,000,000 shares authorized, 42,302,788 and 42,121,747 issued and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respectively</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Additional paid in capital (deficit)</w:t>
            </w:r>
          </w:p>
        </w:tc>
        <w:tc>
          <w:tcPr>
            <w:tcW w:w="1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(453.7)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Retained earnings (distributions in excess of earnings)</w:t>
            </w:r>
          </w:p>
        </w:tc>
        <w:tc>
          <w:tcPr>
            <w:tcW w:w="1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NCM, Inc. stockholders’ equity/(deficit)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(491.4)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equity/(deficit)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(381.7)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22"/>
        </w:trPr>
        <w:tc>
          <w:tcPr>
            <w:tcW w:w="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8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Six Months</w:t>
            </w:r>
          </w:p>
        </w:tc>
        <w:tc>
          <w:tcPr>
            <w:tcW w:w="3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July 1,</w:t>
            </w:r>
          </w:p>
        </w:tc>
        <w:tc>
          <w:tcPr>
            <w:tcW w:w="32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 July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July 2,</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Ended July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7"/>
              </w:rPr>
              <w:t>Advertising (including revenue from founding members of $9.6,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640"/>
              <w:spacing w:after="0"/>
              <w:rPr>
                <w:sz w:val="20"/>
                <w:szCs w:val="20"/>
                <w:color w:val="auto"/>
              </w:rPr>
            </w:pPr>
            <w:r>
              <w:rPr>
                <w:rFonts w:ascii="Arial" w:cs="Arial" w:eastAsia="Arial" w:hAnsi="Arial"/>
                <w:sz w:val="18"/>
                <w:szCs w:val="18"/>
                <w:color w:val="auto"/>
              </w:rPr>
              <w:t>$18.8, $9.9 and $18.3 million, respectively)</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157.9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operating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Fathom Events operating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Theatre access fees—founding members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Administrative and other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Change in derivative fair 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interest on the discounted payable to founding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 under tax sharing agreement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Equity loss from investment,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42,289,915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42,250,029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42,118,740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42,117,146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42,924,361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42,772,469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42,387,189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42,262,574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6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6"/>
              </w:rPr>
              <w:t>Six Months</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July 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July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8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(used in)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payable to founding members under tax sharing agreement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Net unrealized hedging transactions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from investment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280"/>
              <w:spacing w:after="0"/>
              <w:rPr>
                <w:sz w:val="20"/>
                <w:szCs w:val="20"/>
                <w:color w:val="auto"/>
              </w:rPr>
            </w:pPr>
            <w:r>
              <w:rPr>
                <w:rFonts w:ascii="Arial" w:cs="Arial" w:eastAsia="Arial" w:hAnsi="Arial"/>
                <w:sz w:val="18"/>
                <w:szCs w:val="18"/>
                <w:color w:val="auto"/>
              </w:rPr>
              <w:t>Receivables—net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280"/>
              <w:spacing w:after="0"/>
              <w:rPr>
                <w:sz w:val="20"/>
                <w:szCs w:val="20"/>
                <w:color w:val="auto"/>
              </w:rPr>
            </w:pPr>
            <w:r>
              <w:rPr>
                <w:rFonts w:ascii="Arial" w:cs="Arial" w:eastAsia="Arial" w:hAnsi="Arial"/>
                <w:sz w:val="18"/>
                <w:szCs w:val="18"/>
                <w:color w:val="auto"/>
              </w:rPr>
              <w:t>Amounts due to founding members</w:t>
            </w:r>
          </w:p>
        </w:tc>
        <w:tc>
          <w:tcPr>
            <w:tcW w:w="18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and other</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8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Increase in investment in affiliate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dividends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borrowings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to founding members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stock for restricted stock tax withholding</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Six Months</w:t>
            </w:r>
          </w:p>
        </w:tc>
        <w:tc>
          <w:tcPr>
            <w:tcW w:w="6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92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Ended July 1,</w:t>
            </w:r>
          </w:p>
        </w:tc>
        <w:tc>
          <w:tcPr>
            <w:tcW w:w="6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Ended July 2,</w:t>
            </w:r>
          </w:p>
        </w:tc>
      </w:tr>
      <w:tr>
        <w:trPr>
          <w:trHeight w:val="161"/>
        </w:trPr>
        <w:tc>
          <w:tcPr>
            <w:tcW w:w="9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Integration payment from members collected after period end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Sale of assets to founding members collected after period end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322"/>
        </w:trPr>
        <w:tc>
          <w:tcPr>
            <w:tcW w:w="92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8"/>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EQUITY/(DEFICIT)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NCM, Inc.</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w w:val="90"/>
              </w:rPr>
              <w:t>Additional</w:t>
            </w: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(Distrib. in</w:t>
            </w:r>
          </w:p>
        </w:tc>
        <w:tc>
          <w:tcPr>
            <w:tcW w:w="22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Capital</w:t>
            </w: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Excess of</w:t>
            </w:r>
          </w:p>
        </w:tc>
        <w:tc>
          <w:tcPr>
            <w:tcW w:w="2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(Deficit)</w:t>
            </w: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(490.2)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6"/>
              </w:rPr>
              <w:t>Subsidiary equity issued for purchase of intangible asset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Impacts of subsidiary ownership changes</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5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Unrealized (loss) on cash flow hedge, net of tax</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Cash dividends declared $0.36 per share</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Balance—July 1, 2010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(453.7)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Balance—January 1, 2009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52"/>
              <w:spacing w:after="0"/>
              <w:rPr>
                <w:sz w:val="20"/>
                <w:szCs w:val="20"/>
                <w:color w:val="auto"/>
              </w:rPr>
            </w:pPr>
            <w:r>
              <w:rPr>
                <w:rFonts w:ascii="Arial" w:cs="Arial" w:eastAsia="Arial" w:hAnsi="Arial"/>
                <w:sz w:val="18"/>
                <w:szCs w:val="18"/>
                <w:color w:val="auto"/>
              </w:rPr>
              <w:t>(494.9)</w:t>
            </w:r>
          </w:p>
        </w:tc>
        <w:tc>
          <w:tcPr>
            <w:tcW w:w="220" w:type="dxa"/>
            <w:vAlign w:val="bottom"/>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(13.1)</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6"/>
              </w:rPr>
              <w:t>Subsidiary equity issued for purchase of intangible asset</w:t>
            </w:r>
          </w:p>
        </w:tc>
        <w:tc>
          <w:tcPr>
            <w:tcW w:w="2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Income :</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cash flow hedge,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$0.32 per share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Balance—July 2, 2009</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52"/>
              <w:spacing w:after="0"/>
              <w:rPr>
                <w:sz w:val="20"/>
                <w:szCs w:val="20"/>
                <w:color w:val="auto"/>
              </w:rPr>
            </w:pPr>
            <w:r>
              <w:rPr>
                <w:rFonts w:ascii="Arial" w:cs="Arial" w:eastAsia="Arial" w:hAnsi="Arial"/>
                <w:sz w:val="18"/>
                <w:szCs w:val="18"/>
                <w:color w:val="auto"/>
              </w:rPr>
              <w:t>(481.4)</w:t>
            </w:r>
          </w:p>
        </w:tc>
        <w:tc>
          <w:tcPr>
            <w:tcW w:w="220" w:type="dxa"/>
            <w:vAlign w:val="bottom"/>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(18.4)</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240" w:right="4860" w:hanging="227"/>
        <w:spacing w:after="0" w:line="347" w:lineRule="auto"/>
        <w:rPr>
          <w:sz w:val="20"/>
          <w:szCs w:val="20"/>
          <w:color w:val="auto"/>
        </w:rPr>
      </w:pPr>
      <w:r>
        <w:rPr>
          <w:rFonts w:ascii="Arial" w:cs="Arial" w:eastAsia="Arial" w:hAnsi="Arial"/>
          <w:sz w:val="18"/>
          <w:szCs w:val="18"/>
          <w:b w:val="1"/>
          <w:bCs w:val="1"/>
          <w:color w:val="auto"/>
        </w:rPr>
        <w:t xml:space="preserve">1. 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July 1, 2010, NCM LLC had 110,460,974 common membership units outstanding, of which 42,302,788 (38.3%) were owned by NCM, Inc., 25,753,070 (23.3%) were owned by Regal, 25,458,613 (23.1%) were owned by AMC, and 16,946,503 (15.3%) were owned by Cinemark. The membership units held by the founding members are exchangeable into NCM, Inc. common stock on a one-for-one basis.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filed for the fiscal year ended December 31, 2009. The Company’s initial public offering (“IPO”) was completed in February 2007.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3, the operating results as presented are not necessarily indicative of the results that might have occurred if all agreements were with non-related third parties.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NCM, Inc. Share, Basic and Diluted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Quarter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Six Months</w:t>
            </w:r>
          </w:p>
        </w:tc>
        <w:tc>
          <w:tcPr>
            <w:tcW w:w="6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Quarter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July 1,</w:t>
            </w:r>
          </w:p>
        </w:tc>
        <w:tc>
          <w:tcPr>
            <w:tcW w:w="6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Ended July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July 2,</w:t>
            </w:r>
          </w:p>
        </w:tc>
        <w:tc>
          <w:tcPr>
            <w:tcW w:w="6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 July 2,</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 (in millions)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42,289,915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42,250,029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42,118,740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42,117,146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00" w:type="dxa"/>
            <w:vAlign w:val="bottom"/>
          </w:tcPr>
          <w:p>
            <w:pPr>
              <w:ind w:left="66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634,446</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522,440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268,449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145,428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42,924,361</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42,772,469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42,387,189</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42,262,574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effect of the 62,935,711; 61,380,215; 59,435,758 and 58,571,298 exchangeable NCM LLC common units held by the founding members for the quarter and six months ended July 1, 2010 and the quarter and six months ended July 2, 2009, respectively, has been excluded from the calculation of diluted weighted average shares and earnings per NCM, Inc. share as they were antidilutive. In addition, there were 192,906; 282,149; 1,081,420 and 1,401,480 stock options and 3,238; 6,201; 71,787 and 114,724 non-vested restricted shares for the quarter and six months ended July 1, 2010 and July 2, 2009, respectively, owned by management (and directors) excluded from the calculation as they are antidilutive, primarily as exercise prices on stock options and intrinsic value of restricted stock shares were above the average market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31, 2009 contain a complete discussion of the Company’s significant accounting policies.</w:t>
      </w:r>
    </w:p>
    <w:p>
      <w:pPr>
        <w:spacing w:after="0" w:line="13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Under ASC 810, a managing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 In addition, the Company adopted accounting guidance for noncontrolling interests effective January 2, 2009, which changed the manner of presentation and related disclosures for the noncontrolling interest in a subsidiary. The presentation changes are reflected retrospectively in the Company’s unaudited condensed consolidated financial statements. Refer to Note 7. ASC 810 also changed the measurement principles for noncontrolling interests by permitting the recognition of a deficit balance.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—Segments are accounted for under ASC 280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Refer to Note 8.</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July 1, 2010 there were two advertising agency groups through which the Company sources national advertising revenue that represented approximately 12% and 10% of the Company’s outstanding gross receivable balance, respectively; however, none of the individual contracts related to the advertising agencies were more than 10% of advertising revenue. At December 31,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national advertising agencies who have strong reputations in the advertising industry and clients with stable financial positions.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—Income taxes are accounted for under the asset and liability method, which requires recognition of deferred tax assets and liabilities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is immaterial.</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During the quarter and six months ended July 2, 2009, the Company presented the provision for income taxes including the amounts attributable to the noncontrolling interests and presented the noncontrolling interests net of its proportionate share of the income tax provision. However, after further review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determined that since NCM LLC is a pass-through entity for income tax purposes, the income tax provision for the Company should be presented only for the Company’s income tax obligation on its portion of NCM LLC’s earnings and should not include amounts calculated on the noncontrolling interests’ portion of NCM LLC’s taxable earnings. As a result, the Company has restated its Condensed Consolidated Statements of Operations to reduce its provision for income taxes by $6.8 million and $9.7 million with a corresponding increase in net income attributable to noncontrolling interests for the quarter and six months ended July 2, 2009, respectively. The correction has no effect on net income attributable to NCM, Inc., earnings per share, nor any impact to the Condensed Consolidated Balance Sheets or on Condensed Consolidated Cash Flows from Operations.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is a summary of the effects of the restatement on our (a) Condensed Consolidated Statement of Operations for the quarter and six months ended July 2, 2009; (b) Condensed Consolidated Statement of Cash Flows for the six months ended July 2, 2009; and (c) Condensed Consolidated Statement of Equity/(Deficit) and Comprehensive Income as of July 2,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gridSpan w:val="22"/>
          </w:tcPr>
          <w:p>
            <w:pPr>
              <w:spacing w:after="0"/>
              <w:rPr>
                <w:sz w:val="20"/>
                <w:szCs w:val="20"/>
                <w:color w:val="auto"/>
              </w:rPr>
            </w:pPr>
            <w:r>
              <w:rPr>
                <w:rFonts w:ascii="Arial" w:cs="Arial" w:eastAsia="Arial" w:hAnsi="Arial"/>
                <w:sz w:val="14"/>
                <w:szCs w:val="14"/>
                <w:b w:val="1"/>
                <w:bCs w:val="1"/>
                <w:color w:val="auto"/>
              </w:rPr>
              <w:t>CONDENSED CONSOLIDATED STATEMENT</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4"/>
              </w:rPr>
              <w:t>OF OPERATIONS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Borders>
              <w:right w:val="single" w:sz="8" w:color="auto"/>
            </w:tcBorders>
            <w:gridSpan w:val="10"/>
          </w:tcPr>
          <w:p>
            <w:pPr>
              <w:ind w:left="60"/>
              <w:spacing w:after="0" w:line="129" w:lineRule="exact"/>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w w:val="96"/>
              </w:rPr>
              <w:t>July 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9"/>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 July 2,</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5"/>
          </w:tcPr>
          <w:p>
            <w:pPr>
              <w:jc w:val="center"/>
              <w:ind w:left="261"/>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5"/>
          </w:tcPr>
          <w:p>
            <w:pPr>
              <w:jc w:val="right"/>
              <w:ind w:right="420"/>
              <w:spacing w:after="0" w:line="129" w:lineRule="exact"/>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0"/>
              </w:rPr>
              <w:t>Previously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As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w w:val="81"/>
              </w:rPr>
              <w:t>Previously</w:t>
            </w:r>
          </w:p>
        </w:tc>
        <w:tc>
          <w:tcPr>
            <w:tcW w:w="180" w:type="dxa"/>
            <w:vAlign w:val="bottom"/>
          </w:tcPr>
          <w:p>
            <w:pPr>
              <w:spacing w:after="0"/>
              <w:rPr>
                <w:sz w:val="12"/>
                <w:szCs w:val="12"/>
                <w:color w:val="auto"/>
              </w:rPr>
            </w:pPr>
          </w:p>
        </w:tc>
        <w:tc>
          <w:tcPr>
            <w:tcW w:w="8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1"/>
              </w:rPr>
              <w:t>Restated</w:t>
            </w:r>
          </w:p>
        </w:tc>
        <w:tc>
          <w:tcPr>
            <w:tcW w:w="320" w:type="dxa"/>
            <w:vAlign w:val="bottom"/>
            <w:tcBorders>
              <w:right w:val="single" w:sz="8" w:color="auto"/>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1"/>
              </w:rPr>
              <w:t>Reported</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Restated</w:t>
            </w: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6"/>
              </w:rPr>
              <w:t>10.2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4"/>
          </w:tcPr>
          <w:p>
            <w:pPr>
              <w:ind w:left="140"/>
              <w:spacing w:after="0"/>
              <w:rPr>
                <w:sz w:val="20"/>
                <w:szCs w:val="20"/>
                <w:color w:val="auto"/>
              </w:rPr>
            </w:pPr>
            <w:r>
              <w:rPr>
                <w:rFonts w:ascii="Arial" w:cs="Arial" w:eastAsia="Arial" w:hAnsi="Arial"/>
                <w:sz w:val="18"/>
                <w:szCs w:val="18"/>
                <w:color w:val="auto"/>
                <w:w w:val="96"/>
              </w:rPr>
              <w:t>19.2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26.0</w:t>
            </w:r>
          </w:p>
        </w:tc>
        <w:tc>
          <w:tcPr>
            <w:tcW w:w="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Income Attributable to Noncontrolling Interests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6"/>
              </w:rPr>
              <w:t>12.1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w:t>
            </w:r>
          </w:p>
        </w:tc>
        <w:tc>
          <w:tcPr>
            <w:tcW w:w="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5"/>
          </w:tcPr>
          <w:p>
            <w:pPr>
              <w:jc w:val="center"/>
              <w:ind w:left="42"/>
              <w:spacing w:after="0"/>
              <w:rPr>
                <w:sz w:val="20"/>
                <w:szCs w:val="20"/>
                <w:color w:val="auto"/>
              </w:rPr>
            </w:pPr>
            <w:r>
              <w:rPr>
                <w:rFonts w:ascii="Arial" w:cs="Arial" w:eastAsia="Arial" w:hAnsi="Arial"/>
                <w:sz w:val="14"/>
                <w:szCs w:val="14"/>
                <w:b w:val="1"/>
                <w:bCs w:val="1"/>
                <w:color w:val="auto"/>
                <w:w w:val="93"/>
              </w:rPr>
              <w:t>CONDENSED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7"/>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STATEMENT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CASH FLOWS</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center"/>
              <w:ind w:left="42"/>
              <w:spacing w:after="0"/>
              <w:rPr>
                <w:sz w:val="20"/>
                <w:szCs w:val="20"/>
                <w:color w:val="auto"/>
              </w:rPr>
            </w:pPr>
            <w:r>
              <w:rPr>
                <w:rFonts w:ascii="Arial" w:cs="Arial" w:eastAsia="Arial" w:hAnsi="Arial"/>
                <w:sz w:val="14"/>
                <w:szCs w:val="14"/>
                <w:b w:val="1"/>
                <w:bCs w:val="1"/>
                <w:color w:val="auto"/>
                <w:w w:val="86"/>
              </w:rPr>
              <w:t>July 2, 2009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77"/>
              </w:rPr>
              <w:t>As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10"/>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2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760" w:type="dxa"/>
            <w:vAlign w:val="bottom"/>
            <w:gridSpan w:val="4"/>
          </w:tcPr>
          <w:p>
            <w:pPr>
              <w:spacing w:after="0"/>
              <w:rPr>
                <w:sz w:val="14"/>
                <w:szCs w:val="14"/>
                <w:color w:val="auto"/>
              </w:rPr>
            </w:pPr>
          </w:p>
        </w:tc>
        <w:tc>
          <w:tcPr>
            <w:tcW w:w="102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84"/>
              </w:rPr>
              <w:t>Restated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34.3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and other</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 (16.7)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gridSpan w:val="27"/>
          </w:tcPr>
          <w:p>
            <w:pPr>
              <w:jc w:val="center"/>
              <w:ind w:right="80"/>
              <w:spacing w:after="0"/>
              <w:rPr>
                <w:sz w:val="20"/>
                <w:szCs w:val="20"/>
                <w:color w:val="auto"/>
              </w:rPr>
            </w:pPr>
            <w:r>
              <w:rPr>
                <w:rFonts w:ascii="Arial" w:cs="Arial" w:eastAsia="Arial" w:hAnsi="Arial"/>
                <w:sz w:val="14"/>
                <w:szCs w:val="14"/>
                <w:b w:val="1"/>
                <w:bCs w:val="1"/>
                <w:color w:val="auto"/>
                <w:w w:val="97"/>
              </w:rPr>
              <w:t>CONDENSED CONSOLIDATED STATEMENT OF EQUITY (DEFICIT) AND</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14"/>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COMPREHENSIVE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9"/>
          </w:tcPr>
          <w:p>
            <w:pPr>
              <w:jc w:val="center"/>
              <w:ind w:left="558"/>
              <w:spacing w:after="0"/>
              <w:rPr>
                <w:sz w:val="20"/>
                <w:szCs w:val="20"/>
                <w:color w:val="auto"/>
              </w:rPr>
            </w:pPr>
            <w:r>
              <w:rPr>
                <w:rFonts w:ascii="Arial" w:cs="Arial" w:eastAsia="Arial" w:hAnsi="Arial"/>
                <w:sz w:val="14"/>
                <w:szCs w:val="14"/>
                <w:b w:val="1"/>
                <w:bCs w:val="1"/>
                <w:color w:val="auto"/>
                <w:w w:val="88"/>
              </w:rPr>
              <w:t>At July 2, 2009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w w:val="86"/>
              </w:rPr>
              <w:t>As Previously Reported</w:t>
            </w:r>
          </w:p>
        </w:tc>
        <w:tc>
          <w:tcPr>
            <w:tcW w:w="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Restated</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7"/>
          </w:tcPr>
          <w:p>
            <w:pPr>
              <w:jc w:val="center"/>
              <w:ind w:right="340"/>
              <w:spacing w:after="0" w:line="129" w:lineRule="exact"/>
              <w:rPr>
                <w:sz w:val="20"/>
                <w:szCs w:val="20"/>
                <w:color w:val="auto"/>
              </w:rPr>
            </w:pPr>
            <w:r>
              <w:rPr>
                <w:rFonts w:ascii="Arial" w:cs="Arial" w:eastAsia="Arial" w:hAnsi="Arial"/>
                <w:sz w:val="14"/>
                <w:szCs w:val="14"/>
                <w:b w:val="1"/>
                <w:bCs w:val="1"/>
                <w:color w:val="auto"/>
                <w:w w:val="81"/>
              </w:rPr>
              <w:t>Additional</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Paid in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Paid in</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Capital</w:t>
            </w: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Capital</w:t>
            </w: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gridSpan w:val="2"/>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3"/>
              </w:rPr>
              <w:t>Consolidated</w:t>
            </w:r>
          </w:p>
        </w:tc>
        <w:tc>
          <w:tcPr>
            <w:tcW w:w="2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(Deficit)</w:t>
            </w:r>
          </w:p>
        </w:tc>
        <w:tc>
          <w:tcPr>
            <w:tcW w:w="34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Unrealized gain on cash flow hedge, net of tax</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340" w:type="dxa"/>
            <w:vAlign w:val="bottom"/>
            <w:gridSpan w:val="3"/>
          </w:tcPr>
          <w:p>
            <w:pPr>
              <w:ind w:left="440"/>
              <w:spacing w:after="0"/>
              <w:rPr>
                <w:sz w:val="20"/>
                <w:szCs w:val="20"/>
                <w:color w:val="auto"/>
              </w:rPr>
            </w:pPr>
            <w:r>
              <w:rPr>
                <w:rFonts w:ascii="Arial" w:cs="Arial" w:eastAsia="Arial" w:hAnsi="Arial"/>
                <w:sz w:val="18"/>
                <w:szCs w:val="18"/>
                <w:color w:val="auto"/>
              </w:rPr>
              <w:t>Net income, net of tax</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 net of tax</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-153670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3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carrying amounts of cash and cash equivalents, the revolving credit facility and other notes payable as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Company’s balance sheets approximate their fair values due to their short maturity or floating rate terms, as applicable. The carrying amounts and fair values of interest rate swap agreements are the same since the Company accounts for these instruments at fair value. The Company has estimated the fair value of its term loan based on an average of at least two non-binding broker quotes and our reasonability analysis to be $685.5 million and $688.8 million at July 1, 2010 and December 31, 2009, respectively. The carrying value of the term loan was $725.0 million as of July 1, 2010 and December 31,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—Through March 15, 2010, the Company accounted for its investment in RMG Networks, Inc., (“RMG”) (formerly Danoo, Inc.)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equity method of accounting as required by ASC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(“ASC 323-10”) because we exerted “significant influence” over, but did not control, the policy and decisions of RMG, due to ownership of approximately 24% of the issued and outstanding preferred and common stock of RMG. During the first quarter, RMG sold additional common stock to other third party investors for cash, which reduced the Company’s ownership in RMG resulting in cost method accounting. At July 1, 2010, the Company’s ownership in RMG was approximately 19% of the issued and outstanding preferred and common stock of RMG (before considering out-of-the-money warrants). The Company’s investment was $6.7 million and $7.4 million as of July 1, 2010 and December 31, 2009, respectively. The investment in RMG and the Company’s share of its operating results through July 1, 2010 are not material to the Company’s financial position or results of operations and as a result summarized financial information is not presented.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October 2009, the FASB issued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financial statements issued after June 15, 2010. The Company does not expect the pronouncement to have a material effect on its unaudited condensed consolidated financial statements.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the FASB finalized SFAS No. 167, </w:t>
      </w:r>
      <w:r>
        <w:rPr>
          <w:rFonts w:ascii="Arial" w:cs="Arial" w:eastAsia="Arial" w:hAnsi="Arial"/>
          <w:sz w:val="18"/>
          <w:szCs w:val="18"/>
          <w:i w:val="1"/>
          <w:iCs w:val="1"/>
          <w:color w:val="auto"/>
        </w:rPr>
        <w:t>Amending FASB interpretation No. 46(R),</w:t>
      </w:r>
      <w:r>
        <w:rPr>
          <w:rFonts w:ascii="Arial" w:cs="Arial" w:eastAsia="Arial" w:hAnsi="Arial"/>
          <w:sz w:val="18"/>
          <w:szCs w:val="18"/>
          <w:color w:val="auto"/>
        </w:rPr>
        <w:t xml:space="preserve"> and subsequently ASU 2009-17, </w:t>
      </w:r>
      <w:r>
        <w:rPr>
          <w:rFonts w:ascii="Arial" w:cs="Arial" w:eastAsia="Arial" w:hAnsi="Arial"/>
          <w:sz w:val="18"/>
          <w:szCs w:val="18"/>
          <w:i w:val="1"/>
          <w:iCs w:val="1"/>
          <w:color w:val="auto"/>
        </w:rPr>
        <w:t>Consolidations (Topic 810):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Financial Reporting Involved with Variable Interest Entities</w:t>
      </w:r>
      <w:r>
        <w:rPr>
          <w:rFonts w:ascii="Arial" w:cs="Arial" w:eastAsia="Arial" w:hAnsi="Arial"/>
          <w:sz w:val="18"/>
          <w:szCs w:val="18"/>
          <w:color w:val="auto"/>
        </w:rPr>
        <w:t>. The provisions of ASC 810 amend the definition of the primary beneficiary of a</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interest entity and will require the Company to make an assessment each reporting period of its variable interests. The Company adopted this pronouncement effective January 1, 2010 with no impact on its unaudited condensed consolidated financial statements as NCM LLC is not a variable interest entity.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580" w:firstLine="8"/>
        <w:spacing w:after="0" w:line="255"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adopted this pronouncement effective January 1, 2010 with no impact on its unaudited condensed consolidated financial statements.</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second quarter of 2010, NCM LLC issued 6,510,209 common membership units to a subsidiary of AMCE as a result of that subsidiary’s acquisition of Kerasotes Showplace Theatres, LLC (the “Kerasotes Acquisition”). Such issuance provided NCM LLC with exclusive access to the new net theatre screens and attendees added by AMCE to NCM LLC’s network since the date of the last annual common unit adjustment through the date of the Kerasotes Acquisition. As a result, NCM LLC recorded an intangible asset at the market value of the common membership units equal to $111.5 million. During the first quarter of 2010, NCM LLC issued 2,212,219 common membership units to its founding members in exchange for the rights to exclusive access to net new theatre screens and projected attendees added by the founding members to NCM LLC’s network during 2009. As a result, NCM LLC recorded an intangible asset at the market value of the common membership units equal to $39.8 million. During the first quarter of 2009, NCM LLC issued 2,126,104 common membership units to its founding members in exchange for the rights to exclusive access to net new theatre screens and projected attendees added by the founding members to NCM LLC’s network. The Company recorded an intangible asset at the market value of the common membership units equal to $28.5 million. The Company based the fair value of the intangible assets on the market value of the common membership units issued on the date of grants, which are freely convertible into the Company’s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Pursuant to ASC 350-10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 (see Note 3). The estimated aggregate amortization expense for the next twelve months is $9.6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RELATED-PARTY TRANSACTIONS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Also, the founding members are purchasing 60 seconds of on-screen advertising time (with a right to purchase up to 90 seconds) to satisfy their obligations under their beverage concessionaire agreements at a specified 30 second equivalent cost per thousand (“CPM”) impressions. The total theatre access fee to the founding members for the quarter ended July 1, 2010, the six months ended July 1, 2010, the quarter ended July 2, 2009 and the six months ended July 2, 2009 was $13.4 million, $26.3 million, $14.0 million and $26.4 million, respectively. The total revenue related to the beverage concessionaire agreements for the quarter ended July 1, 2010, the six months ended July 1, 2010, the quarter ended July 2, 2009 and the six months ended July 2, 2009 was $9.6 million, $18.8 million, $9.9 million and $18.3 million, respectively. In addition, the Company makes payments to the founding members for use of their screens and theatres for its Fathom Events businesses. These payments are at rates (percentage of event revenue) included in the ESAs based on the nature of the event. Payments to the founding members for these events totaled $1.4 million, $3.8 million, $1.4 million and $3.5 million for the quarter ended July 1, 2010, the six months ended July 1, 2010, the quarter ended July 2, 2009 and the six months ended July 2, 2009, respectively.</w:t>
      </w:r>
    </w:p>
    <w:p>
      <w:pPr>
        <w:spacing w:after="0" w:line="12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Payments for the quarter ended July 1, 2010, the six months ended July 1, 2010, the quarter ended July 2, 2009 and the six months ended July 2, 2009 are as follows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Quarter Ended</w:t>
            </w:r>
          </w:p>
        </w:tc>
        <w:tc>
          <w:tcPr>
            <w:tcW w:w="7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w:t>
            </w:r>
          </w:p>
        </w:tc>
        <w:tc>
          <w:tcPr>
            <w:tcW w:w="7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July 1,</w:t>
            </w:r>
          </w:p>
        </w:tc>
        <w:tc>
          <w:tcPr>
            <w:tcW w:w="7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Ended July 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July 2,</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Ended July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Cinemark</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NCM, Inc.</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six months ended July 2, 2009, the AMC Loews payment was $0.1 million (Star Theatres). The AMC Loews payment was recorded directly to NCM LLC’s members’ equity account.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(see Note 2). The Consolidated Theatres had a pre-existing advertising agreement and, as NCM LLC issued common membership units to Regal, Regal must make “integration” payments pursuant to the ESAs on a quarterly basis in arrears through 2011 in accordance with certain run-out provisions. For the quarter ended July 1, 2010, the six months ended July 1, 2010, the quarter ended July 2, 2009 and the six months ended July 2, 2009, the Consolidated Theatres payment was $0.9 million, $1.3 million, $0.8 million and $1.1 million, respectively and represents a cash element of the consideration received for the common membership units issued.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July 1, 2010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3"/>
              </w:rPr>
              <w:t>AMC</w:t>
            </w:r>
          </w:p>
        </w:tc>
        <w:tc>
          <w:tcPr>
            <w:tcW w:w="3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Cinemark</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Regal</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$ 0.5</w:t>
            </w: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$ 0.5</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20" w:type="dxa"/>
            <w:vAlign w:val="bottom"/>
            <w:gridSpan w:val="6"/>
          </w:tcPr>
          <w:p>
            <w:pPr>
              <w:jc w:val="right"/>
              <w:ind w:right="2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(0.4)</w:t>
            </w: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(0.3)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4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$ 6.5</w:t>
            </w:r>
          </w:p>
        </w:tc>
        <w:tc>
          <w:tcPr>
            <w:tcW w:w="300" w:type="dxa"/>
            <w:vAlign w:val="bottom"/>
          </w:tcPr>
          <w:p>
            <w:pPr>
              <w:spacing w:after="0"/>
              <w:rPr>
                <w:sz w:val="19"/>
                <w:szCs w:val="19"/>
                <w:color w:val="auto"/>
              </w:rPr>
            </w:pPr>
          </w:p>
        </w:tc>
        <w:tc>
          <w:tcPr>
            <w:tcW w:w="3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$ 7.8</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19.8</w:t>
            </w:r>
          </w:p>
        </w:tc>
      </w:tr>
      <w:tr>
        <w:trPr>
          <w:trHeight w:val="20"/>
        </w:trPr>
        <w:tc>
          <w:tcPr>
            <w:tcW w:w="72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7920" w:type="dxa"/>
            <w:vAlign w:val="bottom"/>
            <w:gridSpan w:val="7"/>
          </w:tcPr>
          <w:p>
            <w:pPr>
              <w:spacing w:after="0"/>
              <w:rPr>
                <w:sz w:val="20"/>
                <w:szCs w:val="20"/>
                <w:color w:val="auto"/>
              </w:rPr>
            </w:pPr>
            <w:r>
              <w:rPr>
                <w:rFonts w:ascii="Arial" w:cs="Arial" w:eastAsia="Arial" w:hAnsi="Arial"/>
                <w:sz w:val="18"/>
                <w:szCs w:val="18"/>
                <w:color w:val="auto"/>
                <w:w w:val="91"/>
              </w:rPr>
              <w:t>Amounts due to/from founding members at December 31, 2009 were comprised of the following (in millions):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7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AMC</w:t>
            </w:r>
          </w:p>
        </w:tc>
        <w:tc>
          <w:tcPr>
            <w:tcW w:w="3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Cinemark</w:t>
            </w:r>
          </w:p>
        </w:tc>
        <w:tc>
          <w:tcPr>
            <w:tcW w:w="46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Regal</w:t>
            </w:r>
          </w:p>
        </w:tc>
        <w:tc>
          <w:tcPr>
            <w:tcW w:w="4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$ 0.5</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20" w:type="dxa"/>
            <w:vAlign w:val="bottom"/>
            <w:gridSpan w:val="6"/>
          </w:tcPr>
          <w:p>
            <w:pPr>
              <w:jc w:val="right"/>
              <w:ind w:right="3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(0.5)</w:t>
            </w: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(0.5)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9"/>
              </w:rPr>
              <w:t>$ 9.9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12.1</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29.8</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quarter ended July 1, 2010, the six months ended July 1, 2010, the quarter ended July 2, 2009 and the six months ended July 2, 2009, AMC, Cinemark and Regal purchased $0.3 million, $0.7 million, $0.5 million and $0.8 million, respectively, of NCM LLC’s advertising inventory for their own use. The value of such purchases are calculated by reference to NCM LLC’s advertising rate card and is included in advertising revenue.</w:t>
      </w:r>
    </w:p>
    <w:p>
      <w:pPr>
        <w:spacing w:after="0" w:line="107"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Included in Fathom Events operating costs is $0.4 million, $0.5 million, $0.1 million and $0.2 million for the quarter ended July 1, 2010, the six months ended July 1, 2010, the quarter ended July 2, 2009 and the six months ended July 2, 2009, respectively, related to purchases of movie tickets and concession products from the founding members primarily for marketing to NCM LLC’s advertising clients and Fathom Business customers and content providers.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February 13, 2007, concurrently with the completion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outstanding balance of the term loan facility at July 1, 2010 and December 31, 2009 was $725.0 million. The outstanding balance under the revolving credit facility at July 1, 2010 was $52.0 million and $74.0 million at December 31, 2009. As of July 1, 2010, the effective rate on the term loan was 5.66% including the effect of the interest rate swaps (both the swaps accounted for as hedges and those that are not). The interest rate swaps hedged $550.0 million of the $725.0 million term loan at a fixed interest rate of 6.734% while the unhedged portion was at an interest rate of 2.29%. The weighted-average interest rate on the unhedged revolver was 2.54%. Commencing with the fourth fiscal quarter in fiscal year 2008,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which is equivalent to Adjusted OIBDA). The senior secured credit facility also contains a number of covenants and financial ratio requirements, with which the Company was in compliance at July 1, 2010, including the consolidated net senior secured leverage ratio. There are no distribution restrictions as long as the Company is in compliance with its debt covenants. As of July 1, 2010, our consolidated net senior secured leverage ratio was 3.9 times versus a covenant limit of 6.75 times. The debt covenants also require 50% of the term loan, or $362.5 million to be hedged at a fixed rate. As of July 1, 2010, the Company had approximately $550.0 million or 76% hedged. Of the $550.0 million that is hedged, $137.5 million was transferred from Lehman Brothers Special Financing (“LBSF”) to Barclays Bank PLC (“Barclays”) in February 2010. See Note 6 for an additional discussion of the interest rate swaps.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NCM LLC, Lehman Brothers Holdings Inc. (“Lehman”) and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 of the revolving credit loans held by Lehman will not be repaid in connection with any future prepayments of revolving credit loans, but rather Lehman’s share of the revolving credit will be paid in full by NCM LLC, along with any accrued and unpaid fees and interest, on the revolving credit termination date, February 13, 2013.</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19, 2009, the Company gave an $8.5 million note payable to Credit Suisse, Cayman Islands Branch (“Credit Suisse”) with no stated interest rate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July 1, 2010 and December 31, 2009, $3.2 million and $4.3 million, respectively, of the balance was recorded in current liabilities. Interest on the note is accreted at the Company’s estimated incremental cost of debt based on then current market indicators over the term of the loan to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adverse effect on its financial position or results of operations.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ranges from 2-5 years. The maximum potential amount of future payments the Company could be required to make pursuant to the minimum revenue guarantees is $11.6 million over the remaining terms of the network affiliate agreements. For the quarter and six months ended July 1, 2010 the Company had no liabilities recorded for these obligations as such guarantees are less than the expected share of revenue paid to the affiliate.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DERIVATIVE INSTRUMENTS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gridSpan w:val="7"/>
          </w:tcPr>
          <w:p>
            <w:pPr>
              <w:jc w:val="center"/>
              <w:ind w:right="26"/>
              <w:spacing w:after="0"/>
              <w:rPr>
                <w:sz w:val="20"/>
                <w:szCs w:val="20"/>
                <w:color w:val="auto"/>
              </w:rPr>
            </w:pPr>
            <w:r>
              <w:rPr>
                <w:rFonts w:ascii="Arial" w:cs="Arial" w:eastAsia="Arial" w:hAnsi="Arial"/>
                <w:sz w:val="14"/>
                <w:szCs w:val="14"/>
                <w:b w:val="1"/>
                <w:bCs w:val="1"/>
                <w:color w:val="auto"/>
                <w:w w:val="88"/>
              </w:rPr>
              <w:t>Fair Value Measurements at Reporting Date</w:t>
            </w:r>
          </w:p>
        </w:tc>
      </w:tr>
      <w:tr>
        <w:trPr>
          <w:trHeight w:val="161"/>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82"/>
              </w:rPr>
              <w:t>Using</w:t>
            </w:r>
          </w:p>
        </w:tc>
        <w:tc>
          <w:tcPr>
            <w:tcW w:w="820" w:type="dxa"/>
            <w:vAlign w:val="bottom"/>
            <w:tcBorders>
              <w:bottom w:val="single" w:sz="8" w:color="auto"/>
            </w:tcBorders>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340" w:type="dxa"/>
            <w:vAlign w:val="bottom"/>
          </w:tcPr>
          <w:p>
            <w:pPr>
              <w:spacing w:after="0"/>
              <w:rPr>
                <w:sz w:val="11"/>
                <w:szCs w:val="11"/>
                <w:color w:val="auto"/>
              </w:rPr>
            </w:pPr>
          </w:p>
        </w:tc>
        <w:tc>
          <w:tcPr>
            <w:tcW w:w="132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82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in Active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Other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34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At</w:t>
            </w:r>
          </w:p>
        </w:tc>
        <w:tc>
          <w:tcPr>
            <w:tcW w:w="64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Inputs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5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July 1, 2010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(Level 1)</w:t>
            </w:r>
          </w:p>
        </w:tc>
        <w:tc>
          <w:tcPr>
            <w:tcW w:w="34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(Level 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640"/>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9</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Short-Term Investments</w:t>
      </w:r>
      <w:r>
        <w:rPr>
          <w:rFonts w:ascii="Arial" w:cs="Arial" w:eastAsia="Arial" w:hAnsi="Arial"/>
          <w:sz w:val="16"/>
          <w:szCs w:val="16"/>
          <w:color w:val="auto"/>
        </w:rPr>
        <w:t>—The Company’s short-term investments are classified as available-for-sale and are carried at estimated fair value with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gains, as well as losses that the Company considers to be temporary, reported net of tax in other comprehensive income within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For the quarter and six months ended July 1, 2010 there was an immaterial amount of net realized gains (losses) recognized in interest income and no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unrealized holding gains (losses) included in other comprehensive income.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February 8, 2010, NCM LLC entered into a novation agreement with LBSF and Barclays whereby LBSF transferred to Barclays all the rights, liabilities, duties and obligations of NCM LLC’s interest rate swap agreement with LBSF with identical terms. NCM LLC accepted Barclays as its sole counterparty with respect to the new agreement. The term runs until February 13, 2015, subject to earlier termination upon the occurrence of certain specified events. Subject to the terms of the new agreement, NCM LLC or Barclays will make payments at specified intervals based on the variance between LIBOR and a fixed rate of 4.984% on a notional amount of $137.5 million. NCM LLC effectively pays a rate of 6.734% on this notional amount inclusive of the 1.75% margin currently required by NCM LLC’s credit agreement. The agreement with Barclays is secured by the assets of NCM LLC on a pari passu basis with the credit agreement and the other interest rates swaps that were entered into by NCM LLC. In consideration of LBSF entering into the transfer, NCM LLC agreed to pay to LBSF the full amount of interest rate swap payments withheld since LBSF’s default aggregating $7.0 million and an immaterial amount of penalty interest.</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Cash flow hedge accounting was discontinued on September 15, 2008 due to the event of default created by the bankruptcy of Lehman and the inability of the Company to continue to demonstrate the swap would be effective. The Company did not elect cash flow hedge accounting and the interest rate swap with Barclays is recorded at fair value with any change in the fair value recorded in the statement of operations. There was a $4.2 million and $5.6 million decrease and a $4.8 million and $7.0 million increase in the fair value of the liability associated with the interest rate swap for the quarter and six months ended July 1, 2010 and July 2, 2009, respectively, which the Company recorded as a component of interest expense.</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quarters ended July 1, 2010 and July 2, 2009 was $0.3 million and during the six months ended July 1, 2010 and July 2, 2009 was $0.6 million, respectively. The Company estimates approximately $1.3 million will be amortized to interest expense in the next 12 months.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July 1, 2010 and July 2, 2009. There were no amounts reclassified into current earnings due to ineffectiveness during the periods presented other than as described below.</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July 1, 2010 and December 31, 2009, the estimated fair value and line item caption of derivative instruments recorded were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540" w:type="dxa"/>
            <w:vAlign w:val="bottom"/>
            <w:tcBorders>
              <w:bottom w:val="single" w:sz="8" w:color="auto"/>
            </w:tcBorders>
            <w:gridSpan w:val="2"/>
          </w:tcPr>
          <w:p>
            <w:pPr>
              <w:ind w:left="480"/>
              <w:spacing w:after="0" w:line="142" w:lineRule="exact"/>
              <w:rPr>
                <w:sz w:val="20"/>
                <w:szCs w:val="20"/>
                <w:color w:val="auto"/>
              </w:rPr>
            </w:pPr>
            <w:r>
              <w:rPr>
                <w:rFonts w:ascii="Arial" w:cs="Arial" w:eastAsia="Arial" w:hAnsi="Arial"/>
                <w:sz w:val="14"/>
                <w:szCs w:val="14"/>
                <w:b w:val="1"/>
                <w:bCs w:val="1"/>
                <w:color w:val="auto"/>
                <w:w w:val="88"/>
              </w:rPr>
              <w:t>As of July 1, 2010</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As of 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5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15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Location</w:t>
            </w: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Location</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$ 57.7</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$ 19.2</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$ 76.9</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unaudited condensed consolidated financial statements for the quarter and six months ended July 1, 2010 and July 2, 2009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gridSpan w:val="12"/>
          </w:tcPr>
          <w:p>
            <w:pPr>
              <w:jc w:val="center"/>
              <w:spacing w:after="0"/>
              <w:rPr>
                <w:sz w:val="20"/>
                <w:szCs w:val="20"/>
                <w:color w:val="auto"/>
              </w:rPr>
            </w:pPr>
            <w:r>
              <w:rPr>
                <w:rFonts w:ascii="Arial" w:cs="Arial" w:eastAsia="Arial" w:hAnsi="Arial"/>
                <w:sz w:val="14"/>
                <w:szCs w:val="14"/>
                <w:b w:val="1"/>
                <w:bCs w:val="1"/>
                <w:color w:val="auto"/>
                <w:w w:val="89"/>
              </w:rPr>
              <w:t>Unrealized Gain (Loss) Recognized in NCM, Inc’s OCI</w:t>
            </w:r>
          </w:p>
        </w:tc>
        <w:tc>
          <w:tcPr>
            <w:tcW w:w="2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86"/>
              </w:rPr>
              <w:t>Realized Gain (Loss) Recognized in Interest Expense</w:t>
            </w:r>
          </w:p>
        </w:tc>
      </w:tr>
      <w:tr>
        <w:trPr>
          <w:trHeight w:val="161"/>
        </w:trPr>
        <w:tc>
          <w:tcPr>
            <w:tcW w:w="2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b w:val="1"/>
                <w:bCs w:val="1"/>
                <w:color w:val="auto"/>
                <w:w w:val="91"/>
              </w:rPr>
              <w:t>(Pre-tax)</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4"/>
                <w:szCs w:val="14"/>
                <w:b w:val="1"/>
                <w:bCs w:val="1"/>
                <w:color w:val="auto"/>
                <w:w w:val="91"/>
              </w:rPr>
              <w:t>(Pre-tax)</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Qtr. Ended</w:t>
            </w:r>
          </w:p>
        </w:tc>
        <w:tc>
          <w:tcPr>
            <w:tcW w:w="140" w:type="dxa"/>
            <w:vAlign w:val="bottom"/>
          </w:tcPr>
          <w:p>
            <w:pPr>
              <w:spacing w:after="0"/>
              <w:rPr>
                <w:sz w:val="11"/>
                <w:szCs w:val="11"/>
                <w:color w:val="auto"/>
              </w:rPr>
            </w:pPr>
          </w:p>
        </w:tc>
        <w:tc>
          <w:tcPr>
            <w:tcW w:w="11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Six Months</w:t>
            </w:r>
          </w:p>
        </w:tc>
        <w:tc>
          <w:tcPr>
            <w:tcW w:w="7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Qtr. Ended</w:t>
            </w:r>
          </w:p>
        </w:tc>
        <w:tc>
          <w:tcPr>
            <w:tcW w:w="10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Qtr. Ended</w:t>
            </w:r>
          </w:p>
        </w:tc>
        <w:tc>
          <w:tcPr>
            <w:tcW w:w="110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Six Months</w:t>
            </w:r>
          </w:p>
        </w:tc>
        <w:tc>
          <w:tcPr>
            <w:tcW w:w="9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Qtr. Ended</w:t>
            </w: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1"/>
                <w:szCs w:val="11"/>
                <w:color w:val="auto"/>
              </w:rPr>
            </w:pPr>
          </w:p>
        </w:tc>
      </w:tr>
      <w:tr>
        <w:trPr>
          <w:trHeight w:val="149"/>
        </w:trPr>
        <w:tc>
          <w:tcPr>
            <w:tcW w:w="2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July 1,</w:t>
            </w:r>
          </w:p>
        </w:tc>
        <w:tc>
          <w:tcPr>
            <w:tcW w:w="14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Ended July 1,</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July 2,</w:t>
            </w: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 July 2,</w:t>
            </w:r>
          </w:p>
        </w:tc>
        <w:tc>
          <w:tcPr>
            <w:tcW w:w="2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July 1,</w:t>
            </w: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Ended July 1,</w:t>
            </w:r>
          </w:p>
        </w:tc>
        <w:tc>
          <w:tcPr>
            <w:tcW w:w="12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July 2,</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Ended July 2,</w:t>
            </w:r>
          </w:p>
        </w:tc>
      </w:tr>
      <w:tr>
        <w:trPr>
          <w:trHeight w:val="161"/>
        </w:trPr>
        <w:tc>
          <w:tcPr>
            <w:tcW w:w="2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(17.1)</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was $0.3 million, $0.6 million, $0.3 million and $0.6 million of ineffectiveness recognized for the quarter ended July 1, 2010, six months ended July 1, 2010, quarter ended July 2, 2009 and six months ended July 2, 2009, respectively.</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unaudited condensed consolidated financial statements for the quarters and six months ended July 1, 2010 and July 2, 2009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Gain or (Loss) Recognized in Interest Expense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91"/>
              </w:rPr>
              <w:t>(Pre-tax)</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Qtr. Ended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Six Month</w:t>
            </w:r>
          </w:p>
        </w:tc>
        <w:tc>
          <w:tcPr>
            <w:tcW w:w="62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Qtr. Ended</w:t>
            </w:r>
          </w:p>
        </w:tc>
        <w:tc>
          <w:tcPr>
            <w:tcW w:w="80" w:type="dxa"/>
            <w:vAlign w:val="bottom"/>
          </w:tcPr>
          <w:p>
            <w:pPr>
              <w:spacing w:after="0"/>
              <w:rPr>
                <w:sz w:val="11"/>
                <w:szCs w:val="11"/>
                <w:color w:val="auto"/>
              </w:rPr>
            </w:pPr>
          </w:p>
        </w:tc>
        <w:tc>
          <w:tcPr>
            <w:tcW w:w="72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9"/>
              </w:rPr>
              <w:t>Six Month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July 1,</w:t>
            </w: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Ended July 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7"/>
              </w:rPr>
              <w:t>July 2,</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July 2,</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20" w:type="dxa"/>
            <w:vAlign w:val="bottom"/>
            <w:vMerge w:val="restart"/>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NONCONTROLLING INTERESTS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704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July 2,</w:t>
            </w:r>
          </w:p>
        </w:tc>
      </w:tr>
      <w:tr>
        <w:trPr>
          <w:trHeight w:val="161"/>
        </w:trPr>
        <w:tc>
          <w:tcPr>
            <w:tcW w:w="7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Change from net income attributable to NCM, Inc. and transfers from noncontrolling</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40" w:type="dxa"/>
            <w:vAlign w:val="bottom"/>
          </w:tcPr>
          <w:p>
            <w:pPr>
              <w:ind w:left="22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38.1</w:t>
            </w:r>
          </w:p>
        </w:tc>
        <w:tc>
          <w:tcPr>
            <w:tcW w:w="8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0"/>
        </w:trPr>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Advertising is the principal business activity of the Company and is the Company’s reportable segment under the requirements of ASC 280 </w:t>
      </w:r>
      <w:r>
        <w:rPr>
          <w:rFonts w:ascii="Arial" w:cs="Arial" w:eastAsia="Arial" w:hAnsi="Arial"/>
          <w:sz w:val="15"/>
          <w:szCs w:val="15"/>
          <w:i w:val="1"/>
          <w:iCs w:val="1"/>
          <w:color w:val="auto"/>
        </w:rPr>
        <w:t>Segment</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Advertising revenue accounted for 90.9%, 86.0%, 89.9% and 86.3% of consolidated revenue for the quarters ended July 1, 2010 and July 2, 2009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six months ended July 1, 2010 and July 2, 2009, respectively. 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unaudited condensed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ind w:left="240"/>
              <w:spacing w:after="0"/>
              <w:rPr>
                <w:sz w:val="20"/>
                <w:szCs w:val="20"/>
                <w:color w:val="auto"/>
              </w:rPr>
            </w:pPr>
            <w:r>
              <w:rPr>
                <w:rFonts w:ascii="Arial" w:cs="Arial" w:eastAsia="Arial" w:hAnsi="Arial"/>
                <w:sz w:val="14"/>
                <w:szCs w:val="14"/>
                <w:b w:val="1"/>
                <w:bCs w:val="1"/>
                <w:color w:val="auto"/>
                <w:w w:val="99"/>
              </w:rPr>
              <w:t>Quarter Ended July 1, 2010 (in millions)</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1"/>
              </w:rPr>
              <w:t>Network,</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Administrative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3"/>
              </w:rPr>
              <w:t>Advertising</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2"/>
              </w:rPr>
              <w:t>Costs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85"/>
              </w:rPr>
              <w:t>90.1</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19.1</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5"/>
              </w:rPr>
              <w:t>11.5</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96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5"/>
              </w:rPr>
              <w:t>58.8</w:t>
            </w: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11"/>
            <w:vMerge w:val="restart"/>
          </w:tcPr>
          <w:p>
            <w:pPr>
              <w:ind w:left="220"/>
              <w:spacing w:after="0"/>
              <w:rPr>
                <w:sz w:val="20"/>
                <w:szCs w:val="20"/>
                <w:color w:val="auto"/>
              </w:rPr>
            </w:pPr>
            <w:r>
              <w:rPr>
                <w:rFonts w:ascii="Arial" w:cs="Arial" w:eastAsia="Arial" w:hAnsi="Arial"/>
                <w:sz w:val="14"/>
                <w:szCs w:val="14"/>
                <w:b w:val="1"/>
                <w:bCs w:val="1"/>
                <w:color w:val="auto"/>
                <w:w w:val="92"/>
              </w:rPr>
              <w:t>Six Months Ended July 1, 2010 (in millions)</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1"/>
              </w:rPr>
              <w:t>Network,</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Unallocated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160"/>
              <w:spacing w:after="0"/>
              <w:rPr>
                <w:sz w:val="20"/>
                <w:szCs w:val="20"/>
                <w:color w:val="auto"/>
              </w:rPr>
            </w:pPr>
            <w:r>
              <w:rPr>
                <w:rFonts w:ascii="Arial" w:cs="Arial" w:eastAsia="Arial" w:hAnsi="Arial"/>
                <w:sz w:val="14"/>
                <w:szCs w:val="14"/>
                <w:b w:val="1"/>
                <w:bCs w:val="1"/>
                <w:color w:val="auto"/>
                <w:w w:val="83"/>
              </w:rPr>
              <w:t>Advertising</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2"/>
              </w:rPr>
              <w:t>Costs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80" w:type="dxa"/>
            <w:vAlign w:val="bottom"/>
            <w:gridSpan w:val="4"/>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1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160" w:type="dxa"/>
            <w:vAlign w:val="bottom"/>
            <w:gridSpan w:val="6"/>
          </w:tcPr>
          <w:p>
            <w:pPr>
              <w:jc w:val="right"/>
              <w:ind w:right="22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1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540" w:type="dxa"/>
            <w:vAlign w:val="bottom"/>
            <w:gridSpan w:val="3"/>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2080" w:type="dxa"/>
            <w:vAlign w:val="bottom"/>
            <w:gridSpan w:val="4"/>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1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$ 3.9</w:t>
            </w: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11"/>
            <w:vMerge w:val="restart"/>
          </w:tcPr>
          <w:p>
            <w:pPr>
              <w:ind w:left="220"/>
              <w:spacing w:after="0"/>
              <w:rPr>
                <w:sz w:val="20"/>
                <w:szCs w:val="20"/>
                <w:color w:val="auto"/>
              </w:rPr>
            </w:pPr>
            <w:r>
              <w:rPr>
                <w:rFonts w:ascii="Arial" w:cs="Arial" w:eastAsia="Arial" w:hAnsi="Arial"/>
                <w:sz w:val="14"/>
                <w:szCs w:val="14"/>
                <w:b w:val="1"/>
                <w:bCs w:val="1"/>
                <w:color w:val="auto"/>
              </w:rPr>
              <w:t>Quarter Ended July 2, 2009 (in millions)</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1"/>
              </w:rPr>
              <w:t>Network,</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Advertising</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2"/>
              </w:rPr>
              <w:t>Costs</w:t>
            </w:r>
          </w:p>
        </w:tc>
        <w:tc>
          <w:tcPr>
            <w:tcW w:w="60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3"/>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83.5</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18.8</w:t>
            </w:r>
          </w:p>
        </w:tc>
        <w:tc>
          <w:tcPr>
            <w:tcW w:w="1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9.6</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7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7"/>
              </w:rPr>
              <w:t>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960" w:type="dxa"/>
            <w:vAlign w:val="bottom"/>
            <w:gridSpan w:val="3"/>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54.4</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vMerge w:val="restart"/>
          </w:tcPr>
          <w:p>
            <w:pPr>
              <w:jc w:val="right"/>
              <w:ind w:right="572"/>
              <w:spacing w:after="0"/>
              <w:rPr>
                <w:sz w:val="20"/>
                <w:szCs w:val="20"/>
                <w:color w:val="auto"/>
              </w:rPr>
            </w:pPr>
            <w:r>
              <w:rPr>
                <w:rFonts w:ascii="Arial" w:cs="Arial" w:eastAsia="Arial" w:hAnsi="Arial"/>
                <w:sz w:val="18"/>
                <w:szCs w:val="18"/>
                <w:color w:val="auto"/>
              </w:rPr>
              <w:t>18</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1"/>
              </w:rPr>
              <w:t>Six Months Ended July 2, 2009 (in millions)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Network,</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Unallocated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Advertising</w:t>
            </w:r>
          </w:p>
        </w:tc>
        <w:tc>
          <w:tcPr>
            <w:tcW w:w="46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7"/>
              </w:rPr>
              <w:t>Costs</w:t>
            </w:r>
          </w:p>
        </w:tc>
        <w:tc>
          <w:tcPr>
            <w:tcW w:w="4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5"/>
              </w:rPr>
              <w:t>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8"/>
                <w:szCs w:val="18"/>
                <w:color w:val="auto"/>
                <w:w w:val="85"/>
              </w:rPr>
              <w:t>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costs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a summary of revenues by category, in millions:</w:t>
            </w: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0"/>
              </w:rPr>
              <w:t>Quarter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24"/>
                <w:szCs w:val="2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July 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Ended July 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2,</w:t>
            </w:r>
          </w:p>
        </w:tc>
        <w:tc>
          <w:tcPr>
            <w:tcW w:w="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 July 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Founding Member Advertising Revenue from Beverage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Concessionaire Agreements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18.8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183.7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August 3, 2010, the Company declared a cash dividend of $0.18 per share on each share of the Company’s common stock (including outstanding restricted stock) to stockholders of record on August 19, 2010 to be paid on September 2, 2010.</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31, 2009.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31, 2009. In the following discussion and analysis, the term net income refers to net income attributable to NCM, Inc.</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Fathom Business and Consumer Events. Our revenue is principally derived from the sale of advertising and, to a lesser extent, from our Fathom Events business.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 are distributed primarily to theatres that are digitally equipped with our proprietary digital content network (“DCN”) technology. In excess of 92% of the aggregate founding member and network affiliate theatre attendance is generated by theatres included in our digital network.</w:t>
      </w:r>
    </w:p>
    <w:p>
      <w:pPr>
        <w:spacing w:after="0" w:line="11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and revenue per location. Finally, we monitor our operating cash flow and related financial leverage (see Note 4 to the unaudited condensed consolidated financial statements) and revolving credit facility availability and cash balances to ensure that debt obligations and future declared dividends can be met while providing adequate cash reserves.</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9, 2010 for the Company’s fiscal year ended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Historical and Operating Data</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presents operating data and OIBDA. See “—Non-GAAP Financial Measures” below for a discussion of the calculation of Adjusted OIBDA and reconciliation to operating income.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4"/>
                <w:szCs w:val="1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July 1,</w:t>
            </w:r>
          </w:p>
        </w:tc>
        <w:tc>
          <w:tcPr>
            <w:tcW w:w="30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1,</w:t>
            </w:r>
          </w:p>
        </w:tc>
        <w:tc>
          <w:tcPr>
            <w:tcW w:w="160" w:type="dxa"/>
            <w:vAlign w:val="bottom"/>
          </w:tcPr>
          <w:p>
            <w:pPr>
              <w:spacing w:after="0"/>
              <w:rPr>
                <w:sz w:val="12"/>
                <w:szCs w:val="12"/>
                <w:color w:val="auto"/>
              </w:rPr>
            </w:pPr>
          </w:p>
        </w:tc>
        <w:tc>
          <w:tcPr>
            <w:tcW w:w="14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July 2,</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2,</w:t>
            </w: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14"/>
                <w:szCs w:val="14"/>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69.7</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Adjusted OIBDA margin</w:t>
            </w:r>
          </w:p>
        </w:tc>
        <w:tc>
          <w:tcPr>
            <w:tcW w:w="1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Net Income per NCM, Inc. Basic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44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60" w:type="dxa"/>
            <w:vAlign w:val="bottom"/>
            <w:gridSpan w:val="3"/>
          </w:tcPr>
          <w:p>
            <w:pPr>
              <w:spacing w:after="0"/>
              <w:rPr>
                <w:sz w:val="20"/>
                <w:szCs w:val="20"/>
                <w:color w:val="auto"/>
              </w:rPr>
            </w:pPr>
            <w:r>
              <w:rPr>
                <w:rFonts w:ascii="Arial" w:cs="Arial" w:eastAsia="Arial" w:hAnsi="Arial"/>
                <w:sz w:val="18"/>
                <w:szCs w:val="18"/>
                <w:color w:val="auto"/>
              </w:rPr>
              <w:t>Total advertising revenue ($ in millions)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90.1</w:t>
            </w:r>
          </w:p>
        </w:tc>
        <w:tc>
          <w:tcPr>
            <w:tcW w:w="440" w:type="dxa"/>
            <w:vAlign w:val="bottom"/>
          </w:tcPr>
          <w:p>
            <w:pPr>
              <w:spacing w:after="0"/>
              <w:rPr>
                <w:sz w:val="24"/>
                <w:szCs w:val="24"/>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7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theater attendance (in millions)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180.2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Total advertising revenue per attendee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0.55</w:t>
            </w:r>
          </w:p>
        </w:tc>
        <w:tc>
          <w:tcPr>
            <w:tcW w:w="44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0.48</w:t>
            </w:r>
          </w:p>
        </w:tc>
        <w:tc>
          <w:tcPr>
            <w:tcW w:w="7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 and $0.1 million for the quarter and six months ended July 2, 2009, respectively. Regal made Consolidated Theatre payments to NCM LLC pursuant to the revised ESAs, which was $0.9 million, $1.3 million, $0.8 million and $1.1 million for the quarter ended July 1, 2010, the six months ended July 1, 2010, the quarter ended July 2, 2009 and the six months ended July 2, 2009, respectively.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w:t>
            </w:r>
          </w:p>
        </w:tc>
        <w:tc>
          <w:tcPr>
            <w:tcW w:w="34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July 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2"/>
                <w:szCs w:val="12"/>
                <w:color w:val="auto"/>
              </w:rPr>
            </w:pPr>
          </w:p>
        </w:tc>
        <w:tc>
          <w:tcPr>
            <w:tcW w:w="56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Share-based compensation costs (1)</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w:t>
            </w: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gridSpan w:val="3"/>
            <w:vMerge w:val="continue"/>
          </w:tcPr>
          <w:p>
            <w:pPr>
              <w:spacing w:after="0"/>
              <w:rPr>
                <w:sz w:val="18"/>
                <w:szCs w:val="18"/>
                <w:color w:val="auto"/>
              </w:rPr>
            </w:pPr>
          </w:p>
        </w:tc>
        <w:tc>
          <w:tcPr>
            <w:tcW w:w="12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183.7</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92.9</w:t>
            </w:r>
          </w:p>
        </w:tc>
        <w:tc>
          <w:tcPr>
            <w:tcW w:w="8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3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results of operations data for the quarter and six months ended July 1, 2010 and July 2, 2009 were derived from the unaudited condensed consolidated financial statements and accounting records of NCM, Inc. and should be read in conjunction with the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Quarter Ended July 1, 2010 and July 2, 2009 -</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July 1, 2010 was $99.1 million compared to $92.9 million for the quarter ended July 2, 2009,</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$6.2 million, or 6.7%. The increase in total revenue was the result of an increase in total advertising revenue of 7.9% (including revenue from our founding member beverage concessionaire agreements, or “beverage revenue”) offset in part by a 5.3% decrease in Fathom Events revenue.</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National advertising revenues of $73.7 million (including $9.6 million of beverage revenue) for the quarter ended July 1, 2010 increased 8.1% from $68.2 million (including $9.9 million of beverage revenue) for the quarter ended July 2, 2009. National advertising revenue (excluding beverage revenue) for the quarter ended July 1, 2010 increased $5.8 million or 9.9% to $64.1 million compared to $58.3 million for the quarter ended July 2, 2009. This increase was due to continued expansion of our overall client base and favorable TV advertising scatter market that contributed to a 6.7% increase in national advertising CPM’s (excluding beverage revenue) and an increase in inventory utilization (excluding beverage revenue) to 92.5% for the quarter ended July 1, 2010 from 81.3% for the quarter ended July 2, 2009. Our inventory utilization was also impacted by an 8.3% decrease in advertising impressions available for sale for the quarter ended July 1, 2010 compared to the same period in 2009, due to lower than expected attendance in certain ratings, particularly PG-13. Our second quarter inventory utilization and CPM were both negatively impacted by the effects of a shift in allocation of spending by our content partners to later in 2010. The 2.3% decrease in payments from the founding members for their beverage concessionaire agreements was primarily due to a decrease in founding member attendance of 7.9% as compared to the second quarter of 2009 offset by the annual contractual 6% beverage revenue CPM increase. The decreases in overall theatre attendance in certain ratings resulted in a $4.6 million make-good reserve balance at July 1, 2010. The Company anticipates that this reserve will be recognized as revenue in the third and fourth quarter of 2010. The make-good reserve balance at July 2, 2009 was $1.1 million.</w:t>
      </w:r>
    </w:p>
    <w:p>
      <w:pPr>
        <w:spacing w:after="0" w:line="12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Local advertising revenue increased $1.1 million or 7.2% to $16.4 million for the quarter ended July 1, 2010 compared to $15.3 million for the quarter ended July 2, 2009. The increase is primarily due to an increase in the level of spending by smaller businesses and an increase in the number of larger regional contracts. Local revenue per theatre attendee increased 25.0% to $0.10 per attendee for the second quarter of 2010 compared to $0.08 for the second quarter of 2009, due to the increased sales revenue combined with an 8.4% decrease in theatre attendance, particularly PG-13, within our network.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Total advertising revenue (including beverage revenue) per attendee for the quarter ended July 1, 2010 increased 19.6% to $0.55 per attendee compared to $0.46 for the quarter ended July 2, 2009. The increase in the advertising revenue per attendee was due to the impact of the 7.9% increase in advertising revenue, combined with the overall decrease in theatre attendance in certain ratings. Excluding beverage revenue, total advertising revenue per attendee increased 19.3%.</w:t>
      </w:r>
    </w:p>
    <w:p>
      <w:pPr>
        <w:spacing w:after="0" w:line="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Fathom Events revenue decreased 5.3%, to $8.9 million for the quarter ended July 1, 2010 as compared to $9.4 million for the quarter ended July 2, 2009. Our Fathom Consumer events revenue declined due to a number of original programming events in the second quarter of 2009 which did not repeat in the second quarter of 2010 and lower attendance per event, which more than off-set a 2010 increase in the number of sporting events and the continued success of the Metropolitan Opera series.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Total operating expenses for the quarter ended July 1, 2010 were $55.8 million compared to $53.0 million for the quarter ended July 2,</w:t>
      </w:r>
    </w:p>
    <w:p>
      <w:pPr>
        <w:spacing w:after="0" w:line="5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2009. The 5.3% increase in 2010 compared to the 2009 period was primarily the result of an increase in selling and marketing costs and advertising operations costs, which are primarily the result of the 9.9% increase in our advertising revenues (excluding beverage). Set forth below is a discussion of the operating expenses.</w:t>
      </w:r>
    </w:p>
    <w:p>
      <w:pPr>
        <w:spacing w:after="0" w:line="63" w:lineRule="exact"/>
        <w:rPr>
          <w:sz w:val="20"/>
          <w:szCs w:val="20"/>
          <w:color w:val="auto"/>
        </w:rPr>
      </w:pPr>
    </w:p>
    <w:p>
      <w:pPr>
        <w:ind w:left="460" w:right="20" w:firstLine="438"/>
        <w:spacing w:after="0" w:line="28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$5.7 million for the quarter ended July 1, 2010 increased 18.8% over the $4.8 million for the quarter ended July 2, 2009. This increase was primarily the result of an increase in payments made to our advertising affiliates due to the increase in national advertising revenue (excluding beverage), as well as a $0.3 million increase in advertising supply costs, including rolling stock and other expenses for supplies directly related to delivery of the advertising preshow. The impact was slightly offset by a decrease of 12.0% in advertising affiliate attendance, primarily due to the acquisition of one of our larger affiliate theatre chains by AMC in May of 2010. These theatres and screens remain in our network – however, they became part of our long-term ESAs as opposed to an affiliate revenue share arrangement. Network affiliate screens represented 10.9% of total network screens for the second quarter of 2010 versus 13.8% for the 2009 period. This decrease in the overall number of network affiliate screens as compared to 2009 is due to the conversion of Kerasotes affiliate screens to founding member screens in the second quarter of 2010 off-set by the addition of six new network affiliates with approximately 440 screens since July 2, 2009.</w:t>
      </w:r>
    </w:p>
    <w:p>
      <w:pPr>
        <w:spacing w:after="0" w:line="39" w:lineRule="exact"/>
        <w:rPr>
          <w:sz w:val="20"/>
          <w:szCs w:val="20"/>
          <w:color w:val="auto"/>
        </w:rPr>
      </w:pPr>
    </w:p>
    <w:p>
      <w:pPr>
        <w:ind w:left="460" w:right="160" w:firstLine="438"/>
        <w:spacing w:after="0" w:line="335" w:lineRule="auto"/>
        <w:rPr>
          <w:sz w:val="20"/>
          <w:szCs w:val="20"/>
          <w:color w:val="auto"/>
        </w:rPr>
      </w:pPr>
      <w:r>
        <w:rPr>
          <w:rFonts w:ascii="Arial" w:cs="Arial" w:eastAsia="Arial" w:hAnsi="Arial"/>
          <w:sz w:val="15"/>
          <w:szCs w:val="15"/>
          <w:u w:val="single" w:color="auto"/>
          <w:color w:val="auto"/>
        </w:rPr>
        <w:t>Fathom Events operating costs.</w:t>
      </w:r>
      <w:r>
        <w:rPr>
          <w:rFonts w:ascii="Arial" w:cs="Arial" w:eastAsia="Arial" w:hAnsi="Arial"/>
          <w:sz w:val="15"/>
          <w:szCs w:val="15"/>
          <w:color w:val="auto"/>
        </w:rPr>
        <w:t xml:space="preserve"> Fathom Events operating costs of $6.0 million for the quarter ended July 1, 2010 increased 1.7% compared to $5.9 million during the quarter ended July 2, 2009 due primarily to a slight change in the mix of event types and associated variable expense associated with those events, as well as a 1.0% increase in the total number of Fathom Events sites in the second quarter of 2010 as compared to the same period in 2009.</w:t>
      </w:r>
    </w:p>
    <w:p>
      <w:pPr>
        <w:spacing w:after="0" w:line="7"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$4.8 million for the quarter ended July 1, 2010 remained consistent as compared to the quarter ended July 2, 2009. Total digital network screens operated during the second quarter of 2010 increased approximately 1.0% to 15,633 from 15,476 in 2009 due primarily to conversion of non-digital screens by certain network affiliates.</w:t>
      </w:r>
    </w:p>
    <w:p>
      <w:pPr>
        <w:spacing w:after="0" w:line="59" w:lineRule="exact"/>
        <w:rPr>
          <w:sz w:val="20"/>
          <w:szCs w:val="20"/>
          <w:color w:val="auto"/>
        </w:rPr>
      </w:pPr>
    </w:p>
    <w:p>
      <w:pPr>
        <w:ind w:left="460" w:right="80" w:firstLine="438"/>
        <w:spacing w:after="0" w:line="294"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$13.4 million for the quarter ended July 1, 2010 compared to $14.0 million for the quarter ended July 2, 2009. The decrease for 2010 versus the 2009 period was primarily the result of a 7.9% decrease in founding member attendance due to a weaker theatrical film slate in the latter part of the second quarter of 2010, offset in part by the annual 5% rate increase per digital screen. Theatre access fees are expected to increase beginning in the second half of 2010 due to the acquisition of Kerasotes by AMC as well as an expected increase related to our access to the digital cinema equipment being deployed by our founding members.</w:t>
      </w:r>
    </w:p>
    <w:p>
      <w:pPr>
        <w:spacing w:after="0" w:line="35"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$14.1 million for the quarter ended July 1, 2010 compared to $12.3 million for the quarter ended July 2, 2009, or an increase of 14.6%. Selling and marketing costs have increased primarily due to increases in commissions and other personnel costs directly related to the higher total revenues for the second quarter 2010 as compared to the second quarter of 2009. Marketing expenses also increased due to initiatives supporting our expanding business, as well as increases in costs associated with developing our on-line business which continues to become a more significant part of our strategy to provide integrated advertising products to our clients.</w:t>
      </w:r>
    </w:p>
    <w:p>
      <w:pPr>
        <w:spacing w:after="0" w:line="35"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quarter ended July 1, 2010 was $7.5 million compared to $7.3 million for the quarter ended July 2, 2009, an increase of 2.7% primarily due to annual cost of living increases and share based compensation expense, and new employees to support our growing operations and related administration of our business.</w:t>
      </w:r>
    </w:p>
    <w:p>
      <w:pPr>
        <w:spacing w:after="0" w:line="59"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$0.4 million to $4.3 million for the quarter ended July 1, 2010, compared to $3.9 million for the quarter ended July 2, 2009 period, primarily as a result of increased amortization expense recognized on intangible assets added in accordance with the Common Unit Adjustment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July 1, 2010 was $4.6 million, a decrease of $2.5 million compared to net income for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2, 2009, despite the increase of 8.5% in operating income. The level of net income was negatively impacted by a net non-cash $9.0 million change in derivative fair value since the second quarter of 2009 resulting in a $4.5 million expense for the quarter ended July 1, 2010 as compared to a $4.5 million credit for the quarter ended July 2, 2009 due to the change in fair value of an interest rate hedge associated with our senior secured credit facility. The decrease in income taxes in the second quarter of 2010 is due primarily to lower pretax income. Non-controlling interest expense decreased $1.6 million to $17.3 million for the quarter ended July 1, 2010 due to lower income before taxes, offset by the impact of additional common membership units issued in 2010.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July 1, 2010 and July 2, 2009</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six months ended July 1, 2010 was $183.7 million compared to $166.4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2, 2009. This 10.4% increase for the 2010 period over the 2009 period of was the result of an increase of 10.0% in advertising revenues, as well as the impact of a 12.7% increase in Fathom Events revenue.</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National advertising revenues of $129.3 million (including $18.8 million of beverage revenue) for the six months ended July 1, 2010 increased 8.4% from $119.3 million (including $18.3 million of beverage revenue) for the 2009 period. National advertising revenue (excluding beverage revenue) for the six months ended July 1, 2010 increased 9.4% to $110.5 million compared to $101.0 million for the six months ended July 2, 2009, primarily due a 4.3% increase in CPMs (excluding beverage revenue) and an increase in national advertising inventory utilization (excluding beverage revenue) to 85.4% from 74.9% in 2009. The increase in CPMs is due to a favorable scatter television market. The increase in utilization is due to the expansion of our client base, and also impacted by the decreases in our salable impressions of 3.4% in the first half of 2010 compared to the first half of 2009. Both CPM and utilization were adversely impacted by a decrease in the allocation of annual spending by our content partners to the latter half of 2010 as compared with 2009. The Company had a $0.5 million increase in beverage revenue, primarily due to the contracted annual 6% increase in beverage CPM, offset by a decrease in our founding member attendance of 2.8% for the six months ended July 1, 2010 as compared to the six months ended July 2, 2009. The decrease in theatre attendance resulted in a $4.6 million make-good reserve balance at July 1, 2010. The Company anticipates this reserve will be recognized as revenue in the third and fourth quarter of 2010. The make-good reserve balance at July 2, 2009 was $1.1 million.</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Local advertising revenue increased $4.3 million or 17.7% to $28.6 million for the six months ended July 1, 2010 compared to $24.3 million for the six months ended July 2, 2009. The increase is due to the number of larger regional client contracts as well as increased spending by smaller businesses on advertising. Local revenue per theatre attendee in the first half of 2010 increased 28.6% to $0.09 per attendee compared to $0.07 for the first half of 2009 due to the increased sales revenue combined with a slight decrease in theatre attendance within our network of 3.4% over the comparable period in 2009.</w:t>
      </w:r>
    </w:p>
    <w:p>
      <w:pPr>
        <w:spacing w:after="0" w:line="113"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Total advertising revenue per attendee (including beverage revenue) for the six months ended July 1, 2010 increased 14.3% to $0.48 per attendee, from $0.42 per attendee for the six months ended July 2, 2009. The increase in the advertising revenue per attendee was primarily due to the combined impact of a 10.0% increase in advertising revenue and the overall 3.4% decrease in attendance across our network.</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Fathom Events revenue increased $2.9 million, or 12.7%, to $25.7 million for the six months ended July 1, 2010 compared to the 2009 period as a result of the diversification of programming categories in our Fathom Consumer business resulting in a 20.7% increase in Fathom Consumer revenue, while the Fathom Business division revenue decreased slightly compared to 2009. The total number of Fathom event sites utilized during the current six month period increased 1.7%.</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six months ended July 1, 2010 were $114.0 million compared to $104.3 million for the 2009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July 2, 2009. The 9.3% increase in the first half of 2010 compared to the first half of 2009 was primarily the result of an increase in selling and marketing costs, which are the result of higher revenues (and related sales commissions) and expenses incurred to support the expanding advertising client base and overall increase in the size of our network, and the increase in Fathom Events operating costs which are the result of higher Fathom revenue and the mix of Fathom Consumer events and increase Fathom Consumer event sites.</w:t>
      </w:r>
    </w:p>
    <w:p>
      <w:pPr>
        <w:spacing w:after="0" w:line="62" w:lineRule="exact"/>
        <w:rPr>
          <w:sz w:val="20"/>
          <w:szCs w:val="20"/>
          <w:color w:val="auto"/>
        </w:rPr>
      </w:pPr>
    </w:p>
    <w:p>
      <w:pPr>
        <w:ind w:left="460" w:right="60" w:firstLine="438"/>
        <w:spacing w:after="0" w:line="306"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Advertising operations costs of $10.2 million for the six months ended July 1, 2010 increased 13.3% over the $9.0 million for the 2009 period. This increase was primarily the result of the payments made to our network affiliate theatre circuits pursuant to our contractual agreements for advertising revenue displayed in their theatres. This increase related primarily to the higher national advertising revenues.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firstLine="438"/>
        <w:spacing w:after="0" w:line="306"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$17.1 million for the six months ended July 1, 2010 increased 17.1% compared to $14.6 million during the 2009 period due to a 20.7% increase in Fathom Consumer events revenue and the mix of the type of events generating the revenue and the high level of variable event expenses associated with those events, as well as the increase in the number of event sites.</w:t>
      </w:r>
    </w:p>
    <w:p>
      <w:pPr>
        <w:spacing w:after="0" w:line="26" w:lineRule="exact"/>
        <w:rPr>
          <w:sz w:val="20"/>
          <w:szCs w:val="20"/>
          <w:color w:val="auto"/>
        </w:rPr>
      </w:pPr>
    </w:p>
    <w:p>
      <w:pPr>
        <w:jc w:val="both"/>
        <w:ind w:left="460" w:right="360" w:firstLine="438"/>
        <w:spacing w:after="0" w:line="357" w:lineRule="auto"/>
        <w:rPr>
          <w:sz w:val="20"/>
          <w:szCs w:val="20"/>
          <w:color w:val="auto"/>
        </w:rPr>
      </w:pPr>
      <w:r>
        <w:rPr>
          <w:rFonts w:ascii="Arial" w:cs="Arial" w:eastAsia="Arial" w:hAnsi="Arial"/>
          <w:sz w:val="15"/>
          <w:szCs w:val="15"/>
          <w:u w:val="single" w:color="auto"/>
          <w:color w:val="auto"/>
        </w:rPr>
        <w:t>Network costs.</w:t>
      </w:r>
      <w:r>
        <w:rPr>
          <w:rFonts w:ascii="Arial" w:cs="Arial" w:eastAsia="Arial" w:hAnsi="Arial"/>
          <w:sz w:val="15"/>
          <w:szCs w:val="15"/>
          <w:color w:val="auto"/>
        </w:rPr>
        <w:t xml:space="preserve"> Network costs of $9.7 million for the six months ended July 1, 2010 increased 5.4% compared to $9.2 million for the six months ended July 2, 2009 due primarily to personnel and other costs associated with the increase in the size of our digital network and expanding client base.</w:t>
      </w:r>
    </w:p>
    <w:p>
      <w:pPr>
        <w:ind w:left="460" w:right="40" w:firstLine="438"/>
        <w:spacing w:after="0" w:line="294"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xml:space="preserve"> Theatre access fees were $26.3 million for the six months ended July 1, 2010 compared to $26.4 million for the comparable 2009 period. The 0.4% decrease for the first six months of 2010 versus the first six months of 2009 was primarily the result of a 2.8% decrease in founding member attendance due to a weaker theatrical film slate in the latter part of the second quarter of 2010, offset in part by the annual 5% CPM increase per digital screen. Theatre access fees are expected to increase beginning in the second half of 2010 due to the acquisition of Kerasotes by AMC as well as an expected increase related to the digital cinema implementation by our founding members.</w:t>
      </w:r>
    </w:p>
    <w:p>
      <w:pPr>
        <w:spacing w:after="0" w:line="35"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$27.2 million for the six months ended July 1, 2010 compared to $24.1 million for the six months ended July 2, 2009, or an increase of 12.9%. Selling and marketing costs have increased due to increases in commissions and other personnel costs directly related to the higher total revenues for the six month period ended July 1, 2010 as compared to the 2009 period. Marketing expenses also increased to support our broader client base and expanding network as well as increases associated with our on-line business due to the increased activity in on-line sales during the first six months of 2010.</w:t>
      </w:r>
    </w:p>
    <w:p>
      <w:pPr>
        <w:spacing w:after="0" w:line="35" w:lineRule="exact"/>
        <w:rPr>
          <w:sz w:val="20"/>
          <w:szCs w:val="20"/>
          <w:color w:val="auto"/>
        </w:rPr>
      </w:pPr>
    </w:p>
    <w:p>
      <w:pPr>
        <w:ind w:left="460" w:right="140" w:firstLine="438"/>
        <w:spacing w:after="0" w:line="298"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six months ended July 1, 2010 were $15.2 million compared to $13.5 million for the 2009 period, an increase of 12.6% primarily due to increased personnel costs, including an increase in share-based compensation of $1.2 million, partially offset by a decrease in professional service fees in the six month period ended July 1, 2010 as compared to the six month period ended July 2, 2009, as the first half of 2009 included certain one-time costs associated with the restructuring of our nonconsolidated equity method investment.</w:t>
      </w:r>
    </w:p>
    <w:p>
      <w:pPr>
        <w:spacing w:after="0" w:line="32" w:lineRule="exact"/>
        <w:rPr>
          <w:sz w:val="20"/>
          <w:szCs w:val="20"/>
          <w:color w:val="auto"/>
        </w:rPr>
      </w:pPr>
    </w:p>
    <w:p>
      <w:pPr>
        <w:ind w:left="460" w:right="140" w:firstLine="438"/>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$0.8 million to $8.3 million for the first six months of 2010 compared to $7.5 million for the same period in 2009 primarily as a result of increased amortization expense recognized on additional intangible assets recorded related to activity associated with the Common Unit Adjustment Agreement. We expect full year 2010 depreciation and amortization to increase over 2009 due to the increases in amortization of the intangible assets that were recorded during 2010.</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six months ended July 1, 2010 was $5.8 million compared to net income for the six months ended July 2, 2009 of</w:t>
      </w:r>
      <w:r>
        <w:rPr>
          <w:rFonts w:ascii="Arial" w:cs="Arial" w:eastAsia="Arial" w:hAnsi="Arial"/>
          <w:sz w:val="16"/>
          <w:szCs w:val="16"/>
          <w:i w:val="1"/>
          <w:iCs w:val="1"/>
          <w:color w:val="auto"/>
        </w:rPr>
        <w:t xml:space="preserve"> </w:t>
      </w:r>
      <w:r>
        <w:rPr>
          <w:rFonts w:ascii="Arial" w:cs="Arial" w:eastAsia="Arial" w:hAnsi="Arial"/>
          <w:sz w:val="16"/>
          <w:szCs w:val="16"/>
          <w:color w:val="auto"/>
        </w:rPr>
        <w:t>$8.3 million, despite the increase of 8.5% in operating income, due primarily to an increase in net interest expense. The increase in net interest expense is due to a $12.6 million increase in the non-cash charge related to the change in the derivative fair value to an expense of $6.2 million for the six months ended July 1, 2010 as compared to a $6.4 million credit for the six months ended July 2, 2009, due to the change in the fair value of an interest rate hedge associated with our senior secured credit facility due to changes in market interest rates, offset partially by lower market interest rates on the unhedged portion of our debt. The decrease in income taxes is due primarily to lower pretax income. The decrease in net noncontrolling interest is primarily due to lower income before taxes, offset by the impact of additional common membership units issued in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Known Trends and Uncertainties</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we are cautiously optimistic that the impact to our business will not be significant due to factors including the growth in our advertising client base, the effectiveness of cinema advertising relative to other advertising mediums, and the effectiveness and increasing scale of our broader national network and the related increase in salable impressions and Fathom locations. As noted previously, in the second half of 2009 and first half of 2010, we added several new affiliate theatres to our national network including: American Cinemas; Galaxy Theatres, LLC; Storyteller Theatres Corporation; Starplex Cinemas; ShowBiz Cinemas; Metropolitan Theatres Corporation and LA Live Theatre. In the second half of 2010 we will add Great Escape Theatres and in 2011 we will add Consolidated Theatres, Rave Cinemas, LLC. In total, these additions will add nearly 61.2 million new attendees on a full-year pro-forma basis, representing in excess of</w:t>
      </w:r>
    </w:p>
    <w:p>
      <w:pPr>
        <w:spacing w:after="0" w:line="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580 million new salable advertising impressions. Our sales force either has integrated or will integrate these additional impressions into the advertising sales process during 2010 and 2011 and we expect that the yield on these attendees to be additive to our revenue, operating income and cash flow. We believe that the continued growth of our network will continue to strengthen our selling proposition and competitive positioning versus other national advertising platforms.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2010 and in 2009, we sold 60 seconds to our founding members. We expect to continue to sell 60 seconds of time to the founding members in the remainder of 2010 and for the foreseeable future.</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May 24, 2010, a subsidiary of AMC Entertainment completed the acquisition of Kerasotes Showplace Theatres, LLC. These theatres and screens were included in our network since January 2008 under a network affiliate agreement with Kerasotes Showplace Theatres, LLC that terminated on May 24, 2010. These theatres and screens remain in our network and become part of our long-term ESA with AMC as of the acquisition date. On June 14, 2010, in accordance with the Common Unit Adjustment Agreement, NCM LLC issued the subsidiary of AMC Entertainment membership units due to the extraordinary attendance increase created by the acquisition. The issuance of these units resulted in the Company recording an intangible asset at fair value representing the contractual rights associated with the exclusive access to the net new theatre screens and attendance associated with the acquisition. See Note 2 to the unaudited condensed consolidated financial statements included elsewhere in this document. The addition of Kerasotes to AMC Entertainment does not increase our screen count or attendance as it represents a movement from a network affiliate agreement to the ESA structure. After the Common Unit Adjustment, we expect our beverage revenue to increase and our affiliate expense to decrease, partially offset by increases in the theatre access fee and as a result our Adjusted OIBDA should increase approximately $3.5 million during 2010 and $5.0 million full year based on current attendance levels of the Kerasotes Theatres and NCM per attendee advertising sales levels.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begun discussions with the founding member circuits to explore a restructuring of the Fathom Events business relationship. The discussions are preliminary and we do not know how the existing relationship might be changed or if it will be changed. Any change to the Fathom Events business relationship with the founding members will require approval of our Audit Committee and a majority of our independent directors in addition to any other required approvals by our board of directors.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Condition and Liquidity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and Capital Resources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July 1, 2010, our cash, cash equivalents and short-term investments balance was $55.9 million, a decrease of $35.2 million compared to the balance of $91.1 million as of December 31, 2009 and a $5.7 million decrease compared to the balance at July 2, 2009. Our net debt balances (debt balance net of cash balance) decreased $19.3 million compared to the balance at July 2,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3540" w:type="dxa"/>
            <w:vAlign w:val="bottom"/>
            <w:gridSpan w:val="4"/>
          </w:tcPr>
          <w:p>
            <w:pPr>
              <w:ind w:left="2380"/>
              <w:spacing w:after="0" w:line="149" w:lineRule="exact"/>
              <w:rPr>
                <w:sz w:val="20"/>
                <w:szCs w:val="20"/>
                <w:color w:val="auto"/>
              </w:rPr>
            </w:pPr>
            <w:r>
              <w:rPr>
                <w:rFonts w:ascii="Arial" w:cs="Arial" w:eastAsia="Arial" w:hAnsi="Arial"/>
                <w:sz w:val="14"/>
                <w:szCs w:val="14"/>
                <w:b w:val="1"/>
                <w:bCs w:val="1"/>
                <w:color w:val="auto"/>
              </w:rPr>
              <w:t>Ended July</w:t>
            </w:r>
          </w:p>
        </w:tc>
        <w:tc>
          <w:tcPr>
            <w:tcW w:w="42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Six Months</w:t>
            </w:r>
          </w:p>
        </w:tc>
      </w:tr>
      <w:tr>
        <w:trPr>
          <w:trHeight w:val="149"/>
        </w:trPr>
        <w:tc>
          <w:tcPr>
            <w:tcW w:w="3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2"/>
                <w:szCs w:val="12"/>
                <w:color w:val="auto"/>
              </w:rPr>
            </w:pPr>
          </w:p>
        </w:tc>
        <w:tc>
          <w:tcPr>
            <w:tcW w:w="132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9"/>
              </w:rPr>
              <w:t>Ended July 2,</w:t>
            </w:r>
          </w:p>
        </w:tc>
      </w:tr>
      <w:tr>
        <w:trPr>
          <w:trHeight w:val="161"/>
        </w:trPr>
        <w:tc>
          <w:tcPr>
            <w:tcW w:w="3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5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Investing cash flow</w:t>
            </w:r>
          </w:p>
        </w:tc>
        <w:tc>
          <w:tcPr>
            <w:tcW w:w="25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r>
    </w:tbl>
    <w:p>
      <w:pPr>
        <w:spacing w:after="0" w:line="73" w:lineRule="exact"/>
        <w:rPr>
          <w:sz w:val="20"/>
          <w:szCs w:val="20"/>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decrease in cash provided by operating activities for the six months ended July 1, 2010 versus the six months ended July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was primarily due to the timing of payments for normal operating expenses as well as the timing of the collection of accounts receivable balances.</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investing cash flows for the six months ended July 1, 2010 were consistent with the level of cash flow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July 2, 2009 and are primarily related to capital expenditures.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financing cash flows for the six months ended July 1, 2010 versus the six months ended July 2, 2009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repayments on borrowings on our revolving credit agreement, due to the restructuring of the revolving credit agreement as discussed in Note 4 to the unaudited condensed consolidated financial statements. Going forward we expect to treat the revolving credit facility in a more customary manner with regular borrowings and repayments as determined by our operating needs, offset by increases in cash distributions to our founding members.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balances will fluctuate due to the timing of collections of accounts receivable balances and operating expenditure payments, as well as available cash payments (as defined) to NCM LLC’s founding members, interest payments on our term loan and principal payments on debt, income tax payments, tax receivable payments to our founding members and quarterly dividends to NCM, Inc’s common shareholders.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 of liquidity and capital resources are available cash distributions from NCM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NCM LLC’s primary sources of liquidity and capital resources are its operating activities and availability under its senior secured revolving credit facility.</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six months ended July 1, 2010 was $46.3 million, of which $18.0 million was NCM, Inc.’s portion. NCM, Inc. will use cash received from the available cash distributions to fund income taxes, payments associated with the tax sharing agreement with the founding members and current and future dividends as declared by the board of directors, including a dividend declared in August 2010 of $0.18 per share (approximately $7.8 million) which will be paid on September 2, 2010. Distributions from NCM LLC and NCM, Inc. cash balances should be sufficient to fund NCM, Inc.’s tax receivable payments to the founding member circuits, income taxes and its regular dividend for the foreseeable future.</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31, 2009 and incorporated by reference herein. As of July 1, 2010, there were no significant changes in those critical accounting estimates.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3 to the unaudited condensed consolidated financial statements included elsewhere in this document.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31, 2009 and incorporated by reference herein. We do not believe these arrangements are material to our current or future financial condition, results of operations, liquidity, capital resources or capital expenditures.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revenue and operating results are seasonal in nature, coinciding with the attendance patterns within the film exhibition industry as well as the timing of marketing expenditures by our advertising clients. Advertising expenditures tend to be higher during the second, third, and fourth fiscal quarters and are correlated to new product releases and our advertising client’s marketing cycles. The actual quarterly results for each quarter could differ materially depending on these factors or other risks and uncertainties. Based on our historical experience, our first quarter typically has less revenue than the other quarters of a given year. Accordingly, there can be no assurances that seasonal variations will not materially affect our results of operations in the future. The following table reflects the quarterly percentage of total revenue for the fiscal years ended 2008 and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Second</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6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r>
      <w:tr>
        <w:trPr>
          <w:trHeight w:val="20"/>
        </w:trPr>
        <w:tc>
          <w:tcPr>
            <w:tcW w:w="6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FY 2008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FY 2009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24.4%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primary market risk to which we are exposed is interest rate risk. We have entered into variable-to-fixed interest rate swap arrangements economically hedging $550.0 million of the $725.0 million term loan at a fixed interest rate of 6.734% (including a 1.75% spread required by our debt agreement). For a discussion of market risks, see Item 7A. “Quantitative and Qualitative Disclosures About Market Risk” contained in our annual report on Form 10-K for the fiscal year ended December 31, 2009 and incorporated by reference herein. The current interest rates on that debt are lower than those implicit in the hedge, thus a 100 basis point fluctuation in market interest rates would have the effect of increasing or decreasing our cash interest expense by approximately $2.6 million for an annual period on a total of $255.0 million of unhedged debt. Because each of our interest rate swaps was in a liability position at July 1, 2010, we are not currently exposed to counterparty risk related to the swaps.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July 1, 2010,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July 1, 2010 were effective.</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July 1, 2010 that have materially affected, or are reasonably likely to materially affect, the Company’s internal controls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9, 2010 for the fiscal year ended December 31,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Purchases of Restricted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8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8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8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8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8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w:t>
            </w:r>
          </w:p>
        </w:tc>
        <w:tc>
          <w:tcPr>
            <w:tcW w:w="8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86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 be Purchased</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8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8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 2010 through April 29, 2010</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April 30, 2010 through May 27, 2010</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28, 2010 through July 1, 2010</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564</w:t>
            </w:r>
          </w:p>
        </w:tc>
        <w:tc>
          <w:tcPr>
            <w:tcW w:w="1380" w:type="dxa"/>
            <w:vAlign w:val="bottom"/>
            <w:gridSpan w:val="2"/>
            <w:shd w:val="clear" w:color="auto" w:fill="CCEEFF"/>
          </w:tcPr>
          <w:p>
            <w:pPr>
              <w:jc w:val="center"/>
              <w:ind w:left="792"/>
              <w:spacing w:after="0"/>
              <w:rPr>
                <w:sz w:val="20"/>
                <w:szCs w:val="20"/>
                <w:color w:val="auto"/>
              </w:rPr>
            </w:pPr>
            <w:r>
              <w:rPr>
                <w:rFonts w:ascii="Arial" w:cs="Arial" w:eastAsia="Arial" w:hAnsi="Arial"/>
                <w:sz w:val="18"/>
                <w:szCs w:val="18"/>
                <w:color w:val="auto"/>
                <w:w w:val="90"/>
              </w:rPr>
              <w:t>$17.06</w:t>
            </w: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covering the recipient’s tax withholding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180" w:type="dxa"/>
            <w:vAlign w:val="bottom"/>
          </w:tcPr>
          <w:p>
            <w:pPr>
              <w:spacing w:after="0"/>
              <w:rPr>
                <w:sz w:val="19"/>
                <w:szCs w:val="19"/>
                <w:color w:val="auto"/>
              </w:rPr>
            </w:pPr>
          </w:p>
        </w:tc>
        <w:tc>
          <w:tcPr>
            <w:tcW w:w="8940" w:type="dxa"/>
            <w:vAlign w:val="bottom"/>
            <w:gridSpan w:val="5"/>
          </w:tcPr>
          <w:p>
            <w:pPr>
              <w:ind w:left="18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80" w:type="dxa"/>
            <w:vAlign w:val="bottom"/>
            <w:gridSpan w:val="5"/>
          </w:tcPr>
          <w:p>
            <w:pPr>
              <w:ind w:left="440"/>
              <w:spacing w:after="0"/>
              <w:rPr>
                <w:sz w:val="20"/>
                <w:szCs w:val="20"/>
                <w:color w:val="auto"/>
              </w:rPr>
            </w:pPr>
            <w:r>
              <w:rPr>
                <w:rFonts w:ascii="Arial" w:cs="Arial" w:eastAsia="Arial" w:hAnsi="Arial"/>
                <w:sz w:val="18"/>
                <w:szCs w:val="18"/>
                <w:color w:val="auto"/>
              </w:rPr>
              <w:t>None</w:t>
            </w: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180" w:type="dxa"/>
            <w:vAlign w:val="bottom"/>
          </w:tcPr>
          <w:p>
            <w:pPr>
              <w:spacing w:after="0"/>
              <w:rPr>
                <w:sz w:val="24"/>
                <w:szCs w:val="24"/>
                <w:color w:val="auto"/>
              </w:rPr>
            </w:pPr>
          </w:p>
        </w:tc>
        <w:tc>
          <w:tcPr>
            <w:tcW w:w="8940" w:type="dxa"/>
            <w:vAlign w:val="bottom"/>
            <w:gridSpan w:val="5"/>
          </w:tcPr>
          <w:p>
            <w:pPr>
              <w:ind w:left="180"/>
              <w:spacing w:after="0"/>
              <w:rPr>
                <w:sz w:val="20"/>
                <w:szCs w:val="20"/>
                <w:color w:val="auto"/>
              </w:rPr>
            </w:pPr>
            <w:r>
              <w:rPr>
                <w:rFonts w:ascii="Arial" w:cs="Arial" w:eastAsia="Arial" w:hAnsi="Arial"/>
                <w:sz w:val="18"/>
                <w:szCs w:val="18"/>
                <w:b w:val="1"/>
                <w:bCs w:val="1"/>
                <w:color w:val="auto"/>
              </w:rPr>
              <w:t>(Removed and Reserved)</w:t>
            </w:r>
          </w:p>
        </w:tc>
        <w:tc>
          <w:tcPr>
            <w:tcW w:w="0" w:type="dxa"/>
            <w:vAlign w:val="bottom"/>
          </w:tcPr>
          <w:p>
            <w:pPr>
              <w:spacing w:after="0"/>
              <w:rPr>
                <w:sz w:val="1"/>
                <w:szCs w:val="1"/>
                <w:color w:val="auto"/>
              </w:rPr>
            </w:pPr>
          </w:p>
        </w:tc>
      </w:tr>
      <w:tr>
        <w:trPr>
          <w:trHeight w:val="500"/>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80" w:type="dxa"/>
            <w:vAlign w:val="bottom"/>
          </w:tcPr>
          <w:p>
            <w:pPr>
              <w:spacing w:after="0"/>
              <w:rPr>
                <w:sz w:val="24"/>
                <w:szCs w:val="24"/>
                <w:color w:val="auto"/>
              </w:rPr>
            </w:pPr>
          </w:p>
        </w:tc>
        <w:tc>
          <w:tcPr>
            <w:tcW w:w="8940" w:type="dxa"/>
            <w:vAlign w:val="bottom"/>
            <w:gridSpan w:val="5"/>
          </w:tcPr>
          <w:p>
            <w:pPr>
              <w:ind w:left="18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80" w:type="dxa"/>
            <w:vAlign w:val="bottom"/>
            <w:gridSpan w:val="5"/>
          </w:tcPr>
          <w:p>
            <w:pPr>
              <w:ind w:left="440"/>
              <w:spacing w:after="0"/>
              <w:rPr>
                <w:sz w:val="20"/>
                <w:szCs w:val="20"/>
                <w:color w:val="auto"/>
              </w:rPr>
            </w:pPr>
            <w:r>
              <w:rPr>
                <w:rFonts w:ascii="Arial" w:cs="Arial" w:eastAsia="Arial" w:hAnsi="Arial"/>
                <w:sz w:val="18"/>
                <w:szCs w:val="18"/>
                <w:color w:val="auto"/>
              </w:rPr>
              <w:t>None</w:t>
            </w: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8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Exhibits</w:t>
            </w: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Reference</w:t>
            </w:r>
          </w:p>
        </w:tc>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Amended and Restated Certificate of Incorporation.</w:t>
            </w: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w w:val="89"/>
              </w:rPr>
              <w:t>ISDA Master Agreement dated as of February 4, 2010 between National CineMedia, LLC and Barclays Bank PLC</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Form 8-K filed on April 14,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August 3, 2010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August 3, 2010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2500"/>
        <w:spacing w:after="0"/>
        <w:tabs>
          <w:tab w:leader="none" w:pos="28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URT</w:t>
      </w:r>
      <w:r>
        <w:rPr>
          <w:rFonts w:ascii="Arial" w:cs="Arial" w:eastAsia="Arial" w:hAnsi="Arial"/>
          <w:sz w:val="18"/>
          <w:szCs w:val="18"/>
          <w:color w:val="auto"/>
        </w:rPr>
        <w:t xml:space="preserve"> C. H</w:t>
      </w:r>
      <w:r>
        <w:rPr>
          <w:rFonts w:ascii="Arial" w:cs="Arial" w:eastAsia="Arial" w:hAnsi="Arial"/>
          <w:sz w:val="14"/>
          <w:szCs w:val="14"/>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9"/>
        <w:spacing w:after="0"/>
        <w:rPr>
          <w:sz w:val="20"/>
          <w:szCs w:val="20"/>
          <w:color w:val="auto"/>
        </w:rPr>
      </w:pPr>
      <w:r>
        <w:rPr>
          <w:rFonts w:ascii="Arial" w:cs="Arial" w:eastAsia="Arial" w:hAnsi="Arial"/>
          <w:sz w:val="14"/>
          <w:szCs w:val="14"/>
          <w:b w:val="1"/>
          <w:bCs w:val="1"/>
          <w:color w:val="auto"/>
        </w:rPr>
        <w:t>Kurt C. Hall</w:t>
      </w:r>
    </w:p>
    <w:p>
      <w:pPr>
        <w:jc w:val="center"/>
        <w:ind w:left="-65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59"/>
        <w:spacing w:after="0"/>
        <w:rPr>
          <w:sz w:val="20"/>
          <w:szCs w:val="20"/>
          <w:color w:val="auto"/>
        </w:rPr>
      </w:pPr>
      <w:r>
        <w:rPr>
          <w:rFonts w:ascii="Arial" w:cs="Arial" w:eastAsia="Arial" w:hAnsi="Arial"/>
          <w:sz w:val="14"/>
          <w:szCs w:val="14"/>
          <w:b w:val="1"/>
          <w:bCs w:val="1"/>
          <w:color w:val="auto"/>
        </w:rPr>
        <w:t>(Principal Executive Officer)</w:t>
      </w:r>
    </w:p>
    <w:p>
      <w:pPr>
        <w:spacing w:after="0" w:line="181" w:lineRule="exact"/>
        <w:rPr>
          <w:sz w:val="20"/>
          <w:szCs w:val="20"/>
          <w:color w:val="auto"/>
        </w:rPr>
      </w:pPr>
    </w:p>
    <w:p>
      <w:pPr>
        <w:ind w:left="234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W. F</w:t>
      </w:r>
      <w:r>
        <w:rPr>
          <w:rFonts w:ascii="Arial" w:cs="Arial" w:eastAsia="Arial" w:hAnsi="Arial"/>
          <w:sz w:val="13"/>
          <w:szCs w:val="13"/>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left="-659"/>
        <w:spacing w:after="0"/>
        <w:rPr>
          <w:sz w:val="20"/>
          <w:szCs w:val="20"/>
          <w:color w:val="auto"/>
        </w:rPr>
      </w:pPr>
      <w:r>
        <w:rPr>
          <w:rFonts w:ascii="Arial" w:cs="Arial" w:eastAsia="Arial" w:hAnsi="Arial"/>
          <w:sz w:val="14"/>
          <w:szCs w:val="14"/>
          <w:b w:val="1"/>
          <w:bCs w:val="1"/>
          <w:color w:val="auto"/>
        </w:rPr>
        <w:t>Gary W. Ferrera</w:t>
      </w:r>
    </w:p>
    <w:p>
      <w:pPr>
        <w:spacing w:after="0" w:line="2" w:lineRule="exact"/>
        <w:rPr>
          <w:sz w:val="20"/>
          <w:szCs w:val="20"/>
          <w:color w:val="auto"/>
        </w:rPr>
      </w:pPr>
    </w:p>
    <w:p>
      <w:pPr>
        <w:jc w:val="center"/>
        <w:ind w:left="-659"/>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659"/>
        <w:spacing w:after="0"/>
        <w:rPr>
          <w:sz w:val="20"/>
          <w:szCs w:val="20"/>
          <w:color w:val="auto"/>
        </w:rPr>
      </w:pPr>
      <w:r>
        <w:rPr>
          <w:rFonts w:ascii="Arial" w:cs="Arial" w:eastAsia="Arial" w:hAnsi="Arial"/>
          <w:sz w:val="14"/>
          <w:szCs w:val="14"/>
          <w:b w:val="1"/>
          <w:bCs w:val="1"/>
          <w:color w:val="auto"/>
        </w:rPr>
        <w:t>(Principal Accounting and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4900" w:space="720"/>
            <w:col w:w="5780"/>
          </w:cols>
          <w:pgMar w:left="240" w:top="459" w:right="25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July 1, 2010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3,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July 1, 2010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3,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2019-12-11T03:47:48Z</dcterms:created>
  <dcterms:modified xsi:type="dcterms:W3CDTF">2019-12-11T03:47:48Z</dcterms:modified>
</cp:coreProperties>
</file>