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141605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178435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223520</wp:posOffset>
            </wp:positionV>
            <wp:extent cx="173228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150495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20-2632505</w:t>
            </w:r>
          </w:p>
        </w:tc>
      </w:tr>
      <w:tr>
        <w:trPr>
          <w:trHeight w:val="186"/>
        </w:trPr>
        <w:tc>
          <w:tcPr>
            <w:tcW w:w="5240" w:type="dxa"/>
            <w:vAlign w:val="bottom"/>
          </w:tcPr>
          <w:p>
            <w:pPr>
              <w:jc w:val="center"/>
              <w:ind w:right="1317"/>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88"/>
              </w:rPr>
              <w:t>9110 East Nichols Avenue, Suite 200</w:t>
            </w:r>
          </w:p>
        </w:tc>
        <w:tc>
          <w:tcPr>
            <w:tcW w:w="3600" w:type="dxa"/>
            <w:vAlign w:val="bottom"/>
          </w:tcPr>
          <w:p>
            <w:pPr>
              <w:spacing w:after="0"/>
              <w:rPr>
                <w:sz w:val="24"/>
                <w:szCs w:val="24"/>
                <w:color w:val="auto"/>
              </w:rPr>
            </w:pPr>
          </w:p>
        </w:tc>
      </w:t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0"/>
              </w:rPr>
              <w:t>Centennial, Colorado</w:t>
            </w:r>
          </w:p>
        </w:tc>
        <w:tc>
          <w:tcPr>
            <w:tcW w:w="3600" w:type="dxa"/>
            <w:vAlign w:val="bottom"/>
          </w:tcPr>
          <w:p>
            <w:pPr>
              <w:jc w:val="center"/>
              <w:ind w:left="1339"/>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5240" w:type="dxa"/>
            <w:vAlign w:val="bottom"/>
          </w:tcPr>
          <w:p>
            <w:pPr>
              <w:jc w:val="center"/>
              <w:ind w:right="13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0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172085</wp:posOffset>
            </wp:positionV>
            <wp:extent cx="1603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63" w:right="239" w:bottom="1440" w:gutter="0" w:footer="0" w:header="0"/>
        </w:sectPr>
      </w:pPr>
    </w:p>
    <w:p>
      <w:pPr>
        <w:spacing w:after="0" w:line="160" w:lineRule="exact"/>
        <w:rPr>
          <w:sz w:val="24"/>
          <w:szCs w:val="24"/>
          <w:color w:val="auto"/>
        </w:rPr>
      </w:pPr>
    </w:p>
    <w:p>
      <w:pPr>
        <w:ind w:right="200"/>
        <w:spacing w:after="0" w:line="360"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ind w:left="40"/>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97" w:lineRule="exact"/>
        <w:rPr>
          <w:sz w:val="24"/>
          <w:szCs w:val="24"/>
          <w:color w:val="auto"/>
        </w:rPr>
      </w:pPr>
    </w:p>
    <w:p>
      <w:pPr>
        <w:sectPr>
          <w:pgSz w:w="11900" w:h="16838" w:orient="portrait"/>
          <w:cols w:equalWidth="0" w:num="5">
            <w:col w:w="1820" w:space="720"/>
            <w:col w:w="160" w:space="180"/>
            <w:col w:w="4840" w:space="720"/>
            <w:col w:w="1980" w:space="720"/>
            <w:col w:w="280"/>
          </w:cols>
          <w:pgMar w:left="240" w:top="46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4">
            <w:col w:w="8180" w:space="180"/>
            <w:col w:w="440" w:space="180"/>
            <w:col w:w="220" w:space="100"/>
            <w:col w:w="2120"/>
          </w:cols>
          <w:pgMar w:left="240" w:top="46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August 3, 2016, the registrant had 137,156,732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591185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20" w:type="dxa"/>
            <w:vAlign w:val="bottom"/>
            <w:gridSpan w:val="11"/>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2"/>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080" w:type="dxa"/>
            <w:vAlign w:val="bottom"/>
            <w:gridSpan w:val="3"/>
            <w:vMerge w:val="restart"/>
          </w:tcPr>
          <w:p>
            <w:pPr>
              <w:spacing w:after="0"/>
              <w:rPr>
                <w:sz w:val="24"/>
                <w:szCs w:val="24"/>
                <w:color w:val="auto"/>
              </w:rPr>
            </w:pPr>
          </w:p>
        </w:tc>
        <w:tc>
          <w:tcPr>
            <w:tcW w:w="2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gridSpan w:val="2"/>
            <w:vMerge w:val="continue"/>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660" w:type="dxa"/>
            <w:vAlign w:val="bottom"/>
            <w:gridSpan w:val="15"/>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Statements of Income</w:t>
              </w:r>
            </w:hyperlink>
          </w:p>
        </w:tc>
        <w:tc>
          <w:tcPr>
            <w:tcW w:w="4520" w:type="dxa"/>
            <w:vAlign w:val="bottom"/>
            <w:gridSpan w:val="11"/>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Comprehensive Income</w:t>
              </w:r>
            </w:hyperlink>
          </w:p>
        </w:tc>
        <w:tc>
          <w:tcPr>
            <w:tcW w:w="3340" w:type="dxa"/>
            <w:vAlign w:val="bottom"/>
            <w:gridSpan w:val="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18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7"/>
                <w:szCs w:val="17"/>
                <w:color w:val="auto"/>
              </w:rPr>
            </w:pPr>
          </w:p>
        </w:tc>
        <w:tc>
          <w:tcPr>
            <w:tcW w:w="1720" w:type="dxa"/>
            <w:vAlign w:val="bottom"/>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18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gridSpan w:val="7"/>
          </w:tcPr>
          <w:p>
            <w:pPr>
              <w:jc w:val="center"/>
              <w:ind w:right="2940"/>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w:t>
              </w:r>
            </w:hyperlink>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8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3060" w:type="dxa"/>
            <w:vAlign w:val="bottom"/>
            <w:gridSpan w:val="2"/>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6840" w:type="dxa"/>
            <w:vAlign w:val="bottom"/>
            <w:gridSpan w:val="16"/>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Unregistered Sales of Equity Securities and Use of Proceeds</w:t>
              </w:r>
            </w:hyperlink>
          </w:p>
        </w:tc>
        <w:tc>
          <w:tcPr>
            <w:tcW w:w="3820" w:type="dxa"/>
            <w:vAlign w:val="bottom"/>
            <w:gridSpan w:val="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5840" w:type="dxa"/>
            <w:vAlign w:val="bottom"/>
            <w:gridSpan w:val="13"/>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6400" w:type="dxa"/>
            <w:vAlign w:val="bottom"/>
            <w:gridSpan w:val="14"/>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818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6860" w:type="dxa"/>
            <w:vAlign w:val="bottom"/>
            <w:gridSpan w:val="17"/>
          </w:tcPr>
          <w:p>
            <w:pPr>
              <w:spacing w:after="0"/>
              <w:rPr>
                <w:sz w:val="17"/>
                <w:szCs w:val="17"/>
                <w:color w:val="auto"/>
              </w:rPr>
            </w:pPr>
          </w:p>
        </w:tc>
        <w:tc>
          <w:tcPr>
            <w:tcW w:w="23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Receivables, net of allowance of $6.1 and $5.6,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administrative fees to managing member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managing member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notes receivable - founding members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Property and equipment, net of accumulated depreciation of $62.8 and $64.1,</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 of accumulated amortization of $105.2 and $91.9,</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Debt issuance costs,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Amounts due to founding members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due to managing member</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Long-term debt, net of debt issuance costs of $9.6 and $10.6, respectively</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MEMBERS’ EQUITY/DEFICIT</w:t>
            </w:r>
          </w:p>
        </w:tc>
        <w:tc>
          <w:tcPr>
            <w:tcW w:w="2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EQUITY/DEFICIT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5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6"/>
              </w:rPr>
              <w:t>June 30, 2016</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July 2, 2015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w w:val="96"/>
              </w:rPr>
              <w:t>June 30, 2016</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July 2, 2015</w:t>
            </w:r>
          </w:p>
        </w:tc>
        <w:tc>
          <w:tcPr>
            <w:tcW w:w="100" w:type="dxa"/>
            <w:vAlign w:val="bottom"/>
          </w:tcPr>
          <w:p>
            <w:pPr>
              <w:spacing w:after="0"/>
              <w:rPr>
                <w:sz w:val="13"/>
                <w:szCs w:val="13"/>
                <w:color w:val="auto"/>
              </w:rPr>
            </w:pPr>
          </w:p>
        </w:tc>
      </w:tr>
      <w:tr>
        <w:trPr>
          <w:trHeight w:val="209"/>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(including revenue from founding members</w:t>
            </w: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$7.2, $9.0, $14.5 and $16.7, respectively)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FF0FC"/>
          </w:tcPr>
          <w:p>
            <w:pPr>
              <w:spacing w:after="0"/>
              <w:rPr>
                <w:sz w:val="20"/>
                <w:szCs w:val="20"/>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Advertising operating costs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Theatre access fees—founding members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Merger termination fee and related merger costs</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Administrative and other costs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 fee—managing member</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NON-OPERATING EXPENSES: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Interest on borrowings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1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non-operating expense</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0" w:type="dxa"/>
            <w:vAlign w:val="bottom"/>
            <w:gridSpan w:val="6"/>
          </w:tcPr>
          <w:p>
            <w:pPr>
              <w:ind w:left="52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5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0"/>
              </w:rPr>
              <w:t>June 30, 2016</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4"/>
              </w:rPr>
              <w:t>July 2, 2015</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June 30, 2016</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6"/>
              </w:rPr>
              <w:t>July 2, 2015</w:t>
            </w:r>
          </w:p>
        </w:tc>
        <w:tc>
          <w:tcPr>
            <w:tcW w:w="100" w:type="dxa"/>
            <w:vAlign w:val="bottom"/>
          </w:tcPr>
          <w:p>
            <w:pPr>
              <w:spacing w:after="0"/>
              <w:rPr>
                <w:sz w:val="13"/>
                <w:szCs w:val="13"/>
                <w:color w:val="auto"/>
              </w:rPr>
            </w:pPr>
          </w:p>
        </w:tc>
      </w:tr>
      <w:tr>
        <w:trPr>
          <w:trHeight w:val="209"/>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NET OF TAX OF $0.0, $0.1, $0.1 AND $0.1,</w:t>
            </w:r>
          </w:p>
        </w:tc>
        <w:tc>
          <w:tcPr>
            <w:tcW w:w="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20"/>
                <w:szCs w:val="20"/>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terminated derivatives</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6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June 30, 2016</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July 2, 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share-based compensation</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Impairment on investment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terminated derivatives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Amortization of debt issuance costs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Receivables, net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Amounts due to founding members and managing member</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6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net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Proceeds from borrowings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of borrowings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Payment of debt issuance costs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Founding member integration payments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 settlement for share-based compensation</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Beginning of period</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500"/>
              <w:spacing w:after="0"/>
              <w:rPr>
                <w:sz w:val="20"/>
                <w:szCs w:val="20"/>
                <w:color w:val="auto"/>
              </w:rPr>
            </w:pPr>
            <w:r>
              <w:rPr>
                <w:rFonts w:ascii="Arial" w:cs="Arial" w:eastAsia="Arial" w:hAnsi="Arial"/>
                <w:sz w:val="18"/>
                <w:szCs w:val="18"/>
                <w:color w:val="auto"/>
              </w:rPr>
              <w:t>End of period</w:t>
            </w:r>
          </w:p>
        </w:tc>
        <w:tc>
          <w:tcPr>
            <w:tcW w:w="1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June 30, 2016</w:t>
            </w:r>
          </w:p>
        </w:tc>
        <w:tc>
          <w:tcPr>
            <w:tcW w:w="440" w:type="dxa"/>
            <w:vAlign w:val="bottom"/>
          </w:tcPr>
          <w:p>
            <w:pPr>
              <w:spacing w:after="0"/>
              <w:rPr>
                <w:sz w:val="13"/>
                <w:szCs w:val="13"/>
                <w:color w:val="auto"/>
              </w:rPr>
            </w:pPr>
          </w:p>
        </w:tc>
        <w:tc>
          <w:tcPr>
            <w:tcW w:w="118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w w:val="88"/>
              </w:rPr>
              <w:t>July 2, 2015</w:t>
            </w:r>
          </w:p>
        </w:tc>
        <w:tc>
          <w:tcPr>
            <w:tcW w:w="100" w:type="dxa"/>
            <w:vAlign w:val="bottom"/>
          </w:tcPr>
          <w:p>
            <w:pPr>
              <w:spacing w:after="0"/>
              <w:rPr>
                <w:sz w:val="13"/>
                <w:szCs w:val="13"/>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2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 and managing member</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Increase in cost and equity method 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77"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(approximately 21 years remaining as of June 30, 2016) and certain third-party theatre circuits (known as “network affiliates”) under long-term network affiliate agreements, which have terms from three to twenty years.</w:t>
      </w:r>
    </w:p>
    <w:p>
      <w:pPr>
        <w:spacing w:after="0" w:line="125" w:lineRule="exact"/>
        <w:rPr>
          <w:sz w:val="20"/>
          <w:szCs w:val="20"/>
          <w:color w:val="auto"/>
        </w:rPr>
      </w:pPr>
    </w:p>
    <w:p>
      <w:pPr>
        <w:jc w:val="both"/>
        <w:ind w:right="140" w:firstLine="555"/>
        <w:spacing w:after="0" w:line="286" w:lineRule="auto"/>
        <w:rPr>
          <w:sz w:val="20"/>
          <w:szCs w:val="20"/>
          <w:color w:val="auto"/>
        </w:rPr>
      </w:pPr>
      <w:r>
        <w:rPr>
          <w:rFonts w:ascii="Arial" w:cs="Arial" w:eastAsia="Arial" w:hAnsi="Arial"/>
          <w:sz w:val="17"/>
          <w:szCs w:val="17"/>
          <w:color w:val="auto"/>
        </w:rPr>
        <w:t>As of June 30, 2016, NCM LLC had 137,156,732 common membership units outstanding, of which 59,836,399 (43.6%) were owned by NCM, Inc., 27,072,701 (19.8%) were owned by Regal, 26,384,644 (19.2%) were owned by Cinemark and 23,862,988 (17.4%) were owned by AMC. The membership units held by the founding members are exchangeable into NCM, Inc. common stock on a one-for-one basis.</w:t>
      </w:r>
    </w:p>
    <w:p>
      <w:pPr>
        <w:spacing w:after="0" w:line="9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On May 5, 2014, NCM, Inc. entered into an Agreement and Plan of Merger (the “Merger Agreement”) to merge with Screenvision, LLC (“Screenvision”). On November 3, 2014, the Department of Justice filed a lawsuit seeking to enjoin the merger. On March 16, 2015, NCM, Inc. announced the termination of the Merger Agreement and the lawsuit was dismissed. After the Merger Agreement was terminated, NCM LLC reimbursed NCM, Inc. for certain expenses pursuant to an indemnification agreement among NCM LLC, NCM, Inc. and the founding members. On March 17, 2015, the Company paid Screenvision an approximate $26.8 million termination payment on behalf of NCM, Inc. During the six months ended July 2, 2015, the Company also either paid directly or reimbursed NCM, Inc. for the legal and other merger-related costs of approximately $15.0 million ($7.5 million incurred by NCM, Inc. during the year ended January 1, 2015 and approximately $7.5 million incurred by NCM LLC during the six months ended July 2, 2015). NCM, Inc. and the founding members each bore a pro rata portion of the merger termination fee and the related merger expenses based on their aggregate ownership percentages in NCM LLC when the expenses were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31, 2015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31, 2015.</w:t>
      </w:r>
    </w:p>
    <w:p>
      <w:pPr>
        <w:spacing w:after="0" w:line="111"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9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760" w:firstLine="555"/>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31, 2015 contain a complete discussion of the Company’s significant accounting policies. Following is additional information related to the Company’s accounting policies.</w:t>
      </w:r>
    </w:p>
    <w:p>
      <w:pPr>
        <w:spacing w:after="0" w:line="124" w:lineRule="exact"/>
        <w:rPr>
          <w:sz w:val="20"/>
          <w:szCs w:val="20"/>
          <w:color w:val="auto"/>
        </w:rPr>
      </w:pPr>
    </w:p>
    <w:p>
      <w:pPr>
        <w:ind w:right="140" w:firstLine="555"/>
        <w:spacing w:after="0" w:line="290"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June 30, 2016 and December 31, 2015, there were no advertising agency groups or individual customers through which the Company sources national advertising revenue representing more than 10% of the Company’s outstanding gross receivable balance. During the three and six months ended June 30, 2016 and July 2, 2015, there were no customers that accounted for more than 10% of revenue.</w:t>
      </w:r>
    </w:p>
    <w:p>
      <w:pPr>
        <w:spacing w:after="0" w:line="166"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management services agreement between NCM LLC and NCM, Inc. provides that NCM LLC may participate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2015 and 2016,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June 30, 2016 and July 2, 2015 and six months ended June 30, 2016 and July 2, 2015, NCM, Inc. acquired 15,922, 67,993, 597,245 and 261,112 units, respectively, due to the vesting of restricted stock and restricted stock units and exercise of stock options and contributed $0.0 million, $0.7 million, $0.3 million and $1.1 million to NCM LLC for the three months ended June 30, 2016 and July 2, 2015 and the six months ended June 30, 2016 and July 2, 2015,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2015-01, </w:t>
      </w:r>
      <w:r>
        <w:rPr>
          <w:rFonts w:ascii="Arial" w:cs="Arial" w:eastAsia="Arial" w:hAnsi="Arial"/>
          <w:sz w:val="17"/>
          <w:szCs w:val="17"/>
          <w:i w:val="1"/>
          <w:iCs w:val="1"/>
          <w:color w:val="auto"/>
        </w:rPr>
        <w:t>Income Statement Extraordinary and Unusual Items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225-20): Simplifying Income Statement Presentation by Eliminating the Concept of Extraordinary Items </w:t>
      </w:r>
      <w:r>
        <w:rPr>
          <w:rFonts w:ascii="Arial" w:cs="Arial" w:eastAsia="Arial" w:hAnsi="Arial"/>
          <w:sz w:val="17"/>
          <w:szCs w:val="17"/>
          <w:color w:val="auto"/>
        </w:rPr>
        <w:t>(“ASU 2015-01”) on a prospective basis,</w:t>
      </w:r>
      <w:r>
        <w:rPr>
          <w:rFonts w:ascii="Arial" w:cs="Arial" w:eastAsia="Arial" w:hAnsi="Arial"/>
          <w:sz w:val="17"/>
          <w:szCs w:val="17"/>
          <w:i w:val="1"/>
          <w:iCs w:val="1"/>
          <w:color w:val="auto"/>
        </w:rPr>
        <w:t xml:space="preserve"> </w:t>
      </w:r>
      <w:r>
        <w:rPr>
          <w:rFonts w:ascii="Arial" w:cs="Arial" w:eastAsia="Arial" w:hAnsi="Arial"/>
          <w:sz w:val="17"/>
          <w:szCs w:val="17"/>
          <w:color w:val="auto"/>
        </w:rPr>
        <w:t>which eliminates the concept of 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The adoption of ASU 2015-01 did not have a material impact on the unaudited Condensed Financial Statements or notes thereto.</w:t>
      </w:r>
    </w:p>
    <w:p>
      <w:pPr>
        <w:spacing w:after="0" w:line="178" w:lineRule="exact"/>
        <w:rPr>
          <w:sz w:val="20"/>
          <w:szCs w:val="20"/>
          <w:color w:val="auto"/>
        </w:rPr>
      </w:pPr>
    </w:p>
    <w:p>
      <w:pPr>
        <w:ind w:right="280" w:firstLine="555"/>
        <w:spacing w:after="0" w:line="297" w:lineRule="auto"/>
        <w:rPr>
          <w:sz w:val="20"/>
          <w:szCs w:val="20"/>
          <w:color w:val="auto"/>
        </w:rPr>
      </w:pPr>
      <w:r>
        <w:rPr>
          <w:rFonts w:ascii="Arial" w:cs="Arial" w:eastAsia="Arial" w:hAnsi="Arial"/>
          <w:sz w:val="16"/>
          <w:szCs w:val="16"/>
          <w:color w:val="auto"/>
        </w:rPr>
        <w:t xml:space="preserve">During the first quarter of 2016, the Company adopted Accounting Standards Update 2015-02, </w:t>
      </w:r>
      <w:r>
        <w:rPr>
          <w:rFonts w:ascii="Arial" w:cs="Arial" w:eastAsia="Arial" w:hAnsi="Arial"/>
          <w:sz w:val="16"/>
          <w:szCs w:val="16"/>
          <w:i w:val="1"/>
          <w:iCs w:val="1"/>
          <w:color w:val="auto"/>
        </w:rPr>
        <w:t>Consolidation (Topic 810):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Consolidation Analysis </w:t>
      </w:r>
      <w:r>
        <w:rPr>
          <w:rFonts w:ascii="Arial" w:cs="Arial" w:eastAsia="Arial" w:hAnsi="Arial"/>
          <w:sz w:val="16"/>
          <w:szCs w:val="16"/>
          <w:color w:val="auto"/>
        </w:rPr>
        <w:t>(“ASU 2015-02”) on a prospective basis. ASU 2015-02 amends current consolidation guidance by modifying the evaluation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The adoption of ASU 2015-02 did not have a material impact on the unaudited Condensed Financial Statements or notes thereto.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80" w:firstLine="555"/>
        <w:spacing w:after="0" w:line="287" w:lineRule="auto"/>
        <w:rPr>
          <w:sz w:val="20"/>
          <w:szCs w:val="20"/>
          <w:color w:val="auto"/>
        </w:rPr>
      </w:pPr>
      <w:r>
        <w:rPr>
          <w:rFonts w:ascii="Arial" w:cs="Arial" w:eastAsia="Arial" w:hAnsi="Arial"/>
          <w:sz w:val="16"/>
          <w:szCs w:val="16"/>
          <w:color w:val="auto"/>
        </w:rPr>
        <w:t xml:space="preserve">During the first quarter of 2016, the Company adopted Accounting Standards Update 2015-03, </w:t>
      </w:r>
      <w:r>
        <w:rPr>
          <w:rFonts w:ascii="Arial" w:cs="Arial" w:eastAsia="Arial" w:hAnsi="Arial"/>
          <w:sz w:val="16"/>
          <w:szCs w:val="16"/>
          <w:i w:val="1"/>
          <w:iCs w:val="1"/>
          <w:color w:val="auto"/>
        </w:rPr>
        <w:t>Interest - Imputation of Interest (Subtopic 835-30):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Simplifying the Presentation of Debt Issuance Costs </w:t>
      </w:r>
      <w:r>
        <w:rPr>
          <w:rFonts w:ascii="Arial" w:cs="Arial" w:eastAsia="Arial" w:hAnsi="Arial"/>
          <w:sz w:val="16"/>
          <w:szCs w:val="16"/>
          <w:color w:val="auto"/>
        </w:rPr>
        <w:t>(“ASU 2015-03”) on a retrospective basis, which provides guidance for simplifying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debt issuance costs. ASU 2015-03 requires that debt issuance costs be presented in the balance sheet as a direct deduction from the carrying amount of debt liability, consistent with debt discounts or premiums. The Company also adopted Accounting Standards Update 2015-15,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xml:space="preserve"> (“ASU 2015-15”) on a retrospective basis, which states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reclassified net deferred financing costs related to the Company’s Term Loans, Senior Secured Notes and Senior Unsecured Notes in the Condensed Balance Sheets as a direct deduction from the carrying amount of those borrowings, while net deferred financing costs related to the Company’s Revolving Credit Facility remained an asset in the unaudited Condensed Balance Sheets. Upon adoption of ASU 2015-03 and ASU 2015-15, net deferred financing costs of $10.6 million in the December 31, 2015 unaudited Condensed Balance Sheet were reclassified from an asset to a reduction of the carrying value of long-term debt.</w:t>
      </w:r>
    </w:p>
    <w:p>
      <w:pPr>
        <w:spacing w:after="0" w:line="173" w:lineRule="exact"/>
        <w:rPr>
          <w:sz w:val="20"/>
          <w:szCs w:val="20"/>
          <w:color w:val="auto"/>
        </w:rPr>
      </w:pPr>
    </w:p>
    <w:p>
      <w:pPr>
        <w:ind w:right="220" w:firstLine="555"/>
        <w:spacing w:after="0" w:line="273" w:lineRule="auto"/>
        <w:rPr>
          <w:sz w:val="20"/>
          <w:szCs w:val="20"/>
          <w:color w:val="auto"/>
        </w:rPr>
      </w:pPr>
      <w:r>
        <w:rPr>
          <w:rFonts w:ascii="Arial" w:cs="Arial" w:eastAsia="Arial" w:hAnsi="Arial"/>
          <w:sz w:val="17"/>
          <w:szCs w:val="17"/>
          <w:color w:val="auto"/>
        </w:rPr>
        <w:t xml:space="preserve">During the first quarter of 2016, the Company adopted Accounting Standards Update 2015-05, </w:t>
      </w:r>
      <w:r>
        <w:rPr>
          <w:rFonts w:ascii="Arial" w:cs="Arial" w:eastAsia="Arial" w:hAnsi="Arial"/>
          <w:sz w:val="17"/>
          <w:szCs w:val="17"/>
          <w:i w:val="1"/>
          <w:iCs w:val="1"/>
          <w:color w:val="auto"/>
        </w:rPr>
        <w:t>Intangibles-Goodwill and Other – 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(Subtopic 350-40): Customer’s Accounting for Fees Paid in a Cloud Computing Arrangement </w:t>
      </w:r>
      <w:r>
        <w:rPr>
          <w:rFonts w:ascii="Arial" w:cs="Arial" w:eastAsia="Arial" w:hAnsi="Arial"/>
          <w:sz w:val="17"/>
          <w:szCs w:val="17"/>
          <w:color w:val="auto"/>
        </w:rPr>
        <w:t>(“ASU 2015-05”) on a prospective basis,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guidance on accounting for fees paid by a customer in a cloud computing arrangement.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adoption of ASU 2015-05 did not have a material impact on the unaudited Condensed Financial Statements or notes thereto.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333"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Accounting Standards Update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xml:space="preserve">, which was issued in August 2015, revised the effective date for this standard to annual and interim periods beginning on or after December 15, 2017, with early adoption permitted, but not earlier than the original effective date of annual and interim periods beginning after December 15, 2016, for public entities. Accounting Standards Update 2016-11, </w:t>
      </w:r>
      <w:r>
        <w:rPr>
          <w:rFonts w:ascii="Arial" w:cs="Arial" w:eastAsia="Arial" w:hAnsi="Arial"/>
          <w:sz w:val="17"/>
          <w:szCs w:val="17"/>
          <w:i w:val="1"/>
          <w:iCs w:val="1"/>
          <w:color w:val="auto"/>
        </w:rPr>
        <w:t xml:space="preserve">Revenue Recognition (Topic 605) and Derivatives and Hedging (Topic 815): Rescission of SEC Guidance Because of Accounting Standards Update 2014-09 and 2014-16 Pursuant to Staff Announcements at the March 3, 2016 EITF Meeting, </w:t>
      </w:r>
      <w:r>
        <w:rPr>
          <w:rFonts w:ascii="Arial" w:cs="Arial" w:eastAsia="Arial" w:hAnsi="Arial"/>
          <w:sz w:val="17"/>
          <w:szCs w:val="17"/>
          <w:color w:val="auto"/>
        </w:rPr>
        <w:t>which was issued in May 2016, rescinds several SEC Staff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Announcements that are codified in Topic 605, including, among other items, guidance relating to accounting for shipping and handling fees and freight services. Accounting Standards Update 2016-12, </w:t>
      </w:r>
      <w:r>
        <w:rPr>
          <w:rFonts w:ascii="Arial" w:cs="Arial" w:eastAsia="Arial" w:hAnsi="Arial"/>
          <w:sz w:val="17"/>
          <w:szCs w:val="17"/>
          <w:i w:val="1"/>
          <w:iCs w:val="1"/>
          <w:color w:val="auto"/>
        </w:rPr>
        <w:t>Revenue from Contract with Customers (Topic 606): Narrow-Scope Improvements and Practical Expedients,</w:t>
      </w:r>
      <w:r>
        <w:rPr>
          <w:rFonts w:ascii="Arial" w:cs="Arial" w:eastAsia="Arial" w:hAnsi="Arial"/>
          <w:sz w:val="17"/>
          <w:szCs w:val="17"/>
          <w:color w:val="auto"/>
        </w:rPr>
        <w:t xml:space="preserve"> which was issued in May 2016, provides guidance to reduce the risk of diversity in practice for certain aspects of ASU 2014-09, including collectability, noncash consideration, presentation of sales tax and transition. ASU 2014-09 allows for either a full retrospective or a modified retrospective transition method. The Company is currently evaluating the effect that adopting this guidance will have on the unaudited Condensed Financial Statements or notes thereto, as well as, which transition method it intends to use.</w:t>
      </w:r>
    </w:p>
    <w:p>
      <w:pPr>
        <w:spacing w:after="0" w:line="183"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revises the guidance in ASC 825-10,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and provides guidance for the recognition, measurement, presentation, and disclosure of financial assets and liabilities. The guidance is effective for reporting periods (interim and annual) beginning after December 15, 2017, for public companies. The Company is currently assessing the impact of ASU 2016-01 on the unaudited Condensed Financial Statements or notes thereto.</w:t>
      </w:r>
    </w:p>
    <w:p>
      <w:pPr>
        <w:spacing w:after="0" w:line="188"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 xml:space="preserve">In February 2016, the FASB issued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(“ASU 2016-02”). ASU 2016-02 establishes a right-of-use (“ROU”) model that requires a lessee to record a ROU asset and a lease liability 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assessing the impact of ASU 2016-02 on the unaudited Condensed Financial Statements or notes thereto.</w:t>
      </w:r>
    </w:p>
    <w:p>
      <w:pPr>
        <w:spacing w:after="0" w:line="158"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2016-09, </w:t>
      </w:r>
      <w:r>
        <w:rPr>
          <w:rFonts w:ascii="Arial" w:cs="Arial" w:eastAsia="Arial" w:hAnsi="Arial"/>
          <w:sz w:val="18"/>
          <w:szCs w:val="18"/>
          <w:i w:val="1"/>
          <w:iCs w:val="1"/>
          <w:color w:val="auto"/>
        </w:rPr>
        <w:t>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2016-09”). The updated guidance changes how companies account for certain aspects of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including forfeitures. ASU 2016-09 is effective for fiscal years beginning after December 15, 2017, including interim periods within those fiscal years. The Company is currently evaluating the effect that adopting this guidance will have on the unaudited Condensed Financial Statements or notes thereto.</w:t>
      </w:r>
    </w:p>
    <w:p>
      <w:pPr>
        <w:spacing w:after="0" w:line="18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2016-07, </w:t>
      </w:r>
      <w:r>
        <w:rPr>
          <w:rFonts w:ascii="Arial" w:cs="Arial" w:eastAsia="Arial" w:hAnsi="Arial"/>
          <w:sz w:val="18"/>
          <w:szCs w:val="18"/>
          <w:i w:val="1"/>
          <w:iCs w:val="1"/>
          <w:color w:val="auto"/>
        </w:rPr>
        <w:t>Investments- Equity Method and Joint Ventures: Simplifying the Transition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Equity Method of Accounting </w:t>
      </w:r>
      <w:r>
        <w:rPr>
          <w:rFonts w:ascii="Arial" w:cs="Arial" w:eastAsia="Arial" w:hAnsi="Arial"/>
          <w:sz w:val="18"/>
          <w:szCs w:val="18"/>
          <w:color w:val="auto"/>
        </w:rPr>
        <w:t>(“ASU 2016-07”). ASU 2016-07 eliminates the requirement to apply the equity method of accounting retrospectively when</w:t>
      </w:r>
      <w:r>
        <w:rPr>
          <w:rFonts w:ascii="Arial" w:cs="Arial" w:eastAsia="Arial" w:hAnsi="Arial"/>
          <w:sz w:val="18"/>
          <w:szCs w:val="18"/>
          <w:i w:val="1"/>
          <w:iCs w:val="1"/>
          <w:color w:val="auto"/>
        </w:rPr>
        <w:t xml:space="preserve"> </w:t>
      </w:r>
      <w:r>
        <w:rPr>
          <w:rFonts w:ascii="Arial" w:cs="Arial" w:eastAsia="Arial" w:hAnsi="Arial"/>
          <w:sz w:val="18"/>
          <w:szCs w:val="18"/>
          <w:color w:val="auto"/>
        </w:rPr>
        <w:t>a reporting entity obtains significant influence over a previously held investment. ASU 2016-07 is effective for fiscal years beginning after December 15, 2016, including interim periods within those fiscal years. The adoption of ASU 2016-07 is not expected to have a material effect on the unaudited Condensed Financial Statements or notes thereto.</w:t>
      </w:r>
    </w:p>
    <w:p>
      <w:pPr>
        <w:spacing w:after="0" w:line="188"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November 29, 2020. The Company is currently evaluating the effect that adopting this guidance will have on the unaudited Condensed Financial Statements or notes thereto.</w:t>
      </w:r>
    </w:p>
    <w:p>
      <w:pPr>
        <w:spacing w:after="0" w:line="193"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140" w:firstLine="555"/>
        <w:spacing w:after="0" w:line="273" w:lineRule="auto"/>
        <w:rPr>
          <w:sz w:val="20"/>
          <w:szCs w:val="20"/>
          <w:color w:val="auto"/>
        </w:rPr>
      </w:pPr>
      <w:r>
        <w:rPr>
          <w:rFonts w:ascii="Arial" w:cs="Arial" w:eastAsia="Arial" w:hAnsi="Arial"/>
          <w:sz w:val="17"/>
          <w:szCs w:val="17"/>
          <w:color w:val="auto"/>
        </w:rPr>
        <w:t>In accordance with NCM LLC’s Common Unit Adjustment Agreement with our founding members, on an annual basis the Company determines the amount of common membership units to be issued to or returned by the founding members based on theatre additions or dispositions during the previous year. During the first quarter of 2016 and 2015, the Company issued 1,416,515 and 2,160,915 common membership units to our founding members, respectively, for the rights to exclusive access to the theatre screens and attendees added, net of dispositions by the founding members to NCM LLC’s network during the previous year. The Company recorded a net intangible asset of $21.1 million and $31.4 million during the six months ended June 30, 2016 and July 2, 2015, respectively, as a result of the Common Unit Adjustments.</w:t>
      </w:r>
    </w:p>
    <w:p>
      <w:pPr>
        <w:spacing w:after="0" w:line="178"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adjustment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then they are required to make payments on a quarterly basis in arrears in accordance with certain run-out provisions pursuant to the ESAs (“integration payments”). During the three months ended June 30, 2016 and July 2, 2015 and the six months ended June 30, 2016 and July 2, 2015, the Company recorded a reduction to net intangible assets of $0.7 million, $0.8 million, $0.8 million and $1.1 million, respectively, related to integration payments due from AMC and Cinemark related to their acquisitions of theatres from Rave Cinemas that are encumbered by an existing on-screen advertising agreement with an alternative provider. During the three months ended June 30, 2016 and July 2, 2015 and the six months ended June 30, 2016</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and July 2, 2015, AMC and Cinemark paid a total of $0.1 million, $0.3 million, $1.0 million and $1.1 million, respectively, in integration payments.</w:t>
      </w:r>
    </w:p>
    <w:p>
      <w:pPr>
        <w:spacing w:after="0" w:line="23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34" w:lineRule="exact"/>
        <w:rPr>
          <w:sz w:val="20"/>
          <w:szCs w:val="20"/>
          <w:color w:val="auto"/>
        </w:rPr>
      </w:pPr>
    </w:p>
    <w:p>
      <w:pPr>
        <w:ind w:left="1120" w:right="20" w:hanging="558"/>
        <w:spacing w:after="0" w:line="272" w:lineRule="auto"/>
        <w:tabs>
          <w:tab w:leader="none" w:pos="11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ESAs</w:t>
      </w:r>
      <w:r>
        <w:rPr>
          <w:rFonts w:ascii="Arial" w:cs="Arial" w:eastAsia="Arial" w:hAnsi="Arial"/>
          <w:sz w:val="17"/>
          <w:szCs w:val="17"/>
          <w:color w:val="auto"/>
        </w:rPr>
        <w:t>. 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theatres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use of the lobby entertainment network (“LEN”) and rights to sell and display certain lobby promotions. Further, 30 to 60 seconds of advertising included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sold to the founding members to satisfy the founding members’ on-screen advertising commitments under their beverage concessionaire agreements. In consideration for access to the founding members’ theatres, theatre patrons, the network equipment required to display on-screen and LEN video advertising and the use of theatres for lobby promotions, the founding members receive a monthly theatre access fee.</w:t>
      </w:r>
    </w:p>
    <w:p>
      <w:pPr>
        <w:spacing w:after="0" w:line="64" w:lineRule="exact"/>
        <w:rPr>
          <w:rFonts w:ascii="Arial" w:cs="Arial" w:eastAsia="Arial" w:hAnsi="Arial"/>
          <w:sz w:val="17"/>
          <w:szCs w:val="17"/>
          <w:color w:val="auto"/>
        </w:rPr>
      </w:pPr>
    </w:p>
    <w:p>
      <w:pPr>
        <w:ind w:left="1120" w:right="120" w:hanging="558"/>
        <w:spacing w:after="0" w:line="266" w:lineRule="auto"/>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theatres or sale of theatres that are operated by each founding member and included in the Company’s network.</w:t>
      </w:r>
    </w:p>
    <w:p>
      <w:pPr>
        <w:spacing w:after="0" w:line="68" w:lineRule="exact"/>
        <w:rPr>
          <w:rFonts w:ascii="Arial" w:cs="Arial" w:eastAsia="Arial" w:hAnsi="Arial"/>
          <w:sz w:val="18"/>
          <w:szCs w:val="18"/>
          <w:color w:val="auto"/>
        </w:rPr>
      </w:pPr>
    </w:p>
    <w:p>
      <w:pPr>
        <w:ind w:left="1120" w:right="120" w:hanging="558"/>
        <w:spacing w:after="0" w:line="303" w:lineRule="auto"/>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NCM, Inc.’s IPO, NCM LLC was granted a perpetual, royalty-free license from the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jc w:val="center"/>
        <w:ind w:right="44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Included in the Condensed Statements of Income: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July 2, 2015</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July 2, 2015</w:t>
            </w:r>
          </w:p>
        </w:tc>
        <w:tc>
          <w:tcPr>
            <w:tcW w:w="0" w:type="dxa"/>
            <w:vAlign w:val="bottom"/>
          </w:tcPr>
          <w:p>
            <w:pPr>
              <w:spacing w:after="0"/>
              <w:rPr>
                <w:sz w:val="1"/>
                <w:szCs w:val="1"/>
                <w:color w:val="auto"/>
              </w:rPr>
            </w:pPr>
          </w:p>
        </w:tc>
      </w:tr>
      <w:tr>
        <w:trPr>
          <w:trHeight w:val="171"/>
        </w:trPr>
        <w:tc>
          <w:tcPr>
            <w:tcW w:w="5100" w:type="dxa"/>
            <w:vAlign w:val="bottom"/>
            <w:gridSpan w:val="5"/>
            <w:vMerge w:val="continue"/>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tcBorders>
              <w:top w:val="single" w:sz="8" w:color="CFF0FC"/>
            </w:tcBorders>
            <w:shd w:val="clear" w:color="auto" w:fill="CFF0FC"/>
          </w:tcPr>
          <w:p>
            <w:pPr>
              <w:spacing w:after="0"/>
              <w:rPr>
                <w:sz w:val="15"/>
                <w:szCs w:val="15"/>
                <w:color w:val="auto"/>
              </w:rPr>
            </w:pPr>
          </w:p>
        </w:tc>
        <w:tc>
          <w:tcPr>
            <w:tcW w:w="4860" w:type="dxa"/>
            <w:vAlign w:val="bottom"/>
            <w:tcBorders>
              <w:top w:val="single" w:sz="8" w:color="CFF0FC"/>
            </w:tcBorders>
            <w:gridSpan w:val="4"/>
            <w:shd w:val="clear" w:color="auto" w:fill="CFF0FC"/>
          </w:tcPr>
          <w:p>
            <w:pPr>
              <w:spacing w:after="0" w:line="182" w:lineRule="exact"/>
              <w:rPr>
                <w:sz w:val="20"/>
                <w:szCs w:val="20"/>
                <w:color w:val="auto"/>
              </w:rPr>
            </w:pPr>
            <w:r>
              <w:rPr>
                <w:rFonts w:ascii="Arial" w:cs="Arial" w:eastAsia="Arial" w:hAnsi="Arial"/>
                <w:sz w:val="18"/>
                <w:szCs w:val="18"/>
                <w:color w:val="auto"/>
              </w:rPr>
              <w:t>Revenue:</w:t>
            </w:r>
          </w:p>
        </w:tc>
        <w:tc>
          <w:tcPr>
            <w:tcW w:w="13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860" w:type="dxa"/>
            <w:vAlign w:val="bottom"/>
            <w:gridSpan w:val="4"/>
          </w:tcPr>
          <w:p>
            <w:pPr>
              <w:ind w:left="140"/>
              <w:spacing w:after="0"/>
              <w:rPr>
                <w:sz w:val="20"/>
                <w:szCs w:val="20"/>
                <w:color w:val="auto"/>
              </w:rPr>
            </w:pPr>
            <w:r>
              <w:rPr>
                <w:rFonts w:ascii="Arial" w:cs="Arial" w:eastAsia="Arial" w:hAnsi="Arial"/>
                <w:sz w:val="18"/>
                <w:szCs w:val="18"/>
                <w:color w:val="auto"/>
              </w:rPr>
              <w:t>Beverage concessionaire revenue (included in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860" w:type="dxa"/>
            <w:vAlign w:val="bottom"/>
            <w:gridSpan w:val="4"/>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486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Advertising inventory revenue (included in</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48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(2)</w:t>
            </w: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100" w:type="dxa"/>
            <w:vAlign w:val="bottom"/>
            <w:gridSpan w:val="5"/>
          </w:tcPr>
          <w:p>
            <w:pPr>
              <w:ind w:left="240"/>
              <w:spacing w:after="0" w:line="189" w:lineRule="exact"/>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shd w:val="clear" w:color="auto" w:fill="CFF0FC"/>
          </w:tcPr>
          <w:p>
            <w:pPr>
              <w:spacing w:after="0"/>
              <w:rPr>
                <w:sz w:val="19"/>
                <w:szCs w:val="19"/>
                <w:color w:val="auto"/>
              </w:rPr>
            </w:pPr>
          </w:p>
        </w:tc>
        <w:tc>
          <w:tcPr>
            <w:tcW w:w="486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4860" w:type="dxa"/>
            <w:vAlign w:val="bottom"/>
            <w:gridSpan w:val="4"/>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860" w:type="dxa"/>
            <w:vAlign w:val="bottom"/>
            <w:gridSpan w:val="4"/>
          </w:tcPr>
          <w:p>
            <w:pPr>
              <w:ind w:left="260"/>
              <w:spacing w:after="0"/>
              <w:rPr>
                <w:sz w:val="20"/>
                <w:szCs w:val="20"/>
                <w:color w:val="auto"/>
              </w:rPr>
            </w:pPr>
            <w:r>
              <w:rPr>
                <w:rFonts w:ascii="Arial" w:cs="Arial" w:eastAsia="Arial" w:hAnsi="Arial"/>
                <w:sz w:val="18"/>
                <w:szCs w:val="18"/>
                <w:color w:val="auto"/>
              </w:rPr>
              <w:t>products and rental of theatre space (included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860" w:type="dxa"/>
            <w:vAlign w:val="bottom"/>
            <w:gridSpan w:val="4"/>
          </w:tcPr>
          <w:p>
            <w:pPr>
              <w:ind w:left="26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(4)</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0FC"/>
          </w:tcPr>
          <w:p>
            <w:pPr>
              <w:spacing w:after="0"/>
              <w:rPr>
                <w:sz w:val="18"/>
                <w:szCs w:val="18"/>
                <w:color w:val="auto"/>
              </w:rPr>
            </w:pPr>
          </w:p>
        </w:tc>
        <w:tc>
          <w:tcPr>
            <w:tcW w:w="486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18"/>
                <w:szCs w:val="18"/>
                <w:color w:val="auto"/>
              </w:rPr>
            </w:pPr>
          </w:p>
        </w:tc>
        <w:tc>
          <w:tcPr>
            <w:tcW w:w="48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products and rental of theatre space (included</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0FC"/>
          </w:tcPr>
          <w:p>
            <w:pPr>
              <w:spacing w:after="0"/>
              <w:rPr>
                <w:sz w:val="20"/>
                <w:szCs w:val="20"/>
                <w:color w:val="auto"/>
              </w:rPr>
            </w:pPr>
          </w:p>
        </w:tc>
        <w:tc>
          <w:tcPr>
            <w:tcW w:w="48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in other administrative costs)</w:t>
            </w: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860" w:type="dxa"/>
            <w:vAlign w:val="bottom"/>
            <w:gridSpan w:val="4"/>
          </w:tcPr>
          <w:p>
            <w:pPr>
              <w:ind w:left="14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FF0FC"/>
          </w:tcPr>
          <w:p>
            <w:pPr>
              <w:spacing w:after="0"/>
              <w:rPr>
                <w:sz w:val="16"/>
                <w:szCs w:val="16"/>
                <w:color w:val="auto"/>
              </w:rPr>
            </w:pPr>
          </w:p>
        </w:tc>
        <w:tc>
          <w:tcPr>
            <w:tcW w:w="486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Non-operating expenses:</w:t>
            </w: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860" w:type="dxa"/>
            <w:vAlign w:val="bottom"/>
            <w:gridSpan w:val="4"/>
          </w:tcPr>
          <w:p>
            <w:pPr>
              <w:ind w:left="140"/>
              <w:spacing w:after="0"/>
              <w:rPr>
                <w:sz w:val="20"/>
                <w:szCs w:val="20"/>
                <w:color w:val="auto"/>
              </w:rPr>
            </w:pPr>
            <w:r>
              <w:rPr>
                <w:rFonts w:ascii="Arial" w:cs="Arial" w:eastAsia="Arial" w:hAnsi="Arial"/>
                <w:sz w:val="18"/>
                <w:szCs w:val="18"/>
                <w:color w:val="auto"/>
              </w:rPr>
              <w:t>Interest income from notes receivable (included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860" w:type="dxa"/>
            <w:vAlign w:val="bottom"/>
            <w:gridSpan w:val="4"/>
          </w:tcPr>
          <w:p>
            <w:pPr>
              <w:ind w:left="26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(6)</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hanging="558"/>
        <w:spacing w:after="0" w:line="286" w:lineRule="auto"/>
        <w:tabs>
          <w:tab w:leader="none" w:pos="560" w:val="left"/>
        </w:tabs>
        <w:numPr>
          <w:ilvl w:val="0"/>
          <w:numId w:val="2"/>
        </w:numPr>
        <w:rPr>
          <w:rFonts w:ascii="Arial" w:cs="Arial" w:eastAsia="Arial" w:hAnsi="Arial"/>
          <w:sz w:val="16"/>
          <w:szCs w:val="16"/>
          <w:i w:val="1"/>
          <w:iCs w:val="1"/>
          <w:color w:val="auto"/>
        </w:rPr>
      </w:pPr>
      <w:r>
        <w:rPr>
          <w:rFonts w:ascii="Arial" w:cs="Arial" w:eastAsia="Arial" w:hAnsi="Arial"/>
          <w:sz w:val="16"/>
          <w:szCs w:val="16"/>
          <w:color w:val="auto"/>
        </w:rPr>
        <w:t>For the six months ended June 30, 2016,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 For the three and six months ended July 2, 2015 all the founding members purchased 60 seconds of on-screen advertising time.</w:t>
      </w:r>
    </w:p>
    <w:p>
      <w:pPr>
        <w:spacing w:after="0" w:line="1" w:lineRule="exact"/>
        <w:rPr>
          <w:rFonts w:ascii="Arial" w:cs="Arial" w:eastAsia="Arial" w:hAnsi="Arial"/>
          <w:sz w:val="16"/>
          <w:szCs w:val="16"/>
          <w:i w:val="1"/>
          <w:iCs w:val="1"/>
          <w:color w:val="auto"/>
        </w:rPr>
      </w:pPr>
    </w:p>
    <w:p>
      <w:pPr>
        <w:ind w:left="560" w:hanging="558"/>
        <w:spacing w:after="0"/>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560" w:right="260" w:hanging="558"/>
        <w:spacing w:after="0" w:line="250"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and payments per digital screen with respect to the founding member theatres included in the Company’s network, including payments for access to higher quality digital cinema equipment.</w:t>
      </w:r>
    </w:p>
    <w:p>
      <w:pPr>
        <w:ind w:left="560" w:hanging="558"/>
        <w:spacing w:after="0"/>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60" w:right="80" w:hanging="558"/>
        <w:spacing w:after="0" w:line="250"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Chief Executive Officer, President,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560" w:right="40" w:hanging="558"/>
        <w:spacing w:after="0" w:line="253" w:lineRule="auto"/>
        <w:tabs>
          <w:tab w:leader="none" w:pos="5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-2484755</wp:posOffset>
            </wp:positionV>
            <wp:extent cx="17151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40"/>
          </w:cols>
          <w:pgMar w:left="800" w:top="121"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960" w:type="dxa"/>
            <w:vAlign w:val="bottom"/>
          </w:tcPr>
          <w:p>
            <w:pPr>
              <w:jc w:val="center"/>
              <w:ind w:left="368"/>
              <w:spacing w:after="0" w:line="133" w:lineRule="exact"/>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080" w:type="dxa"/>
            <w:vAlign w:val="bottom"/>
            <w:tcBorders>
              <w:bottom w:val="single" w:sz="8" w:color="CFF0FC"/>
            </w:tcBorders>
            <w:vMerge w:val="continue"/>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(1)</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(1)</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(1)</w:t>
            </w:r>
          </w:p>
        </w:tc>
        <w:tc>
          <w:tcPr>
            <w:tcW w:w="9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unit adjustments and integration payments, net of</w:t>
            </w: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amortization (included in intangible assets) </w:t>
            </w:r>
            <w:r>
              <w:rPr>
                <w:rFonts w:ascii="Arial" w:cs="Arial" w:eastAsia="Arial" w:hAnsi="Arial"/>
                <w:sz w:val="18"/>
                <w:szCs w:val="18"/>
                <w:i w:val="1"/>
                <w:iCs w:val="1"/>
                <w:color w:val="auto"/>
              </w:rPr>
              <w:t>(3)</w:t>
            </w:r>
          </w:p>
        </w:tc>
        <w:tc>
          <w:tcPr>
            <w:tcW w:w="9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544.0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i w:val="1"/>
          <w:iCs w:val="1"/>
          <w:color w:val="auto"/>
        </w:rPr>
      </w:pPr>
    </w:p>
    <w:p>
      <w:pPr>
        <w:ind w:left="1120" w:right="160" w:hanging="558"/>
        <w:spacing w:after="0" w:line="250" w:lineRule="auto"/>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1" w:lineRule="exact"/>
        <w:rPr>
          <w:rFonts w:ascii="Arial" w:cs="Arial" w:eastAsia="Arial" w:hAnsi="Arial"/>
          <w:sz w:val="18"/>
          <w:szCs w:val="18"/>
          <w:i w:val="1"/>
          <w:iCs w:val="1"/>
          <w:color w:val="auto"/>
        </w:rPr>
      </w:pPr>
    </w:p>
    <w:p>
      <w:pPr>
        <w:ind w:left="1120" w:hanging="558"/>
        <w:spacing w:after="0"/>
        <w:tabs>
          <w:tab w:leader="none" w:pos="11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-825500</wp:posOffset>
            </wp:positionV>
            <wp:extent cx="13633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16, 2015, NCM, Inc. announced the termination of the Merger Agreement with Screenvision. After the Merger Agreement was terminated,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NCM LLC reimbursed NCM, Inc. for certain expenses pursuant to an indemnification agreement among NCM LLC, NCM, Inc. and the founding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members. On March 17, 2015, the Company paid Screenvision an approximate $26.8 million termination payment on behalf of NCM, Inc. During the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July 2, 2015, the Company also either paid directly or reimbursed NCM, Inc. for the legal and other merger-related costs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($7.5 million incurred by NCM, Inc. during the year ended January 1, 2015 and approximately $7.5 million incurred by NCM LLC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July 2, 2015). NCM, Inc. and the founding members each bore a pro rata portion of the termination fee and the related merger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their aggregate ownership percentages in NCM LLC when the expenses were incurred.</w:t>
      </w:r>
    </w:p>
    <w:p>
      <w:pPr>
        <w:spacing w:after="0" w:line="211" w:lineRule="exact"/>
        <w:rPr>
          <w:sz w:val="20"/>
          <w:szCs w:val="20"/>
          <w:color w:val="auto"/>
        </w:rPr>
      </w:pPr>
    </w:p>
    <w:p>
      <w:pPr>
        <w:ind w:right="14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six months ended June 30, 2016 and July 2, 2015 were as follows (in millions):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ind w:left="78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2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8"/>
              </w:rPr>
              <w:t>June 30, 2016</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July 2, 2015</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June 30, 2016</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July 2, 2015</w:t>
            </w:r>
          </w:p>
        </w:tc>
        <w:tc>
          <w:tcPr>
            <w:tcW w:w="100" w:type="dxa"/>
            <w:vAlign w:val="bottom"/>
          </w:tcPr>
          <w:p>
            <w:pPr>
              <w:spacing w:after="0"/>
              <w:rPr>
                <w:sz w:val="13"/>
                <w:szCs w:val="13"/>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AMC</w:t>
            </w: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Cinemark</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9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r>
      <w:tr>
        <w:trPr>
          <w:trHeight w:val="223"/>
        </w:trPr>
        <w:tc>
          <w:tcPr>
            <w:tcW w:w="290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9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FF0FC"/>
          </w:tcPr>
          <w:p>
            <w:pPr>
              <w:spacing w:after="0"/>
              <w:rPr>
                <w:sz w:val="19"/>
                <w:szCs w:val="19"/>
                <w:color w:val="auto"/>
              </w:rPr>
            </w:pPr>
          </w:p>
        </w:tc>
      </w:tr>
      <w:tr>
        <w:trPr>
          <w:trHeight w:val="223"/>
        </w:trPr>
        <w:tc>
          <w:tcPr>
            <w:tcW w:w="2900" w:type="dxa"/>
            <w:vAlign w:val="bottom"/>
          </w:tcPr>
          <w:p>
            <w:pPr>
              <w:ind w:left="50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Due to the merger termination fee and related merger expenses, the mandatory distributions of available cash by the Company to its founding members and NCM, Inc. for the three months ended April 2, 2015 was calculated as negative $25.5 million ($14.0 million for the founding members and $11.5 million for NCM, Inc.). Therefore, there was no payment made in the second quarter of 2015. Under the terms of the NCM LLC Operating Agreement, this negative amount was netted against the available cash distributions for the second quarter of 2016. The mandatory distributions of available cash by the Company to its founding members for the three months ended June 30, 2016 of $8.8 million (net of the negative available cash from the first quarter of 2015 described above) is included in amounts due to founding members on the unaudited Condensed Balance Sheets as of June 30, 2016 and will be made in the third quarter of 2016. The mandatory distributions of available cash by NCM LLC to its managing member for the three months ended June 30, 2016 of $6.1 million (net of the negative available cash from first quarter of 2015 described above) is included in amounts due from managing member on the unaudited Condensed Balance Sheets as of June 30, 2016 and will be made in the third quarter of 2016.</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June 30, 2016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700" w:type="dxa"/>
            <w:vAlign w:val="bottom"/>
            <w:tcBorders>
              <w:top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Arial" w:cs="Arial" w:eastAsia="Arial" w:hAnsi="Arial"/>
                <w:sz w:val="18"/>
                <w:szCs w:val="18"/>
                <w:color w:val="auto"/>
              </w:rPr>
              <w:t>Total amounts due to founding members</w:t>
            </w:r>
          </w:p>
        </w:tc>
        <w:tc>
          <w:tcPr>
            <w:tcW w:w="70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as of December 31, 2015 were comprised of the following (in millions):</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Cinemark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Regal</w:t>
            </w: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Distributions payable to founding members</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240"/>
              <w:spacing w:after="0"/>
              <w:rPr>
                <w:sz w:val="20"/>
                <w:szCs w:val="20"/>
                <w:color w:val="auto"/>
              </w:rPr>
            </w:pPr>
            <w:r>
              <w:rPr>
                <w:rFonts w:ascii="Arial" w:cs="Arial" w:eastAsia="Arial" w:hAnsi="Arial"/>
                <w:sz w:val="18"/>
                <w:szCs w:val="18"/>
                <w:color w:val="auto"/>
              </w:rPr>
              <w:t>Total amounts due to founding members</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r>
      <w:tr>
        <w:trPr>
          <w:trHeight w:val="20"/>
        </w:trPr>
        <w:tc>
          <w:tcPr>
            <w:tcW w:w="116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600" w:type="dxa"/>
            <w:vAlign w:val="bottom"/>
            <w:gridSpan w:val="7"/>
          </w:tcPr>
          <w:p>
            <w:pPr>
              <w:spacing w:after="0"/>
              <w:rPr>
                <w:sz w:val="20"/>
                <w:szCs w:val="20"/>
                <w:color w:val="auto"/>
              </w:rPr>
            </w:pPr>
            <w:r>
              <w:rPr>
                <w:rFonts w:ascii="Arial" w:cs="Arial" w:eastAsia="Arial" w:hAnsi="Arial"/>
                <w:sz w:val="18"/>
                <w:szCs w:val="18"/>
                <w:color w:val="auto"/>
                <w:w w:val="96"/>
              </w:rPr>
              <w:t>Amounts due to/from managing member were comprised of the following (in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As of</w:t>
            </w: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payable to managing member</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Cost and other reimbursement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3"/>
              </w:rPr>
              <w:t>Total amounts due (from) to managing member</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$1.2 million and $1.2 million as of June 30, 2016 and December 31, 2015, respectively. Equity in earnings from AC JV, LLC was $0.0 million, $0.0 million, $0.0 million and $0.1 million for the three months ended June 30, 2016 and July 2, 2015 and the six months ended June 30, 2016 and July 2, 2015, respectively and is included in non-operating expenses in the unaudited Condensed Statements of Income.</w:t>
      </w:r>
    </w:p>
    <w:p>
      <w:pPr>
        <w:spacing w:after="0" w:line="178"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—NCM LLC enters into network affiliate agreements with network affiliates for NCM LLC to provide in-theatre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18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Company has an agreement with LA Live, an affiliate of The Anschutz Corporation. The Anschutz Corporation is a wholly-owned subsidiary of the Anschutz Company, which is the controlling stockholder of Regal. During the three months ended June 30, 2016 and July 2, 2015 and the six months ended June 30, 2016 and July 2, 2015, there was approximately $0.1 million, $0.0 million, $0.1 million and $0.1 million, respectively, included in advertising operating costs related to LA Live, and there was approximately $0.1 million and $0.1 million of accounts payable with this company as of June 30, 2016 and December 31, 2015, respectively.</w:t>
      </w:r>
    </w:p>
    <w:p>
      <w:pPr>
        <w:spacing w:after="0" w:line="188"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—The Company had an agreement with an interactive media company to sell some of its online inventory. One of NCM, Inc.’s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also a director of this media company. There was approximately $0.0 million and $0.3 million of accounts receivable due from this company as of June 30, 2016 and December 31, 2015,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NCM LLC’s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During the three months ended June 30, 2016 and July 2, 2015 and the six months ended June 30, 2016 and July 2, 2015, NCM LLC</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approximately $0.4 million, $0.5 million, $0.8 million and $0.9 million, respectively, in revenue from AEG Live. As of June 30, 2016 and December 31, 2015, had approximately $0.4 million and $0.4 million, respectively, of accounts receivable from AEG Live.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June 30, 2016 and December 31, 2015 and the significant terms of its borrowing arrangements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Outstanding Balance as of</w:t>
            </w:r>
          </w:p>
        </w:tc>
        <w:tc>
          <w:tcPr>
            <w:tcW w:w="1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33"/>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Borrowings</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4"/>
              <w:spacing w:after="0" w:line="133" w:lineRule="exact"/>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2FA"/>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FF2FA"/>
            </w:tcBorders>
            <w:shd w:val="clear" w:color="auto" w:fill="CFF2FA"/>
          </w:tcPr>
          <w:p>
            <w:pPr>
              <w:spacing w:after="0"/>
              <w:rPr>
                <w:sz w:val="19"/>
                <w:szCs w:val="19"/>
                <w:color w:val="auto"/>
              </w:rPr>
            </w:pPr>
          </w:p>
        </w:tc>
        <w:tc>
          <w:tcPr>
            <w:tcW w:w="220" w:type="dxa"/>
            <w:vAlign w:val="bottom"/>
            <w:tcBorders>
              <w:top w:val="single" w:sz="8" w:color="auto"/>
            </w:tcBorders>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Borders>
              <w:top w:val="single" w:sz="8" w:color="CFF2FA"/>
            </w:tcBorders>
            <w:shd w:val="clear" w:color="auto" w:fill="CFF2FA"/>
          </w:tcPr>
          <w:p>
            <w:pPr>
              <w:spacing w:after="0"/>
              <w:rPr>
                <w:sz w:val="19"/>
                <w:szCs w:val="19"/>
                <w:color w:val="auto"/>
              </w:rPr>
            </w:pPr>
          </w:p>
        </w:tc>
        <w:tc>
          <w:tcPr>
            <w:tcW w:w="17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color w:val="auto"/>
                <w:w w:val="89"/>
              </w:rPr>
              <w:t>November 26, 2019</w:t>
            </w:r>
          </w:p>
        </w:tc>
        <w:tc>
          <w:tcPr>
            <w:tcW w:w="140" w:type="dxa"/>
            <w:vAlign w:val="bottom"/>
            <w:tcBorders>
              <w:top w:val="single" w:sz="8" w:color="CFF2FA"/>
            </w:tcBorders>
            <w:shd w:val="clear" w:color="auto" w:fill="CFF2FA"/>
          </w:tcPr>
          <w:p>
            <w:pPr>
              <w:spacing w:after="0"/>
              <w:rPr>
                <w:sz w:val="19"/>
                <w:szCs w:val="19"/>
                <w:color w:val="auto"/>
              </w:rPr>
            </w:pPr>
          </w:p>
        </w:tc>
        <w:tc>
          <w:tcPr>
            <w:tcW w:w="8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November 26, 2019</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2FA"/>
          </w:tcPr>
          <w:p>
            <w:pPr>
              <w:spacing w:after="0"/>
              <w:rPr>
                <w:sz w:val="20"/>
                <w:szCs w:val="20"/>
                <w:color w:val="auto"/>
              </w:rPr>
            </w:pPr>
            <w:r>
              <w:rPr>
                <w:rFonts w:ascii="Arial" w:cs="Arial" w:eastAsia="Arial" w:hAnsi="Arial"/>
                <w:sz w:val="18"/>
                <w:szCs w:val="18"/>
                <w:color w:val="auto"/>
              </w:rPr>
              <w:t>Senior Unsecured Notes</w:t>
            </w:r>
          </w:p>
        </w:tc>
        <w:tc>
          <w:tcPr>
            <w:tcW w:w="14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2FA"/>
          </w:tcPr>
          <w:p>
            <w:pPr>
              <w:spacing w:after="0"/>
              <w:rPr>
                <w:sz w:val="19"/>
                <w:szCs w:val="19"/>
                <w:color w:val="auto"/>
              </w:rPr>
            </w:pPr>
          </w:p>
        </w:tc>
        <w:tc>
          <w:tcPr>
            <w:tcW w:w="1900" w:type="dxa"/>
            <w:vAlign w:val="bottom"/>
            <w:gridSpan w:val="2"/>
            <w:shd w:val="clear" w:color="auto" w:fill="CFF2FA"/>
          </w:tcPr>
          <w:p>
            <w:pPr>
              <w:jc w:val="center"/>
              <w:ind w:right="160"/>
              <w:spacing w:after="0"/>
              <w:rPr>
                <w:sz w:val="20"/>
                <w:szCs w:val="20"/>
                <w:color w:val="auto"/>
              </w:rPr>
            </w:pPr>
            <w:r>
              <w:rPr>
                <w:rFonts w:ascii="Arial" w:cs="Arial" w:eastAsia="Arial" w:hAnsi="Arial"/>
                <w:sz w:val="18"/>
                <w:szCs w:val="18"/>
                <w:color w:val="auto"/>
                <w:w w:val="91"/>
              </w:rPr>
              <w:t>July 15, 2021</w:t>
            </w:r>
          </w:p>
        </w:tc>
        <w:tc>
          <w:tcPr>
            <w:tcW w:w="860" w:type="dxa"/>
            <w:vAlign w:val="bottom"/>
            <w:shd w:val="clear" w:color="auto" w:fill="CFF2FA"/>
          </w:tcPr>
          <w:p>
            <w:pPr>
              <w:jc w:val="right"/>
              <w:ind w:right="36"/>
              <w:spacing w:after="0"/>
              <w:rPr>
                <w:sz w:val="20"/>
                <w:szCs w:val="20"/>
                <w:color w:val="auto"/>
              </w:rPr>
            </w:pPr>
            <w:r>
              <w:rPr>
                <w:rFonts w:ascii="Arial" w:cs="Arial" w:eastAsia="Arial" w:hAnsi="Arial"/>
                <w:sz w:val="18"/>
                <w:szCs w:val="18"/>
                <w:color w:val="auto"/>
              </w:rPr>
              <w:t>7.875%</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tcBorders>
              <w:bottom w:val="single" w:sz="8" w:color="CFF2F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Borders>
              <w:bottom w:val="single" w:sz="8" w:color="CFF2FA"/>
            </w:tcBorders>
          </w:tcPr>
          <w:p>
            <w:pPr>
              <w:spacing w:after="0"/>
              <w:rPr>
                <w:sz w:val="19"/>
                <w:szCs w:val="19"/>
                <w:color w:val="auto"/>
              </w:rPr>
            </w:pPr>
          </w:p>
        </w:tc>
        <w:tc>
          <w:tcPr>
            <w:tcW w:w="1900" w:type="dxa"/>
            <w:vAlign w:val="bottom"/>
            <w:tcBorders>
              <w:bottom w:val="single" w:sz="8" w:color="CFF2FA"/>
            </w:tcBorders>
            <w:gridSpan w:val="2"/>
          </w:tcPr>
          <w:p>
            <w:pPr>
              <w:jc w:val="center"/>
              <w:ind w:right="160"/>
              <w:spacing w:after="0"/>
              <w:rPr>
                <w:sz w:val="20"/>
                <w:szCs w:val="20"/>
                <w:color w:val="auto"/>
              </w:rPr>
            </w:pPr>
            <w:r>
              <w:rPr>
                <w:rFonts w:ascii="Arial" w:cs="Arial" w:eastAsia="Arial" w:hAnsi="Arial"/>
                <w:sz w:val="18"/>
                <w:szCs w:val="18"/>
                <w:color w:val="auto"/>
                <w:w w:val="95"/>
              </w:rPr>
              <w:t>April 15, 2022</w:t>
            </w:r>
          </w:p>
        </w:tc>
        <w:tc>
          <w:tcPr>
            <w:tcW w:w="860" w:type="dxa"/>
            <w:vAlign w:val="bottom"/>
            <w:tcBorders>
              <w:bottom w:val="single" w:sz="8" w:color="CFF2FA"/>
            </w:tcBorders>
          </w:tcPr>
          <w:p>
            <w:pPr>
              <w:jc w:val="right"/>
              <w:ind w:right="36"/>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Total borrowings</w:t>
            </w:r>
          </w:p>
        </w:tc>
        <w:tc>
          <w:tcPr>
            <w:tcW w:w="140" w:type="dxa"/>
            <w:vAlign w:val="bottom"/>
            <w:shd w:val="clear" w:color="auto" w:fill="CFF2FA"/>
          </w:tcPr>
          <w:p>
            <w:pPr>
              <w:spacing w:after="0"/>
              <w:rPr>
                <w:sz w:val="19"/>
                <w:szCs w:val="19"/>
                <w:color w:val="auto"/>
              </w:rPr>
            </w:pPr>
          </w:p>
        </w:tc>
        <w:tc>
          <w:tcPr>
            <w:tcW w:w="220" w:type="dxa"/>
            <w:vAlign w:val="bottom"/>
            <w:shd w:val="clear" w:color="auto" w:fill="CFF2FA"/>
          </w:tcPr>
          <w:p>
            <w:pPr>
              <w:spacing w:after="0"/>
              <w:rPr>
                <w:sz w:val="19"/>
                <w:szCs w:val="19"/>
                <w:color w:val="auto"/>
              </w:rPr>
            </w:pP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942.0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936.0</w:t>
            </w:r>
          </w:p>
        </w:tc>
        <w:tc>
          <w:tcPr>
            <w:tcW w:w="240" w:type="dxa"/>
            <w:vAlign w:val="bottom"/>
            <w:shd w:val="clear" w:color="auto" w:fill="CFF2FA"/>
          </w:tcPr>
          <w:p>
            <w:pPr>
              <w:spacing w:after="0"/>
              <w:rPr>
                <w:sz w:val="19"/>
                <w:szCs w:val="19"/>
                <w:color w:val="auto"/>
              </w:rPr>
            </w:pPr>
          </w:p>
        </w:tc>
        <w:tc>
          <w:tcPr>
            <w:tcW w:w="17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20"/>
              <w:spacing w:after="0"/>
              <w:rPr>
                <w:sz w:val="20"/>
                <w:szCs w:val="20"/>
                <w:color w:val="auto"/>
              </w:rPr>
            </w:pPr>
            <w:r>
              <w:rPr>
                <w:rFonts w:ascii="Arial" w:cs="Arial" w:eastAsia="Arial" w:hAnsi="Arial"/>
                <w:sz w:val="18"/>
                <w:szCs w:val="18"/>
                <w:color w:val="auto"/>
              </w:rPr>
              <w:t>Less: debt issuance costs related to term</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loans and senior notes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Carrying value of long-term debt</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220" w:type="dxa"/>
            <w:vAlign w:val="bottom"/>
            <w:tcBorders>
              <w:top w:val="single" w:sz="8" w:color="auto"/>
              <w:bottom w:val="single" w:sz="8" w:color="auto"/>
            </w:tcBorders>
            <w:shd w:val="clear" w:color="auto" w:fill="CFF2FA"/>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932.4</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10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925.4</w:t>
            </w:r>
          </w:p>
        </w:tc>
        <w:tc>
          <w:tcPr>
            <w:tcW w:w="240" w:type="dxa"/>
            <w:vAlign w:val="bottom"/>
            <w:tcBorders>
              <w:top w:val="single" w:sz="8" w:color="CFF2FA"/>
              <w:bottom w:val="single" w:sz="8" w:color="CFF2FA"/>
            </w:tcBorders>
            <w:shd w:val="clear" w:color="auto" w:fill="CFF2FA"/>
          </w:tcPr>
          <w:p>
            <w:pPr>
              <w:spacing w:after="0"/>
              <w:rPr>
                <w:sz w:val="19"/>
                <w:szCs w:val="19"/>
                <w:color w:val="auto"/>
              </w:rPr>
            </w:pPr>
          </w:p>
        </w:tc>
        <w:tc>
          <w:tcPr>
            <w:tcW w:w="176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86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-130175</wp:posOffset>
            </wp:positionV>
            <wp:extent cx="17151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June 30, 2016, the Company’s senior secured credit facility consisted of a $175.0 million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a $270.0 million term loan. On May 26, 2016, the Company entered into an incremental amendment of its senior secured credit facility whereby the revolving credit facility was increased by $40.0 million from $135.0 million to $175.0 million.</w:t>
      </w:r>
    </w:p>
    <w:p>
      <w:pPr>
        <w:spacing w:after="0" w:line="181"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As of June 30, 2016, the Company’s total availability under the $175.0 million revolving credit facility was $103.0 million.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The weighted-average interest rate on the outstanding balance on the revolving credit facility as of June 30, 2016 was 2.93%.</w:t>
      </w:r>
    </w:p>
    <w:p>
      <w:pPr>
        <w:spacing w:after="0" w:line="165"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w:t>
      </w:r>
      <w:r>
        <w:rPr>
          <w:rFonts w:ascii="Arial" w:cs="Arial" w:eastAsia="Arial" w:hAnsi="Arial"/>
          <w:sz w:val="18"/>
          <w:szCs w:val="18"/>
          <w:i w:val="1"/>
          <w:iCs w:val="1"/>
          <w:color w:val="auto"/>
        </w:rPr>
        <w:t xml:space="preserve"> </w:t>
      </w:r>
      <w:r>
        <w:rPr>
          <w:rFonts w:ascii="Arial" w:cs="Arial" w:eastAsia="Arial" w:hAnsi="Arial"/>
          <w:sz w:val="18"/>
          <w:szCs w:val="18"/>
          <w:color w:val="auto"/>
        </w:rPr>
        <w:t>(Prime Rate or the Federal Funds Effective Rate, as defined in the senior secured credit facility) plus 1.75%. The weighted-average interest rate on the term loans as of June 30, 2016 was 3.22%. Interest on the term loans is currently paid monthly.</w:t>
      </w:r>
    </w:p>
    <w:p>
      <w:pPr>
        <w:spacing w:after="0" w:line="18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June 30, 2016,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June 30, 2016, the Company’s consolidated net senior secured leverage ratio was 3.5 times (versus the covenant of 6.5 times).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Senior Unsecured Notes due 2021</w:t>
      </w:r>
      <w:r>
        <w:rPr>
          <w:rFonts w:ascii="Arial" w:cs="Arial" w:eastAsia="Arial" w:hAnsi="Arial"/>
          <w:sz w:val="18"/>
          <w:szCs w:val="18"/>
          <w:color w:val="auto"/>
        </w:rPr>
        <w:t>—On July 5, 2011, the Company completed a private placement of $200.0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non-maintenance covenants with which the Company was in compliance as of June 30, 2016.</w:t>
      </w:r>
    </w:p>
    <w:p>
      <w:pPr>
        <w:spacing w:after="0" w:line="193"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July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non-maintenance covenants with which the Company was in compliance as of June 30, 2016.</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170"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twenty years, prior to any renewal periods of which some are at the option of the Company. As of June 30, 2016, the maximum potential amount of future payments the Company could be required to make pursuant to the minimum revenue guarantees is $38.6 million over the remaining terms of the network affiliate agreements, which calculation does not include any potential future extensions. As of June 30, 2016 and December 31, 2015, the Company had no liabilities recorded for these obligations, as such guarantees are less than the expected share of revenue paid to the network affiliate.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right="12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i w:val="1"/>
          <w:iCs w:val="1"/>
          <w:color w:val="auto"/>
        </w:rPr>
        <w:t>Long-Lived Assets, Intangible Assets, Other Investments and Notes Receivable</w:t>
      </w:r>
      <w:r>
        <w:rPr>
          <w:rFonts w:ascii="Arial" w:cs="Arial" w:eastAsia="Arial" w:hAnsi="Arial"/>
          <w:sz w:val="18"/>
          <w:szCs w:val="18"/>
          <w:color w:val="auto"/>
        </w:rPr>
        <w:t>—The Company regularly reviews long-lived assets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intangible assets, investments accounted for under the cost or equity method and notes receivable for impairment whenever events or changes in circumstances indicate that the carrying amounts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the assets may not be fully recoverable. When the estimated fair value is determined to be lower than the carrying value of the asset, an impairment charge is recorded to write the asset down to its estimated fair value.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4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20" w:hanging="553"/>
        <w:spacing w:after="0"/>
        <w:tabs>
          <w:tab w:leader="none" w:pos="20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jc w:val="both"/>
        <w:ind w:left="2020" w:right="60" w:hanging="553"/>
        <w:spacing w:after="0" w:line="255" w:lineRule="auto"/>
        <w:tabs>
          <w:tab w:leader="none" w:pos="20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-563880</wp:posOffset>
            </wp:positionV>
            <wp:extent cx="11322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170"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During the three and six months ended June 30, 2016, the Company recorded an other-than-temporary impairment charge of $0.7 million and $0.7 million, respectively. This impairment charge brought the investment to a remaining value of $0.0 million. The fair value of the other investments has not been estimated as of June 30, 2016 and December 31, 2015 as there were no identified events or changes in the circumstances that had a significant adverse effect on the fair value of those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193"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As of June 30, 2016 and December 31, 2015, the Company had notes receivable totaling $16.7 million and $16.7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88" w:lineRule="exact"/>
        <w:rPr>
          <w:sz w:val="20"/>
          <w:szCs w:val="20"/>
          <w:color w:val="auto"/>
        </w:rPr>
      </w:pPr>
    </w:p>
    <w:p>
      <w:pPr>
        <w:ind w:right="8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As of June 30,</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7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7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i w:val="1"/>
                <w:iCs w:val="1"/>
                <w:color w:val="auto"/>
                <w:w w:val="92"/>
              </w:rPr>
              <w:t>(1)</w:t>
            </w: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i w:val="1"/>
                <w:iCs w:val="1"/>
                <w:color w:val="auto"/>
                <w:w w:val="92"/>
              </w:rPr>
              <w:t>(1)</w:t>
            </w: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Senior Unsecured Notes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208.4</w:t>
            </w:r>
          </w:p>
        </w:tc>
        <w:tc>
          <w:tcPr>
            <w:tcW w:w="60" w:type="dxa"/>
            <w:vAlign w:val="bottom"/>
          </w:tcPr>
          <w:p>
            <w:pPr>
              <w:spacing w:after="0"/>
              <w:rPr>
                <w:sz w:val="19"/>
                <w:szCs w:val="19"/>
                <w:color w:val="auto"/>
              </w:rPr>
            </w:pPr>
          </w:p>
        </w:tc>
      </w:tr>
      <w:tr>
        <w:trPr>
          <w:trHeight w:val="230"/>
        </w:trPr>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Notes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60" w:type="dxa"/>
            <w:vAlign w:val="bottom"/>
            <w:shd w:val="clear" w:color="auto" w:fill="CFF0FC"/>
          </w:tcPr>
          <w:p>
            <w:pPr>
              <w:spacing w:after="0"/>
              <w:rPr>
                <w:sz w:val="19"/>
                <w:szCs w:val="19"/>
                <w:color w:val="auto"/>
              </w:rPr>
            </w:pPr>
          </w:p>
        </w:tc>
      </w:tr>
    </w:tbl>
    <w:p>
      <w:pPr>
        <w:spacing w:after="0" w:line="148" w:lineRule="exact"/>
        <w:rPr>
          <w:sz w:val="20"/>
          <w:szCs w:val="20"/>
          <w:color w:val="auto"/>
        </w:rPr>
      </w:pPr>
    </w:p>
    <w:p>
      <w:pPr>
        <w:ind w:left="2260" w:right="140" w:hanging="550"/>
        <w:spacing w:after="0" w:line="264" w:lineRule="auto"/>
        <w:tabs>
          <w:tab w:leader="none" w:pos="2260" w:val="left"/>
        </w:tabs>
        <w:numPr>
          <w:ilvl w:val="1"/>
          <w:numId w:val="6"/>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366" w:lineRule="exact"/>
        <w:rPr>
          <w:rFonts w:ascii="Arial" w:cs="Arial" w:eastAsia="Arial" w:hAnsi="Arial"/>
          <w:sz w:val="18"/>
          <w:szCs w:val="18"/>
          <w:i w:val="1"/>
          <w:iCs w:val="1"/>
          <w:color w:val="auto"/>
        </w:rPr>
      </w:pPr>
    </w:p>
    <w:p>
      <w:pPr>
        <w:ind w:left="220" w:hanging="185"/>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-796925</wp:posOffset>
            </wp:positionV>
            <wp:extent cx="6261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2012, the Company terminated interest rate swap agreements that were used to hedge its interest rate risk associated with its term</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loan. Following the termination of the swap agreements, the variable interest rate on the Company’s $270.0 million term loan is unhedged and as of June 30, 2016 and December 31, 2015, the Company did not have any outstanding derivative assets or liabilities.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 xml:space="preserve">A portion of the breakage fees paid to terminate the swap agreements was for swaps in which the underlying debt remained outstanding. The balance in AOCI related to these swaps was fixed and was amortized into earnings over the remaining period during which interest payments were hedged, or February 13, 2015.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June 30, 2016, there were no amounts outstanding related to these discontinued cash flow hedges.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AOCI by component for the six months ended June 30, 2016 and July 2, 2015 were as follows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20" w:type="dxa"/>
            <w:vAlign w:val="bottom"/>
            <w:tcBorders>
              <w:bottom w:val="single" w:sz="8" w:color="auto"/>
            </w:tcBorders>
            <w:gridSpan w:val="5"/>
          </w:tcPr>
          <w:p>
            <w:pPr>
              <w:jc w:val="right"/>
              <w:ind w:right="483"/>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July 2, 2015</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3"/>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1"/>
              </w:rPr>
              <w:t>(1.6)</w:t>
            </w: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Amounts reclassified from AOCI:</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on discontinued cash flow</w:t>
            </w:r>
          </w:p>
        </w:tc>
        <w:tc>
          <w:tcPr>
            <w:tcW w:w="5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Amortization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hedges</w:t>
            </w:r>
          </w:p>
        </w:tc>
        <w:tc>
          <w:tcPr>
            <w:tcW w:w="5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terminated derivatives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amounts reclassified from AOCI</w:t>
            </w:r>
          </w:p>
        </w:tc>
        <w:tc>
          <w:tcPr>
            <w:tcW w:w="54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other comprehensive income</w:t>
            </w:r>
          </w:p>
        </w:tc>
        <w:tc>
          <w:tcPr>
            <w:tcW w:w="5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54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3"/>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in our annual report on Form 10-K for the Company’s fiscal year ended December 31, 2015.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December 31,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 xml:space="preserve">We operate the largest digital in-theatre video advertising network in North America, through which we distribute national and local advertising that we have sold on theatre screens and video screens in theatre lobbies. We also sell theatre lobby promotions and online and mobile advertising that are displayed on our and other company websites and mobile sites and apps. Our revenue is principally derived from advertising distributed to our founding member theatres in accordance with long-term ESAs (approximately 21 years remaining as of June 30, 2016) and to network affiliates in accordance with multi-year agreements, which expire at various dates through July 22, 2031. The weighted average remaining term (based on attendance) of the ESAs and the network affiliate agreements is 18.5 years as of June 30, 2016. The ESAs with the founding members and network affiliate agreements grant us exclusive rights in their theatres to sell advertising, subject to limited exceptions. Our advertising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and LEN programming are distributed predominantly via satellite through our proprietary DCN. Approximately 99% of the aggregate founding member and network affiliate theatre attendance is generated by theatres connected to our DCN (the remaining 410 screens receive advertisements on USB drives) and 100%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projected on digital projectors (90% digital cinema projectors and 10% LCD projectors).</w:t>
      </w:r>
    </w:p>
    <w:p>
      <w:pPr>
        <w:spacing w:after="0" w:line="17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and local and regional and total advertising revenue per attendee. We also monitor free cash flow, the dividend coverage ratio, financial leverage (net debt divided by Adjusted OIBDA), cash balances and revolving credit facility availability to ensure debt covenant compliance and that there is adequate cash availability to fund our working capital needs and debt obligations and current and future dividends declared by our Board of Directors.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May 5, 2014, NCM, Inc. entered into the Merger Agreement to merge with Screenvision, which was terminated on March 16, 2015. After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Merger Agreement was terminated, NCM LLC reimbursed, or paid on behalf of, NCM, Inc. for certain expenses, including an approximate $26.8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termination payment to Screenvision pursuant to an indemnification agreement among NCM LLC, NCM, Inc. and the founding members. During the six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July 2, 2015, the Company also either paid directly or reimbursed NCM, Inc. for the legal and other merger-related costs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($7.5 million incurred by NCM, Inc. during the year ended January 1, 2015 and approximately $7.5 million incurred by NCM LLC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July 2, 2015). NCM, Inc. and the founding members each bore a pro rata portion of the termination fee and the related merger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their aggregate ownership percentages in NCM LLC when the expenses were incurred.</w:t>
      </w:r>
    </w:p>
    <w:p>
      <w:pPr>
        <w:spacing w:after="0" w:line="211"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2, 2016 for the Company’s fiscal year ended December 31, 2015.</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June 30, 2016</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July 2, 2015</w:t>
            </w:r>
          </w:p>
        </w:tc>
        <w:tc>
          <w:tcPr>
            <w:tcW w:w="22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June 30, 2016</w:t>
            </w:r>
          </w:p>
        </w:tc>
        <w:tc>
          <w:tcPr>
            <w:tcW w:w="280" w:type="dxa"/>
            <w:vAlign w:val="bottom"/>
            <w:vMerge w:val="restart"/>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July 2, 2015</w:t>
            </w:r>
          </w:p>
        </w:tc>
        <w:tc>
          <w:tcPr>
            <w:tcW w:w="280" w:type="dxa"/>
            <w:vAlign w:val="bottom"/>
            <w:vMerge w:val="restart"/>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Q2 2016 to</w:t>
            </w:r>
          </w:p>
        </w:tc>
        <w:tc>
          <w:tcPr>
            <w:tcW w:w="960" w:type="dxa"/>
            <w:vAlign w:val="bottom"/>
          </w:tcPr>
          <w:p>
            <w:pPr>
              <w:jc w:val="right"/>
              <w:ind w:right="13"/>
              <w:spacing w:after="0" w:line="133" w:lineRule="exact"/>
              <w:rPr>
                <w:sz w:val="20"/>
                <w:szCs w:val="20"/>
                <w:color w:val="auto"/>
              </w:rPr>
            </w:pPr>
            <w:r>
              <w:rPr>
                <w:rFonts w:ascii="Arial" w:cs="Arial" w:eastAsia="Arial" w:hAnsi="Arial"/>
                <w:sz w:val="14"/>
                <w:szCs w:val="14"/>
                <w:b w:val="1"/>
                <w:bCs w:val="1"/>
                <w:color w:val="auto"/>
              </w:rPr>
              <w:t>YTD 2016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2015</w:t>
            </w:r>
          </w:p>
        </w:tc>
        <w:tc>
          <w:tcPr>
            <w:tcW w:w="3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YTD 2015</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198.4</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Network, administrative and unallocated</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360"/>
              <w:spacing w:after="0"/>
              <w:rPr>
                <w:sz w:val="20"/>
                <w:szCs w:val="20"/>
                <w:color w:val="auto"/>
              </w:rPr>
            </w:pPr>
            <w:r>
              <w:rPr>
                <w:rFonts w:ascii="Arial" w:cs="Arial" w:eastAsia="Arial" w:hAnsi="Arial"/>
                <w:sz w:val="18"/>
                <w:szCs w:val="18"/>
                <w:color w:val="auto"/>
              </w:rPr>
              <w:t>costs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Merger termination fee and related merger</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costs </w:t>
            </w:r>
            <w:r>
              <w:rPr>
                <w:rFonts w:ascii="Arial" w:cs="Arial" w:eastAsia="Arial" w:hAnsi="Arial"/>
                <w:sz w:val="18"/>
                <w:szCs w:val="18"/>
                <w:i w:val="1"/>
                <w:iCs w:val="1"/>
                <w:color w:val="auto"/>
              </w:rPr>
              <w:t>(1)</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2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167.2</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4.2%</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Non-operating expenses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(21.7%)</w:t>
            </w:r>
          </w:p>
        </w:tc>
        <w:tc>
          <w:tcPr>
            <w:tcW w:w="118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Adjusted OIBDA</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9"/>
                <w:szCs w:val="19"/>
                <w:color w:val="auto"/>
              </w:rPr>
            </w:pPr>
          </w:p>
        </w:tc>
        <w:tc>
          <w:tcPr>
            <w:tcW w:w="32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9"/>
                <w:szCs w:val="19"/>
                <w:color w:val="auto"/>
              </w:rPr>
            </w:pP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95.1</w:t>
            </w:r>
          </w:p>
        </w:tc>
        <w:tc>
          <w:tcPr>
            <w:tcW w:w="2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Adjusted OIBDA margin</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43.5%</w:t>
            </w:r>
          </w:p>
        </w:tc>
        <w:tc>
          <w:tcPr>
            <w:tcW w:w="4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47.9%</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353.2</w:t>
            </w: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-130175</wp:posOffset>
            </wp:positionV>
            <wp:extent cx="17151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 w:lineRule="exact"/>
        <w:rPr>
          <w:sz w:val="20"/>
          <w:szCs w:val="20"/>
          <w:color w:val="auto"/>
        </w:rPr>
      </w:pPr>
    </w:p>
    <w:p>
      <w:pPr>
        <w:ind w:left="560" w:right="740" w:hanging="552"/>
        <w:spacing w:after="0" w:line="250" w:lineRule="auto"/>
        <w:tabs>
          <w:tab w:leader="none" w:pos="5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560" w:right="240" w:hanging="552"/>
        <w:spacing w:after="0" w:line="261" w:lineRule="auto"/>
        <w:tabs>
          <w:tab w:leader="none" w:pos="5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Rave and Cinemark Rave theatres that are currently part of another cinema advertising network for all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555"/>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the merger termination fee and related merger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terminated merger with Screenvision, or costs associated with the resignation of the company’s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left="5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June 30,</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53"/>
              <w:spacing w:after="0" w:line="133" w:lineRule="exact"/>
              <w:rPr>
                <w:sz w:val="20"/>
                <w:szCs w:val="20"/>
                <w:color w:val="auto"/>
              </w:rPr>
            </w:pPr>
            <w:r>
              <w:rPr>
                <w:rFonts w:ascii="Arial" w:cs="Arial" w:eastAsia="Arial" w:hAnsi="Arial"/>
                <w:sz w:val="14"/>
                <w:szCs w:val="14"/>
                <w:b w:val="1"/>
                <w:bCs w:val="1"/>
                <w:color w:val="auto"/>
              </w:rPr>
              <w:t>July 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w w:val="99"/>
              </w:rPr>
              <w:t>June 30,</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3"/>
              <w:spacing w:after="0" w:line="133" w:lineRule="exact"/>
              <w:rPr>
                <w:sz w:val="20"/>
                <w:szCs w:val="20"/>
                <w:color w:val="auto"/>
              </w:rPr>
            </w:pPr>
            <w:r>
              <w:rPr>
                <w:rFonts w:ascii="Arial" w:cs="Arial" w:eastAsia="Arial" w:hAnsi="Arial"/>
                <w:sz w:val="14"/>
                <w:szCs w:val="14"/>
                <w:b w:val="1"/>
                <w:bCs w:val="1"/>
                <w:color w:val="auto"/>
              </w:rPr>
              <w:t>July 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0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OIBDA</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(2)</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(3)</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Adjusted OIBDA</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Adjusted OIBDA margin</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right="180" w:hanging="558"/>
        <w:spacing w:after="0" w:line="268" w:lineRule="auto"/>
        <w:tabs>
          <w:tab w:leader="none" w:pos="1120"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$2.5 million, $1.7 million, $5.4 million and $3.4 million for the three months ended June 30, 2016 and July 2, 2015 and the six months ended June 30, 2016 and July 2, 2015, respectively.</w:t>
      </w:r>
    </w:p>
    <w:p>
      <w:pPr>
        <w:spacing w:after="0" w:line="3" w:lineRule="exact"/>
        <w:rPr>
          <w:rFonts w:ascii="Arial" w:cs="Arial" w:eastAsia="Arial" w:hAnsi="Arial"/>
          <w:sz w:val="17"/>
          <w:szCs w:val="17"/>
          <w:i w:val="1"/>
          <w:iCs w:val="1"/>
          <w:color w:val="auto"/>
        </w:rPr>
      </w:pPr>
    </w:p>
    <w:p>
      <w:pPr>
        <w:ind w:left="1120" w:right="160" w:hanging="558"/>
        <w:spacing w:after="0" w:line="250" w:lineRule="auto"/>
        <w:tabs>
          <w:tab w:leader="none" w:pos="112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1120" w:right="400" w:hanging="558"/>
        <w:spacing w:after="0" w:line="261" w:lineRule="auto"/>
        <w:tabs>
          <w:tab w:leader="none" w:pos="112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severance, consulting and other costs and are primarily included in administrative fee – managing member in the accompanying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-1254125</wp:posOffset>
            </wp:positionV>
            <wp:extent cx="13633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4"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The Company has also presented total operating expenses before the merger termination fee and related merger costs within its results of operations section below which is not a financial measure calculated in accordance with GAAP in the United States. Operating expenses before the merger termination fee and related merger costs represent operating costs less costs associated with the terminated Screenvision merger. This non-GAAP financial measure is used to provide readers a comparison of our 2016 results to our 2015 results without including the impact of the nonrecurring merger termination fee and related merger costs. The Company believes this is an important supplemental measure because it eliminates these nonrecurring costs to highlight trends in its ongoing business that may not otherwise be apparent when relying solely on GAAP financial measures. Operating expenses 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results of operations data for the three and six months ended June 30, 2016 and July 2, 2015 was derived from the unaudited Condensed Financial Statements and accounting records of NCM LLC and should be read in conjunction with the notes thereto.</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2016 and July 2, 2015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decreased 5.0%, from $121.5 million for the three months ended July 2, 2015 to $115.4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The following is a summary of revenue by category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8"/>
              <w:spacing w:after="0" w:line="133"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96"/>
              <w:spacing w:after="0" w:line="13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Q2 2016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Q2 2015</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concessionaire agreements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115.4</w:t>
            </w:r>
          </w:p>
        </w:tc>
        <w:tc>
          <w:tcPr>
            <w:tcW w:w="22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data on theatre attendance and revenue per attendee for the three months ended June 30, 2016 and July 2, 2015:</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77"/>
              <w:spacing w:after="0" w:line="133"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35"/>
              <w:spacing w:after="0" w:line="133" w:lineRule="exact"/>
              <w:rPr>
                <w:sz w:val="20"/>
                <w:szCs w:val="20"/>
                <w:color w:val="auto"/>
              </w:rPr>
            </w:pPr>
            <w:r>
              <w:rPr>
                <w:rFonts w:ascii="Arial" w:cs="Arial" w:eastAsia="Arial" w:hAnsi="Arial"/>
                <w:sz w:val="14"/>
                <w:szCs w:val="14"/>
                <w:b w:val="1"/>
                <w:bCs w:val="1"/>
                <w:color w:val="auto"/>
              </w:rPr>
              <w:t>July 2,</w:t>
            </w:r>
          </w:p>
        </w:tc>
        <w:tc>
          <w:tcPr>
            <w:tcW w:w="2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2016 to</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Q2 2015</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0.461</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0.147</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0.125</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r>
      <w:tr>
        <w:trPr>
          <w:trHeight w:val="215"/>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0.629</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0.587</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0.670</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0.633</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r>
    </w:tbl>
    <w:p>
      <w:pPr>
        <w:spacing w:after="0" w:line="134" w:lineRule="exact"/>
        <w:rPr>
          <w:sz w:val="20"/>
          <w:szCs w:val="20"/>
          <w:color w:val="auto"/>
        </w:rPr>
      </w:pPr>
    </w:p>
    <w:p>
      <w:pPr>
        <w:ind w:left="1700" w:right="180" w:hanging="558"/>
        <w:spacing w:after="0" w:line="308" w:lineRule="auto"/>
        <w:tabs>
          <w:tab w:leader="none" w:pos="1700" w:val="left"/>
        </w:tabs>
        <w:numPr>
          <w:ilvl w:val="0"/>
          <w:numId w:val="10"/>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Rave and Cinemark Rave theatres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-317500</wp:posOffset>
            </wp:positionV>
            <wp:extent cx="9861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8"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$5.5 million, or 6.2%, decrease in national advertising revenue (excluding beverage revenue from NCM LLC’s founding members) was due primarily to a 16.2% decrease in impressions sold in the second quarter of 2016, compared to the second quarter of 2015, partially offset by a 7.1% increase in national advertising CPMs (excluding beverage) and a $2.2 million increase in other revenue not included in the inventory measured by impressions sold or CPMs, which was primarily due to higher branded content revenue. The decrease in impressions sold was due primarily to lower content partner spending and client churn during the second quarter of 2016, compared to the second quarter of 2015. The decrease in impressions sold resulted in a decrease in national inventory utilization, from 133.3% for the second quarter of 2015 to 124.0% for the second quarter of 2016 on a 10.2% decrease in network attendance. Inventory utilization is calculated as utilized impressions divided by total advertising impressions, which is based on eleven 30-second salable national advertising units in our pre-show, which can be expanded, should market demand dictate. The increase in national advertising CPMs was due primarily to higher CPMs on upfront commitments in the second quarter of 2016, compared to the second quarter of 2015.</w:t>
      </w:r>
    </w:p>
    <w:p>
      <w:pPr>
        <w:spacing w:after="0" w:line="70"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$1.3 million, or 5.4%, increase in local and regional advertising revenue was primarily driven by an increase in revenue from contracts less than $100,000, whereby they had a 4.9% increase in average contract value and a 2.0% increase in contract volume due to expansion of our sales force and diversification of our client base. Revenue from contracts greater than $100,000 remained consistent period over period.</w:t>
      </w:r>
    </w:p>
    <w:p>
      <w:pPr>
        <w:spacing w:after="0" w:line="79" w:lineRule="exact"/>
        <w:rPr>
          <w:sz w:val="20"/>
          <w:szCs w:val="20"/>
          <w:color w:val="auto"/>
        </w:rPr>
      </w:pPr>
    </w:p>
    <w:p>
      <w:pPr>
        <w:ind w:left="560" w:right="100"/>
        <w:spacing w:after="0" w:line="297"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$1.9 million, or 21.1%, decrease in national advertising revenue from NCM LLC’s founding members’ beverage concessionaire agreements was due to a decrease of $1.5 million related to one of NCM LLC’s founding members reducing the length of its beverage advertising unit by 30 seconds beginning July 1, 2015 and a 9.8% decrease in founding member attendance. These decreases were partially offset by a 5.7% increase in beverage revenue CPMs in the second quarter of 2016, compared to the second quarter of 2015. The 2016 beverage revenue CPM is based on the change in CPM during segment one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from 2014 to 2015, which increased 5.7%.</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ind w:right="60"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$2.8 million, or 4.2%, from $66.1 million for the three months ended July 2, 2015 to $68.9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2016. The following table shows the changes in operating expense for the three months ended June 30, 2016 and July 2,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 Change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4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4"/>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53"/>
              <w:spacing w:after="0" w:line="13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4"/>
              <w:spacing w:after="0" w:line="133" w:lineRule="exact"/>
              <w:rPr>
                <w:sz w:val="20"/>
                <w:szCs w:val="20"/>
                <w:color w:val="auto"/>
              </w:rPr>
            </w:pPr>
            <w:r>
              <w:rPr>
                <w:rFonts w:ascii="Arial" w:cs="Arial" w:eastAsia="Arial" w:hAnsi="Arial"/>
                <w:sz w:val="14"/>
                <w:szCs w:val="14"/>
                <w:b w:val="1"/>
                <w:bCs w:val="1"/>
                <w:color w:val="auto"/>
                <w:w w:val="93"/>
              </w:rPr>
              <w:t>Q2 2016 to</w:t>
            </w:r>
          </w:p>
        </w:tc>
        <w:tc>
          <w:tcPr>
            <w:tcW w:w="24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2016 to</w:t>
            </w:r>
          </w:p>
        </w:tc>
        <w:tc>
          <w:tcPr>
            <w:tcW w:w="240" w:type="dxa"/>
            <w:vAlign w:val="bottom"/>
          </w:tcPr>
          <w:p>
            <w:pPr>
              <w:spacing w:after="0"/>
              <w:rPr>
                <w:sz w:val="11"/>
                <w:szCs w:val="11"/>
                <w:color w:val="auto"/>
              </w:rPr>
            </w:pPr>
          </w:p>
        </w:tc>
      </w:tr>
      <w:tr>
        <w:trPr>
          <w:trHeight w:val="171"/>
        </w:trPr>
        <w:tc>
          <w:tcPr>
            <w:tcW w:w="434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Q2 2015</w:t>
            </w:r>
          </w:p>
        </w:tc>
        <w:tc>
          <w:tcPr>
            <w:tcW w:w="2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2015</w:t>
            </w:r>
          </w:p>
        </w:tc>
        <w:tc>
          <w:tcPr>
            <w:tcW w:w="240" w:type="dxa"/>
            <w:vAlign w:val="bottom"/>
            <w:tcBorders>
              <w:bottom w:val="single" w:sz="8" w:color="CFF0FC"/>
            </w:tcBorders>
          </w:tcPr>
          <w:p>
            <w:pPr>
              <w:spacing w:after="0"/>
              <w:rPr>
                <w:sz w:val="14"/>
                <w:szCs w:val="14"/>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Network costs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19.1%</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8.5%</w:t>
            </w:r>
          </w:p>
        </w:tc>
      </w:tr>
      <w:tr>
        <w:trPr>
          <w:trHeight w:val="209"/>
        </w:trPr>
        <w:tc>
          <w:tcPr>
            <w:tcW w:w="4340" w:type="dxa"/>
            <w:vAlign w:val="bottom"/>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434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remained at $8.3 million for the second quarter of 2015 and the second quarter of 2016. Affiliate advertising payments decreased approximately $0.4 million, offset by an increase in production costs. The decrease in affiliate advertising payments was primarily driven by a 5.3%, or 194 screen, decrease in the number of average affiliate screens for the second quarter of 2016, compared to the second quarter of 2015 due primarily to an acquisition of a network affiliate by a founding member in late 2015, whereby we are now receiving theatre access fees.</w:t>
      </w:r>
    </w:p>
    <w:p>
      <w:pPr>
        <w:spacing w:after="0" w:line="80"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2.4%, from $4.2 million for the second quarter of 2015 to $4.3 million for the second quarter of 2016.</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Theatre access fees—founding members.</w:t>
      </w:r>
      <w:r>
        <w:rPr>
          <w:rFonts w:ascii="Arial" w:cs="Arial" w:eastAsia="Arial" w:hAnsi="Arial"/>
          <w:sz w:val="16"/>
          <w:szCs w:val="16"/>
          <w:color w:val="auto"/>
        </w:rPr>
        <w:t xml:space="preserve"> Theatre access fees decreased $0.3 million, or 1.6%, from $19.2 million for the second quarter of 2015 to</w:t>
      </w:r>
    </w:p>
    <w:p>
      <w:pPr>
        <w:spacing w:after="0" w:line="46"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$18.9 million for the second quarter of 2016. The decrease was due to a $1.0 million decrease in the fee associated with founding member attendance, partially offset by a $0.7 million increase in the fee associated with the number of founding member digital screens that are connected to the DCN, including higher quality digital cinema projectors and related equipment. The theatre access fees, based upon attendance decreased $1.0 million due to a 9.8% decrease in founding member attendance during the second quarter of 2016, compared to the second quarter of 2015. The $0.7 million increase in digital screen fees increased $0.4 million related to an annual 5% rate increase specified in the ESAs and $0.3 million from an increase in the number of founding member screens equipped with the higher quality digital cinema equipment.</w:t>
      </w:r>
    </w:p>
    <w:p>
      <w:pPr>
        <w:spacing w:after="0" w:line="56" w:lineRule="exact"/>
        <w:rPr>
          <w:sz w:val="20"/>
          <w:szCs w:val="20"/>
          <w:color w:val="auto"/>
        </w:rPr>
      </w:pPr>
    </w:p>
    <w:p>
      <w:pPr>
        <w:ind w:left="560" w:right="60"/>
        <w:spacing w:after="0" w:line="257"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$2.1 million, or 12.4%, from $17.0 million for the second quarter of 2015 to $19.1 million for the second quarter of 2016. This increase was primarily due to an increase of $0.8 million in personnel related expenses related to higher salaries and benefit costs, a $0.7 million non-cash impairment charge on an investment obtained in exchange for advertising services and a $0.4 million increase in online publisher expense related to higher online and mobile revenue during the second quarter of 2016, compared to the second quarter of 2015.</w:t>
      </w:r>
    </w:p>
    <w:p>
      <w:pPr>
        <w:spacing w:after="0" w:line="80" w:lineRule="exact"/>
        <w:rPr>
          <w:sz w:val="20"/>
          <w:szCs w:val="20"/>
          <w:color w:val="auto"/>
        </w:rPr>
      </w:pPr>
    </w:p>
    <w:p>
      <w:pPr>
        <w:jc w:val="both"/>
        <w:ind w:left="560" w:right="10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$0.9 million, or 19.1%, from $4.7 million for the second quarter of 2015 to $5.6 million for the second quarter of 2016 due primarily to a $0.7 million increase personnel related expenses primarily from higher non-cash share-based compensation expense.</w:t>
      </w:r>
    </w:p>
    <w:p>
      <w:pPr>
        <w:spacing w:after="0" w:line="73" w:lineRule="exact"/>
        <w:rPr>
          <w:sz w:val="20"/>
          <w:szCs w:val="20"/>
          <w:color w:val="auto"/>
        </w:rPr>
      </w:pPr>
    </w:p>
    <w:p>
      <w:pPr>
        <w:ind w:left="560" w:right="20"/>
        <w:spacing w:after="0" w:line="312" w:lineRule="auto"/>
        <w:rPr>
          <w:sz w:val="20"/>
          <w:szCs w:val="20"/>
          <w:color w:val="auto"/>
        </w:rPr>
      </w:pPr>
      <w:r>
        <w:rPr>
          <w:rFonts w:ascii="Arial" w:cs="Arial" w:eastAsia="Arial" w:hAnsi="Arial"/>
          <w:sz w:val="16"/>
          <w:szCs w:val="16"/>
          <w:u w:val="single" w:color="auto"/>
          <w:color w:val="auto"/>
        </w:rPr>
        <w:t>Administrative fee – managing member.</w:t>
      </w:r>
      <w:r>
        <w:rPr>
          <w:rFonts w:ascii="Arial" w:cs="Arial" w:eastAsia="Arial" w:hAnsi="Arial"/>
          <w:sz w:val="16"/>
          <w:szCs w:val="16"/>
          <w:color w:val="auto"/>
        </w:rPr>
        <w:t xml:space="preserve"> Administrative fee-managing member increased $0.2 million or 5.6% from $3.6 million for the second quarter of 2015 to $3.8 million for the second quarter of 2016. Amounts recorded are based on the terms of the management services agreement which states NCM LLC pays NCM, Inc. service fees which are equal to the cost of NCM, Inc. employees and any reimbursable costs incurred by NCM, Inc.</w:t>
      </w:r>
    </w:p>
    <w:p>
      <w:pPr>
        <w:spacing w:after="0" w:line="39" w:lineRule="exact"/>
        <w:rPr>
          <w:sz w:val="20"/>
          <w:szCs w:val="20"/>
          <w:color w:val="auto"/>
        </w:rPr>
      </w:pPr>
    </w:p>
    <w:p>
      <w:pPr>
        <w:ind w:left="560" w:right="60"/>
        <w:spacing w:after="0" w:line="31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$0.7 million, or 8.5%, from $8.2 million for the second quarter of 2015 to $8.9 million for the second quarter of 2016. The increase was due to an increase in amortization expense of intangible assets related primarily to NCM LLC founding member common unit adjustments, partially offset by lower depreciation expense as assets became fully depreciated.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jc w:val="both"/>
        <w:ind w:left="560" w:right="220"/>
        <w:spacing w:after="0" w:line="264"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decreased $0.9 million, or 100%, from $0.9 million for the second quarter of 2015, compared to $0.0 for the second quarter of 2016, as the merger with Screenvision was terminated during the first quarter of 2015 and remaining merger costs were paid in the second quarter of 2015.</w:t>
      </w:r>
    </w:p>
    <w:p>
      <w:pPr>
        <w:spacing w:after="0" w:line="18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increased $0.4 million, or 3.1%, from $12.9 million for the three months ended July 2,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$13.3 million for the three months ended June 30, 2016. The following table shows the changes in non-operating expense for the three months ended June 30, 2016 and July 2,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r>
      <w:tr>
        <w:trPr>
          <w:trHeight w:val="133"/>
        </w:trPr>
        <w:tc>
          <w:tcPr>
            <w:tcW w:w="3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June 30,</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7"/>
              <w:spacing w:after="0" w:line="133" w:lineRule="exact"/>
              <w:rPr>
                <w:sz w:val="20"/>
                <w:szCs w:val="20"/>
                <w:color w:val="auto"/>
              </w:rPr>
            </w:pPr>
            <w:r>
              <w:rPr>
                <w:rFonts w:ascii="Arial" w:cs="Arial" w:eastAsia="Arial" w:hAnsi="Arial"/>
                <w:sz w:val="14"/>
                <w:szCs w:val="14"/>
                <w:b w:val="1"/>
                <w:bCs w:val="1"/>
                <w:color w:val="auto"/>
              </w:rPr>
              <w:t>July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Q2 2016 to</w:t>
            </w: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Q2 2016 to</w:t>
            </w:r>
          </w:p>
        </w:tc>
        <w:tc>
          <w:tcPr>
            <w:tcW w:w="180" w:type="dxa"/>
            <w:vAlign w:val="bottom"/>
          </w:tcPr>
          <w:p>
            <w:pPr>
              <w:spacing w:after="0"/>
              <w:rPr>
                <w:sz w:val="11"/>
                <w:szCs w:val="11"/>
                <w:color w:val="auto"/>
              </w:rPr>
            </w:pPr>
          </w:p>
        </w:tc>
      </w:tr>
      <w:tr>
        <w:trPr>
          <w:trHeight w:val="171"/>
        </w:trPr>
        <w:tc>
          <w:tcPr>
            <w:tcW w:w="382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Q2 2015</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Q2 2015</w:t>
            </w:r>
          </w:p>
        </w:tc>
        <w:tc>
          <w:tcPr>
            <w:tcW w:w="180" w:type="dxa"/>
            <w:vAlign w:val="bottom"/>
            <w:tcBorders>
              <w:bottom w:val="single" w:sz="8" w:color="CFF0FC"/>
            </w:tcBorders>
          </w:tcPr>
          <w:p>
            <w:pPr>
              <w:spacing w:after="0"/>
              <w:rPr>
                <w:sz w:val="14"/>
                <w:szCs w:val="14"/>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r>
      <w:tr>
        <w:trPr>
          <w:trHeight w:val="230"/>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17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increase in non-operating expense was due to a $0.4 million increase in interest on borrowings related to a higher balance on our revolving credit facility and a higher LIBOR rate on our term loans.</w:t>
      </w:r>
    </w:p>
    <w:p>
      <w:pPr>
        <w:spacing w:after="0" w:line="170"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$9.2 million from $42.4 million for the three months ended July 2, 2015 to $33.2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The decrease in net income was due to a decrease in operating income of $8.9 million and an increase in non-operating expense of $0.4 million, as described further above, partially offset by a $0.1 decrease in income tax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and July 2, 2015</w:t>
      </w:r>
    </w:p>
    <w:p>
      <w:pPr>
        <w:spacing w:after="0" w:line="117"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Total revenue decreased 3.4%, from $198.4 million for the six months ended July 2, 2015 to $191.6 million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2016. The following is a summary of revenue by category (in millions):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38"/>
              <w:spacing w:after="0" w:line="133"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96"/>
              <w:spacing w:after="0" w:line="13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8"/>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YTD 2015</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 beverage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concessionaire agreements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data on theatre attendance and revenue per attendee for the six months ended June 30, 2016 and July 2, 2015:</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77"/>
              <w:spacing w:after="0" w:line="133"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35"/>
              <w:spacing w:after="0" w:line="133" w:lineRule="exact"/>
              <w:rPr>
                <w:sz w:val="20"/>
                <w:szCs w:val="20"/>
                <w:color w:val="auto"/>
              </w:rPr>
            </w:pPr>
            <w:r>
              <w:rPr>
                <w:rFonts w:ascii="Arial" w:cs="Arial" w:eastAsia="Arial" w:hAnsi="Arial"/>
                <w:sz w:val="14"/>
                <w:szCs w:val="14"/>
                <w:b w:val="1"/>
                <w:bCs w:val="1"/>
                <w:color w:val="auto"/>
              </w:rPr>
              <w:t>July 2,</w:t>
            </w:r>
          </w:p>
        </w:tc>
        <w:tc>
          <w:tcPr>
            <w:tcW w:w="20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YTD 2015</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0.394</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0.128</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0.120</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8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0.515</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0.515</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0.556</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0.562</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p>
    <w:p>
      <w:pPr>
        <w:ind w:left="1700" w:right="340" w:hanging="558"/>
        <w:spacing w:after="0" w:line="277" w:lineRule="auto"/>
        <w:tabs>
          <w:tab w:leader="none" w:pos="170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 excluding screens and attendance associated with certain AMC Rave and Cinemark Rave theatres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-302260</wp:posOffset>
            </wp:positionV>
            <wp:extent cx="1337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42" w:lineRule="exact"/>
        <w:rPr>
          <w:sz w:val="20"/>
          <w:szCs w:val="20"/>
          <w:color w:val="auto"/>
        </w:rPr>
      </w:pPr>
    </w:p>
    <w:p>
      <w:pPr>
        <w:ind w:left="560" w:right="60"/>
        <w:spacing w:after="0" w:line="302"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$6.1 million, or 4.4%, decrease in national advertising revenue (excluding beverage revenue from NCM LLC’s founding members) was due primarily to a 15.1% decrease in impressions sold in the first six months of 2016, compared to the first six months of 2015, partially offset by a 7.4% increase in national advertising CPMs (excluding beverage) and a $5.9 million increase in other revenue not included in the inventory measured by impressions sold or CPMs, which was primarily due to higher branded content revenue. The decrease in impressions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5" w:name="page26"/>
    <w:bookmarkEnd w:id="25"/>
    <w:p>
      <w:pPr>
        <w:ind w:left="560" w:right="300"/>
        <w:spacing w:after="0" w:line="297" w:lineRule="auto"/>
        <w:rPr>
          <w:sz w:val="20"/>
          <w:szCs w:val="20"/>
          <w:color w:val="auto"/>
        </w:rPr>
      </w:pPr>
      <w:r>
        <w:rPr>
          <w:rFonts w:ascii="Arial" w:cs="Arial" w:eastAsia="Arial" w:hAnsi="Arial"/>
          <w:sz w:val="16"/>
          <w:szCs w:val="16"/>
          <w:color w:val="auto"/>
        </w:rPr>
        <w:t>sold was due primarily to lower content partner spending. The decrease in impressions sold resulted in a decrease in national inventory utilization, from 118.3% for the first six months of 2015 to 102.6% for the first six months of 2016 on a 2.5% decrease in network attendance. Inventory utilization is calculated as utilized impressions divided by total advertising impressions, which is based on eleven 30-second salable national advertising units in our pre-show, which can be expanded, should market demand dictate. The increase in national advertising CPMs was due primarily to higher CPMs on upfront commitments in the first six months of 2016, compared to the first six months of 2015.</w:t>
      </w:r>
    </w:p>
    <w:p>
      <w:pPr>
        <w:spacing w:after="0" w:line="50"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The $1.6 million, or 3.8%, increase in local advertising revenue was driven by an increase in revenue from contracts less than $100,000, whereby contract volume increased 7.5%, partially offset by a decrease in average contract value of 3.9%. The increase in total contract volume was due to expansion of our sales force and diversification of our client base. Revenue from contracts greater than $100,000 remained consistent period over period.</w:t>
      </w:r>
    </w:p>
    <w:p>
      <w:pPr>
        <w:spacing w:after="0" w:line="79" w:lineRule="exact"/>
        <w:rPr>
          <w:sz w:val="20"/>
          <w:szCs w:val="20"/>
          <w:color w:val="auto"/>
        </w:rPr>
      </w:pPr>
    </w:p>
    <w:p>
      <w:pPr>
        <w:ind w:left="560" w:right="80"/>
        <w:spacing w:after="0" w:line="297"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$2.3 million, or 13.9%, decrease in national advertising revenue from NCM LLC’s founding members’ beverage concessionaire agreements was due to a decrease of $3.0 million related to one of NCM LLC’s founding members reducing the length of its beverage advertising unit by 30 seconds beginning July 1, 2015 and a 1.3% decrease in founding member attendance. These decreases were partially offset a 5.7% increase in beverage revenue CPMs in the first six months of 2016, compared to the first six months of 2015. The 2016 beverage revenue CPM is based on the change in CPM during segment one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from 2014 to 2015, which increased 5.7%.</w:t>
      </w:r>
    </w:p>
    <w:p>
      <w:pPr>
        <w:spacing w:after="0" w:line="1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decreased $27.9 million, or 16.7%, from $167.2 million for the six months ended July 2, 2015 to $139.3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2016. The following table shows the changes in operating expense for the six months ended June 30, 2016 and July 2,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 Change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4"/>
              <w:spacing w:after="0" w:line="133"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53"/>
              <w:spacing w:after="0" w:line="13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4"/>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4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YTD 2015</w:t>
            </w:r>
          </w:p>
        </w:tc>
        <w:tc>
          <w:tcPr>
            <w:tcW w:w="2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Advertising operating costs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Network costs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Theatre access fees—founding members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and other costs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9"/>
        </w:trPr>
        <w:tc>
          <w:tcPr>
            <w:tcW w:w="4340" w:type="dxa"/>
            <w:vAlign w:val="bottom"/>
          </w:tcPr>
          <w:p>
            <w:pPr>
              <w:ind w:left="240"/>
              <w:spacing w:after="0"/>
              <w:rPr>
                <w:sz w:val="20"/>
                <w:szCs w:val="20"/>
                <w:color w:val="auto"/>
              </w:rPr>
            </w:pPr>
            <w:r>
              <w:rPr>
                <w:rFonts w:ascii="Arial" w:cs="Arial" w:eastAsia="Arial" w:hAnsi="Arial"/>
                <w:sz w:val="18"/>
                <w:szCs w:val="18"/>
                <w:color w:val="auto"/>
              </w:rPr>
              <w:t>Total operating expenses before the merger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termination fee and related merger costs</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Merger termination fee and related merger costs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(41.8)</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8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139.3</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167.2</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(27.9)</w:t>
            </w: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80"/>
        <w:spacing w:after="0" w:line="291"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decreased $0.8 million, or 5.7%, from $14.1 million for the first six months of 2015 to $13.3 million for the first six months of 2016. This decrease was primarily the result of a $0.8 million decrease in affiliate advertising payments due to a</w:t>
      </w:r>
    </w:p>
    <w:p>
      <w:pPr>
        <w:ind w:left="560"/>
        <w:spacing w:after="0" w:line="261" w:lineRule="auto"/>
        <w:rPr>
          <w:sz w:val="20"/>
          <w:szCs w:val="20"/>
          <w:color w:val="auto"/>
        </w:rPr>
      </w:pPr>
      <w:r>
        <w:rPr>
          <w:rFonts w:ascii="Arial" w:cs="Arial" w:eastAsia="Arial" w:hAnsi="Arial"/>
          <w:sz w:val="18"/>
          <w:szCs w:val="18"/>
          <w:color w:val="auto"/>
        </w:rPr>
        <w:t>5.7%, or 207 screen, decrease in the number of average affiliate screens during the period primarily related to an acquisition of a network affiliate by a founding member in late 2015, whereby we are now receiving theatre access fees.</w:t>
      </w:r>
    </w:p>
    <w:p>
      <w:pPr>
        <w:spacing w:after="0" w:line="76"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1.1%, from $8.7 million for the first six months of 2015 to $8.8 million for the first six months of 2016.</w:t>
      </w:r>
    </w:p>
    <w:p>
      <w:pPr>
        <w:spacing w:after="0" w:line="62"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u w:val="single" w:color="auto"/>
          <w:color w:val="auto"/>
        </w:rPr>
        <w:t>Theatre access fees—founding members.</w:t>
      </w:r>
      <w:r>
        <w:rPr>
          <w:rFonts w:ascii="Arial" w:cs="Arial" w:eastAsia="Arial" w:hAnsi="Arial"/>
          <w:sz w:val="16"/>
          <w:szCs w:val="16"/>
          <w:color w:val="auto"/>
        </w:rPr>
        <w:t xml:space="preserve"> Theatre access fees increased $1.2 million, or 3.3%, from $36.4 million for the first six months of 2015 to $37.6 million for the first six months of 2016. The increase was due to a $1.5 million increase in theatre access fees due to an increase in the fee associated with the number of digital screens that are connected to the DCN, including higher quality digital cinema projectors and related equipment, partially offset by a $0.3 million decrease related to a 1.3% decrease in founding member attendance in the first six months of 2016, compared to the first six months of 2015. The $1.5 million increase in digital screen fees increased $0.8 million from an increase in the number of founding member screens equipped with the higher quality digital cinema equipment and $0.7 million related to an annual 5% rate increase specified in the ESAs.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left="56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$4.7 million, or 14.2%, from $33.0 million for the first six months of 2015 to $37.7 million for the first six months of 2016. This increase was primarily due to an increase of $1.8 million in personnel related expenses due primarily to higher salaries, payroll taxes and non-cash share-based compensation expense. Selling and marketing costs also increased $0.7 million due to a non-cash impairment charge on an investment obtained in exchange for advertising services, a $0.7 million increase in online publisher expense related to higher online and mobile revenue, a $0.6 million increase in marketing research and merchandising expenses and a $0.3 million increase in non-cash barter expense.</w:t>
      </w:r>
    </w:p>
    <w:p>
      <w:pPr>
        <w:spacing w:after="0" w:line="85"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$1.3 million, or 12.7%, from $10.2 million for the first six months of 2015 to $11.5 million for the first six months of 2016 due primarily to a $0.9 million increase in personnel related expenses due primarily to higher non-cash share-based compensation expense.</w:t>
      </w:r>
    </w:p>
    <w:p>
      <w:pPr>
        <w:spacing w:after="0" w:line="73" w:lineRule="exact"/>
        <w:rPr>
          <w:sz w:val="20"/>
          <w:szCs w:val="20"/>
          <w:color w:val="auto"/>
        </w:rPr>
      </w:pPr>
    </w:p>
    <w:p>
      <w:pPr>
        <w:ind w:left="560" w:right="140"/>
        <w:spacing w:after="0" w:line="297" w:lineRule="auto"/>
        <w:rPr>
          <w:sz w:val="20"/>
          <w:szCs w:val="20"/>
          <w:color w:val="auto"/>
        </w:rPr>
      </w:pPr>
      <w:r>
        <w:rPr>
          <w:rFonts w:ascii="Arial" w:cs="Arial" w:eastAsia="Arial" w:hAnsi="Arial"/>
          <w:sz w:val="16"/>
          <w:szCs w:val="16"/>
          <w:u w:val="single" w:color="auto"/>
          <w:color w:val="auto"/>
        </w:rPr>
        <w:t>Administrative fee – managing member.</w:t>
      </w:r>
      <w:r>
        <w:rPr>
          <w:rFonts w:ascii="Arial" w:cs="Arial" w:eastAsia="Arial" w:hAnsi="Arial"/>
          <w:sz w:val="16"/>
          <w:szCs w:val="16"/>
          <w:color w:val="auto"/>
        </w:rPr>
        <w:t xml:space="preserve"> Administrative fee-managing member increased $6.0 million, or 88.2% from $6.8 million for the first six months of 2015 to $12.8 million for the first six months of 2016 due primarily to $2.9 million of CEO transition costs, which consisted primarily of severance and consulting costs to our former CEO and $2.3 million non-cash share-based compensation expense associated with modifying equity awards pursuant to agreements with our former CEO. Amounts recorded are based on the terms of the management services agreement which states NCM LLC pays NCM, Inc. service fees which are equal to the cost of NCM, Inc. employees and any reimbursable costs incurred by NCM, Inc.</w:t>
      </w:r>
    </w:p>
    <w:p>
      <w:pPr>
        <w:spacing w:after="0" w:line="50"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$1.4 million, or 8.6%, from $16.2 million for the first six months of 2015 to $17.6 million for the first six months of 2016. The increase was due to an increase in amortization expense of intangible assets related primarily to NCM LLC founding member common unit adjustments, partially offset by lower depreciation expense as assets became fully depreciated.</w:t>
      </w:r>
    </w:p>
    <w:p>
      <w:pPr>
        <w:spacing w:after="0" w:line="79"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u w:val="single" w:color="auto"/>
          <w:color w:val="auto"/>
        </w:rPr>
        <w:t>Merger termination fee and related merger costs.</w:t>
      </w:r>
      <w:r>
        <w:rPr>
          <w:rFonts w:ascii="Arial" w:cs="Arial" w:eastAsia="Arial" w:hAnsi="Arial"/>
          <w:sz w:val="18"/>
          <w:szCs w:val="18"/>
          <w:color w:val="auto"/>
        </w:rPr>
        <w:t xml:space="preserve"> The merger termination fee and related merger costs were $41.8 million for the first six months of 2015 due to the merger termination payment of approximately $26.8 million, approximately $7.5 million in primarily legal, accounting, advisory and other professional fees associated with the terminated Screenvision merger and the payment to NCM, Inc. for the reimbursement of merger-related administrative costs of $7.5 million.</w:t>
      </w:r>
    </w:p>
    <w:p>
      <w:pPr>
        <w:spacing w:after="0" w:line="187"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$0.9 million, or 3.3%, from $27.4 million for the six months ended July 2,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$26.5 million for the six months ended June 30, 2016. The following table shows the changes in non-operating expense for the six months ended June 30, 2016 and July 2, 2015 (in millions):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 Change</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June 30,</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35"/>
              <w:spacing w:after="0" w:line="133" w:lineRule="exact"/>
              <w:rPr>
                <w:sz w:val="20"/>
                <w:szCs w:val="20"/>
                <w:color w:val="auto"/>
              </w:rPr>
            </w:pPr>
            <w:r>
              <w:rPr>
                <w:rFonts w:ascii="Arial" w:cs="Arial" w:eastAsia="Arial" w:hAnsi="Arial"/>
                <w:sz w:val="14"/>
                <w:szCs w:val="14"/>
                <w:b w:val="1"/>
                <w:bCs w:val="1"/>
                <w:color w:val="auto"/>
              </w:rPr>
              <w:t>July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2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YTD 2016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YTD 2015</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YTD 2015</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on borrowings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terminated derivatives</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non-operating expenses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w:t>
            </w:r>
          </w:p>
        </w:tc>
        <w:tc>
          <w:tcPr>
            <w:tcW w:w="12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The decrease in non-operating expense was due primarily to a $1.6 million decrease in the amortization of terminated derivatives as the amortization period ended in February 2015, partially offset by an increase of $0.7 million in interest on borrowings related to a higher balance on our revolving credit facility and a higher LIBOR rate on our term loans.</w:t>
      </w:r>
    </w:p>
    <w:p>
      <w:pPr>
        <w:spacing w:after="0" w:line="181"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$22.0 million from $3.7 million for the six months ended July 2, 2015 to $25.7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The increase in net income was due to an increase in operating income of $21.1 million and a decrease in non-operating expense of $0.9 million, as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right="340" w:firstLine="555"/>
        <w:spacing w:after="0" w:line="264" w:lineRule="auto"/>
        <w:rPr>
          <w:sz w:val="20"/>
          <w:szCs w:val="20"/>
          <w:color w:val="auto"/>
        </w:rPr>
      </w:pPr>
      <w:r>
        <w:rPr>
          <w:rFonts w:ascii="Arial" w:cs="Arial" w:eastAsia="Arial" w:hAnsi="Arial"/>
          <w:sz w:val="18"/>
          <w:szCs w:val="18"/>
          <w:color w:val="auto"/>
        </w:rPr>
        <w:t>Changes in the current macro-economic environment and changes in the national, regional and local advertising markets present uncertainties that could impact our results of operations, including the timing and amount of spending from our advertising clients. These changes include increased competition related to the expansion of online and mobile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spacing w:after="0" w:line="287" w:lineRule="auto"/>
        <w:rPr>
          <w:sz w:val="20"/>
          <w:szCs w:val="20"/>
          <w:color w:val="auto"/>
        </w:rPr>
      </w:pPr>
      <w:r>
        <w:rPr>
          <w:rFonts w:ascii="Arial" w:cs="Arial" w:eastAsia="Arial" w:hAnsi="Arial"/>
          <w:sz w:val="16"/>
          <w:szCs w:val="16"/>
          <w:color w:val="auto"/>
        </w:rPr>
        <w:t xml:space="preserve">advertising platforms. Further, we could be negatively impacted by factors that could reduce the viewership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such as the offering of reserve seating, an increase in the number and length of trailers for upcoming films and lower network attendance, which could result from shortening of release windows, more alternative methods of delivering movies to consumers, lower consumer confidence and disposable income and a decline in the motion picture box office.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engagement and upgrades to our inventory management and data management systems. We could also benefit if the effectiveness of cinema advertising improves relative to other advertising mediums. Consumer and media market trends appear to have had a favorable impact on our level of national upfront bookings for 2015 and 2016 when compared to the previous year. We believe that over time, a shift toward more upfront commitments, would allow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 in the number of screens in our network during the six months ended June 30, 2016 was as follows.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 of screens</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400" w:type="dxa"/>
            <w:vAlign w:val="bottom"/>
            <w:gridSpan w:val="2"/>
          </w:tcPr>
          <w:p>
            <w:pPr>
              <w:ind w:left="280"/>
              <w:spacing w:after="0" w:line="133" w:lineRule="exact"/>
              <w:rPr>
                <w:sz w:val="20"/>
                <w:szCs w:val="20"/>
                <w:color w:val="auto"/>
              </w:rPr>
            </w:pPr>
            <w:r>
              <w:rPr>
                <w:rFonts w:ascii="Arial" w:cs="Arial" w:eastAsia="Arial" w:hAnsi="Arial"/>
                <w:sz w:val="14"/>
                <w:szCs w:val="14"/>
                <w:b w:val="1"/>
                <w:bCs w:val="1"/>
                <w:color w:val="auto"/>
              </w:rPr>
              <w:t>Founding</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Network Affiliates</w:t>
            </w: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Members</w:t>
            </w:r>
          </w:p>
        </w:tc>
        <w:tc>
          <w:tcPr>
            <w:tcW w:w="13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16,981</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(Lost) new affiliates </w:t>
            </w:r>
            <w:r>
              <w:rPr>
                <w:rFonts w:ascii="Arial" w:cs="Arial" w:eastAsia="Arial" w:hAnsi="Arial"/>
                <w:sz w:val="18"/>
                <w:szCs w:val="18"/>
                <w:i w:val="1"/>
                <w:iCs w:val="1"/>
                <w:color w:val="auto"/>
              </w:rPr>
              <w:t>(1)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Openings, net of closures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as of June 30, 2016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17,028</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60" w:right="60" w:hanging="398"/>
        <w:spacing w:after="0" w:line="264" w:lineRule="auto"/>
        <w:tabs>
          <w:tab w:leader="none" w:pos="96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During the first six months of 2016, the run-out provision in the contract with one of our affiliates that was acquired by a theatre circuit not in our network ended, resulting in 194 screens being removed from our network. These lost screens were partially offset by two new affiliates with 152 screens added during the first six months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-432435</wp:posOffset>
            </wp:positionV>
            <wp:extent cx="17151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61"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We believe that adding screens and attendees to our network provide our advertising clients with a better marketing product with increased reach and improved geographic coverage. We have begun to offer our advertising clients better audience targeting capabilities and more robust campaign data analytics that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173"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In 2014, we experienced a decline of 16.4%, in national advertising CPMs (excluding beverage revenue) compared to the prior year due primarily to the increased competition from other national video networks, including online and mobile advertising platforms, television networks and other out-of-home video networks and the implementation of more aggressive seasonal and volume pricing strategies that contributed to the expansion of our inventory utilization related to the addition of new client categories that traditionally buy their television advertising at lower CPMs. After adjusting our pricing through 2014 to be more attractive to a broader number of potential clients, compete more effectively with various forms of premium video advertising and reflect seasonal marketplace supply and demand characteristics, during 2015 and the first six months of 2016, we experienced an increase year over year of 6.7% and 7.4%, respectively, in national advertising CPMs (excluding beverage revenue).</w:t>
      </w:r>
    </w:p>
    <w:p>
      <w:pPr>
        <w:spacing w:after="0" w:line="178"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 xml:space="preserve">Under the ESAs, up to 90 seconds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can be sold to our founding members to satisfy their on-screen advertising commitments under their beverage concessionaire agreements. During the first six months of 2015, we sold 60 seconds to our founding members. Beginning July 1, 2015, one of our founding members reduced their beverage advertising from 60 seconds to 30 seconds. We have the right to sell the remaining 30 second unit to other clients. The other founding members’ current long-term contracts with their beverage suppliers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7"/>
          <w:szCs w:val="17"/>
          <w:i w:val="1"/>
          <w:iCs w:val="1"/>
          <w:color w:val="auto"/>
        </w:rPr>
        <w:t xml:space="preserve">FirstLook </w:t>
      </w:r>
      <w:r>
        <w:rPr>
          <w:rFonts w:ascii="Arial" w:cs="Arial" w:eastAsia="Arial" w:hAnsi="Arial"/>
          <w:sz w:val="17"/>
          <w:szCs w:val="17"/>
          <w:color w:val="auto"/>
        </w:rPr>
        <w:t>pre-show, limited to the highest advertising CPM being then-charged by us. Due to a 5.7% increase in segment one CPMs in 2015, the CPM on</w:t>
      </w:r>
      <w:r>
        <w:rPr>
          <w:rFonts w:ascii="Arial" w:cs="Arial" w:eastAsia="Arial" w:hAnsi="Arial"/>
          <w:sz w:val="17"/>
          <w:szCs w:val="17"/>
          <w:i w:val="1"/>
          <w:iCs w:val="1"/>
          <w:color w:val="auto"/>
        </w:rPr>
        <w:t xml:space="preserve"> </w:t>
      </w:r>
      <w:r>
        <w:rPr>
          <w:rFonts w:ascii="Arial" w:cs="Arial" w:eastAsia="Arial" w:hAnsi="Arial"/>
          <w:sz w:val="17"/>
          <w:szCs w:val="17"/>
          <w:color w:val="auto"/>
        </w:rPr>
        <w:t>our beverage concessionaire revenue increased during the first six months of 2016 by 5.7% and the remainder of 2016 will increase by an equivalent percentage.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60" w:firstLine="555"/>
        <w:spacing w:after="0" w:line="270" w:lineRule="auto"/>
        <w:rPr>
          <w:sz w:val="20"/>
          <w:szCs w:val="20"/>
          <w:color w:val="auto"/>
        </w:rPr>
      </w:pPr>
      <w:r>
        <w:rPr>
          <w:rFonts w:ascii="Arial" w:cs="Arial" w:eastAsia="Arial" w:hAnsi="Arial"/>
          <w:sz w:val="17"/>
          <w:szCs w:val="17"/>
          <w:color w:val="auto"/>
        </w:rPr>
        <w:t>In consideration for our access to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(connected to the DCN). The payment per theatre patron increases by 8% every five years, with the next increase taking effect for fiscal year 2017, and the payment per digital screen increases annually by 5%. The theatre access fee paid in the aggregate to all founding members cannot be less than 12% of our aggregate advertising revenue (as defined in the ESA), or it will be adjusted upward to reach this minimum payment. Pursuant to the ESAs,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June 30, 2016, 95% of our founding member network screens were showing advertising on digital cinema projectors, and thus the future impact on the theatre access fee related to additional digital cinema installations within existing founding member theatres is expected to be minimal.</w:t>
      </w:r>
    </w:p>
    <w:p>
      <w:pPr>
        <w:spacing w:after="0" w:line="178"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 xml:space="preserve">During 2015, we reduced the length of our content partner entertainment programming segments from two and one-half minutes to two minutes in content partner agreements representing about 50%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impressions. During 2016, we are reducing the remaining segments such that all of our content partner agreements will provide for two minute entertainment content segments. The reduction in the length of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content partner entertainment segments from two and one-half minutes to two minutes provided two additional 30-second national units and one additional local or regional advertising unit for us to sell across approximately 50% of our network impressions in 2015 and will provide for these additional segments across 100% of our network impressions in 2016. Because there is no reduction in our revenue from reducing these content segments, this will provide additional salable national, local and regional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inventory that could allow us to increase our future advertising revenue provided that there is adequate market demand.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During 2016,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financing transactions, we extended the average maturities of our debt and as of June 30, 2016 the weighted average remaining maturity is 4.8 years. As of June 30, 2016, approximately 64% of our total borrowings bear interest at fixed rates. The remaining 36% of our borrowings bear interest at variable rates and as such, our net income could fluctuate with market interest rate fluctuations that could increase the interest paid on our borrowings. Refer to Note 4—</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to the unaudited Condensed Financial Statements in Item 1 of this Form 10-Q for more information regarding the Company’s borrowings.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Related to Ownership</w:t>
      </w:r>
    </w:p>
    <w:p>
      <w:pPr>
        <w:spacing w:after="0" w:line="229" w:lineRule="exact"/>
        <w:rPr>
          <w:sz w:val="20"/>
          <w:szCs w:val="20"/>
          <w:color w:val="auto"/>
        </w:rPr>
      </w:pPr>
    </w:p>
    <w:p>
      <w:pPr>
        <w:jc w:val="both"/>
        <w:ind w:right="180" w:firstLine="555"/>
        <w:spacing w:after="0" w:line="297" w:lineRule="auto"/>
        <w:rPr>
          <w:sz w:val="20"/>
          <w:szCs w:val="20"/>
          <w:color w:val="auto"/>
        </w:rPr>
      </w:pPr>
      <w:r>
        <w:rPr>
          <w:rFonts w:ascii="Arial" w:cs="Arial" w:eastAsia="Arial" w:hAnsi="Arial"/>
          <w:sz w:val="16"/>
          <w:szCs w:val="16"/>
          <w:color w:val="auto"/>
        </w:rPr>
        <w:t>In accordance with our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2016 and 2015, we issued 1,416,515 and 2,160,915 common membership units to our founding members, respectively, for the rights to exclusive access to the theatre screens and attendees added, net of dispositions by the founding members to our network during the previous year. We recorded a net intangible asset of $21.1 million and $31.4 million during the first quarter of 2016 and 2015, respectively, as a result of the Common Unit Adjustments.</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20" w:firstLine="555"/>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 Change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50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16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Q2 2016 to</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Q2 2016 to</w:t>
            </w:r>
          </w:p>
        </w:tc>
        <w:tc>
          <w:tcPr>
            <w:tcW w:w="100" w:type="dxa"/>
            <w:vAlign w:val="bottom"/>
          </w:tcPr>
          <w:p>
            <w:pPr>
              <w:spacing w:after="0"/>
              <w:rPr>
                <w:sz w:val="11"/>
                <w:szCs w:val="1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YE 2015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Q2 2015</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right="80" w:hanging="552"/>
        <w:spacing w:after="0" w:line="259" w:lineRule="auto"/>
        <w:tabs>
          <w:tab w:leader="none" w:pos="5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June 30, 2016 and $135.0 million as of December 31, 2015 and July 2, 2015.</w:t>
      </w:r>
    </w:p>
    <w:p>
      <w:pPr>
        <w:spacing w:after="0" w:line="186"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We have generated and used cash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-816610</wp:posOffset>
            </wp:positionV>
            <wp:extent cx="17151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7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52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99"/>
              <w:spacing w:after="0" w:line="133" w:lineRule="exact"/>
              <w:rPr>
                <w:sz w:val="20"/>
                <w:szCs w:val="20"/>
                <w:color w:val="auto"/>
              </w:rPr>
            </w:pPr>
            <w:r>
              <w:rPr>
                <w:rFonts w:ascii="Arial" w:cs="Arial" w:eastAsia="Arial" w:hAnsi="Arial"/>
                <w:sz w:val="14"/>
                <w:szCs w:val="14"/>
                <w:b w:val="1"/>
                <w:bCs w:val="1"/>
                <w:color w:val="auto"/>
              </w:rPr>
              <w:t>June 30,</w:t>
            </w:r>
          </w:p>
        </w:tc>
        <w:tc>
          <w:tcPr>
            <w:tcW w:w="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17"/>
              <w:spacing w:after="0" w:line="133" w:lineRule="exact"/>
              <w:rPr>
                <w:sz w:val="20"/>
                <w:szCs w:val="20"/>
                <w:color w:val="auto"/>
              </w:rPr>
            </w:pPr>
            <w:r>
              <w:rPr>
                <w:rFonts w:ascii="Arial" w:cs="Arial" w:eastAsia="Arial" w:hAnsi="Arial"/>
                <w:sz w:val="14"/>
                <w:szCs w:val="14"/>
                <w:b w:val="1"/>
                <w:bCs w:val="1"/>
                <w:color w:val="auto"/>
              </w:rPr>
              <w:t>July 2,</w:t>
            </w:r>
          </w:p>
        </w:tc>
        <w:tc>
          <w:tcPr>
            <w:tcW w:w="80" w:type="dxa"/>
            <w:vAlign w:val="bottom"/>
          </w:tcPr>
          <w:p>
            <w:pPr>
              <w:spacing w:after="0"/>
              <w:rPr>
                <w:sz w:val="11"/>
                <w:szCs w:val="1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63.4</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Investing cash flow</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r>
    </w:tbl>
    <w:p>
      <w:pPr>
        <w:spacing w:after="0" w:line="198" w:lineRule="exact"/>
        <w:rPr>
          <w:sz w:val="20"/>
          <w:szCs w:val="20"/>
          <w:color w:val="auto"/>
        </w:rPr>
      </w:pPr>
    </w:p>
    <w:p>
      <w:pPr>
        <w:ind w:left="1660" w:right="20" w:hanging="545"/>
        <w:spacing w:after="0" w:line="258"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The $46.8 million increase in cash provided by operating activities for the six months ended June 30, 2016,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six months ended July 2, 2015 was due primarily to 1) a larger decrease in accounts receivable of $32.6 million during the six months ended June 30, 2016 compared to the six months ended July 2, 2015 due to higher collections and lower revenue and 2) a $22.0 million increase in net income, as described further above, partially offset by an increase of $5.2 million in the change in accounts payable and accrued liabilities.</w:t>
      </w:r>
    </w:p>
    <w:p>
      <w:pPr>
        <w:spacing w:after="0" w:line="75" w:lineRule="exact"/>
        <w:rPr>
          <w:rFonts w:ascii="Arial" w:cs="Arial" w:eastAsia="Arial" w:hAnsi="Arial"/>
          <w:sz w:val="18"/>
          <w:szCs w:val="18"/>
          <w:color w:val="auto"/>
        </w:rPr>
      </w:pPr>
    </w:p>
    <w:p>
      <w:pPr>
        <w:jc w:val="both"/>
        <w:ind w:left="1660" w:right="160" w:hanging="545"/>
        <w:spacing w:after="0" w:line="347" w:lineRule="auto"/>
        <w:tabs>
          <w:tab w:leader="none" w:pos="1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The $2.0 million increase in cash used in investing activities for the six months ended June 30, 2016,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six months ended July 2, 2015 was due primarily to an increase of $1.8 million of purchases of property, plant and equipment.</w:t>
      </w:r>
    </w:p>
    <w:p>
      <w:pPr>
        <w:spacing w:after="0" w:line="8" w:lineRule="exact"/>
        <w:rPr>
          <w:rFonts w:ascii="Arial" w:cs="Arial" w:eastAsia="Arial" w:hAnsi="Arial"/>
          <w:sz w:val="16"/>
          <w:szCs w:val="16"/>
          <w:color w:val="auto"/>
        </w:rPr>
      </w:pPr>
    </w:p>
    <w:p>
      <w:pPr>
        <w:ind w:left="1660" w:right="380" w:hanging="545"/>
        <w:spacing w:after="0" w:line="266"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$37.2 million increase in cash used in financing activities for the six months ended June 30, 2016,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six months ended July 2, 2015 was due primarily to a $37.0 million decrease in proceeds from borrowings, net of repayments, due to lower net borrowings on the revolving credit facility.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April 2, 2015 was calculated as negative $25.5 million due to the merger termination fee and related merger costs. Pursuant to the NCM LLC Operating Agreement, there was no distribution made in the second quarter of 2015 and the negative amount was netted against available cash distributions for the second quarter of 2016, which will be paid in the third quarter of 2016. The available cash distribution to the members of NCM LLC for the three months ended June 30, 2016 net of the negative available cash described above (which will be made during the third quarter of 2016) was approximately $14.9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800"/>
        <w:spacing w:after="0" w:line="286" w:lineRule="auto"/>
        <w:rPr>
          <w:sz w:val="20"/>
          <w:szCs w:val="20"/>
          <w:color w:val="auto"/>
        </w:rPr>
      </w:pPr>
      <w:r>
        <w:rPr>
          <w:rFonts w:ascii="Arial" w:cs="Arial" w:eastAsia="Arial" w:hAnsi="Arial"/>
          <w:sz w:val="17"/>
          <w:szCs w:val="17"/>
          <w:color w:val="auto"/>
        </w:rPr>
        <w:t>Condensed Financial Statements, see Item 7. “Management’s Discussion and Analysis of Financial Condition and Results of Operations – Critical Accounting Policies” contained in our annual report on Form 10-K filed for the fiscal year ended December 31, 2015 and incorporated by reference herein. As of June 30, 2016, there were no significant changes in those critical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170"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31, 2015 and incorporated by reference herein. We do not believe these arrangements are material to our current or future financial condition, results of operations, liquidity, capital resources or capital expenditures.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six months ended June 30,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555"/>
        <w:spacing w:after="0" w:line="272"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2012, 2013, 2014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Fourth</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2012</w:t>
            </w:r>
          </w:p>
        </w:tc>
        <w:tc>
          <w:tcPr>
            <w:tcW w:w="88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32.1%</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25.8%</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FY 2013</w:t>
            </w: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8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FY 2015</w:t>
            </w: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74"/>
        </w:trPr>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80" w:type="dxa"/>
            <w:vAlign w:val="bottom"/>
          </w:tcPr>
          <w:p>
            <w:pPr>
              <w:jc w:val="right"/>
              <w:ind w:right="575"/>
              <w:spacing w:after="0"/>
              <w:rPr>
                <w:sz w:val="20"/>
                <w:szCs w:val="20"/>
                <w:color w:val="auto"/>
              </w:rPr>
            </w:pPr>
            <w:r>
              <w:rPr>
                <w:rFonts w:ascii="Arial" w:cs="Arial" w:eastAsia="Arial" w:hAnsi="Arial"/>
                <w:sz w:val="18"/>
                <w:szCs w:val="18"/>
                <w:color w:val="auto"/>
                <w:w w:val="99"/>
              </w:rPr>
              <w:t>29</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2012, 2013, 2014 and 2015.</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Fourth</w:t>
            </w:r>
          </w:p>
        </w:tc>
      </w:tr>
      <w:tr>
        <w:trPr>
          <w:trHeight w:val="171"/>
        </w:trPr>
        <w:tc>
          <w:tcPr>
            <w:tcW w:w="38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Quarter</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Quarter</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2012</w:t>
            </w:r>
          </w:p>
        </w:tc>
        <w:tc>
          <w:tcPr>
            <w:tcW w:w="8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16.2%</w:t>
            </w: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24.7%</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33.7%</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2013</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FY 2014</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2015</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The primary market risk to which we are exposed is interest rate risk. The Senior Unsecured Notes and the Senior Secured Notes are at fixed rates, and therefore are not subject to market risk. As of June 30, 2016, the only interest rate risk that we are exposed to is related to our $175.0 million revolving credit facility and our $270.0 million term loan. A 100 basis point fluctuation in market interest rates underlying our term loan and revolving credit facility would have the effect of increasing or decreasing our cash interest expense by approximately $3.4 million for an annual period on the $72.0 million revolving credit balance and $270.0 million term loan outstanding as of June 30, 2016. For a discussion of market risks, see Item 7A. “Quantitative and Qualitative Disclosures About Market Risk” contained in our annual report on Form 10-K for the fiscal year ended December 31, 2015 and incorporated by reference herein.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of NCM, Inc., our manager, as appropriate to allow timely decisions regarding required disclosure. As of June 30, 2016,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June 30, 2016 were effective.</w:t>
      </w:r>
    </w:p>
    <w:p>
      <w:pPr>
        <w:spacing w:after="0" w:line="179" w:lineRule="exact"/>
        <w:rPr>
          <w:sz w:val="20"/>
          <w:szCs w:val="20"/>
          <w:color w:val="auto"/>
        </w:rPr>
      </w:pPr>
    </w:p>
    <w:p>
      <w:pPr>
        <w:ind w:right="380" w:firstLine="555"/>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June 30, 2016 that have materially affected, or are reasonably likely to materially affect, the Company’s internal controls over financial reporting.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2, 2016 for the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3"/>
          </w:tcPr>
          <w:p>
            <w:pPr>
              <w:ind w:left="56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80" w:type="dxa"/>
            <w:vAlign w:val="bottom"/>
          </w:tcPr>
          <w:p>
            <w:pPr>
              <w:spacing w:after="0"/>
              <w:rPr>
                <w:sz w:val="20"/>
                <w:szCs w:val="20"/>
                <w:color w:val="auto"/>
              </w:rPr>
            </w:pPr>
          </w:p>
        </w:tc>
      </w:tr>
      <w:tr>
        <w:trPr>
          <w:trHeight w:val="500"/>
        </w:trPr>
        <w:tc>
          <w:tcPr>
            <w:tcW w:w="2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412"/>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Reference</w:t>
            </w:r>
          </w:p>
        </w:tc>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344"/>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0"/>
              </w:rPr>
              <w:t>Retention Bonus Agreement dated January 29, 2016, between National CineMedia, Inc. and David J. Oddo.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Pursuant to 18 U.S.C. Section 1350.</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Exhibit 10.1 to NCM Inc.’s Form 8-K (File No. 001-33296) filed on July 19, 2016.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661" w:right="13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August 10, 2016</w:t>
            </w:r>
          </w:p>
        </w:tc>
        <w:tc>
          <w:tcPr>
            <w:tcW w:w="6100" w:type="dxa"/>
            <w:vAlign w:val="bottom"/>
          </w:tcPr>
          <w:p>
            <w:pPr>
              <w:spacing w:after="0"/>
              <w:rPr>
                <w:sz w:val="20"/>
                <w:szCs w:val="20"/>
                <w:color w:val="auto"/>
              </w:rPr>
            </w:pPr>
            <w:r>
              <w:rPr>
                <w:rFonts w:ascii="Arial" w:cs="Arial" w:eastAsia="Arial" w:hAnsi="Arial"/>
                <w:sz w:val="18"/>
                <w:szCs w:val="18"/>
                <w:color w:val="auto"/>
              </w:rPr>
              <w:t>/s/ Andrew J. England</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J. England</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August 10, 2016</w:t>
            </w:r>
          </w:p>
        </w:tc>
        <w:tc>
          <w:tcPr>
            <w:tcW w:w="6100" w:type="dxa"/>
            <w:vAlign w:val="bottom"/>
          </w:tcPr>
          <w:p>
            <w:pPr>
              <w:spacing w:after="0"/>
              <w:rPr>
                <w:sz w:val="20"/>
                <w:szCs w:val="20"/>
                <w:color w:val="auto"/>
              </w:rPr>
            </w:pPr>
            <w:r>
              <w:rPr>
                <w:rFonts w:ascii="Arial" w:cs="Arial" w:eastAsia="Arial" w:hAnsi="Arial"/>
                <w:sz w:val="18"/>
                <w:szCs w:val="18"/>
                <w:color w:val="auto"/>
              </w:rPr>
              <w:t>/s/ David J. Oddo</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J. Oddo</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Senior Vice President, Finance and Interim Co-Chief Financial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August 10, 2016</w:t>
            </w:r>
          </w:p>
        </w:tc>
        <w:tc>
          <w:tcPr>
            <w:tcW w:w="6100" w:type="dxa"/>
            <w:vAlign w:val="bottom"/>
          </w:tcPr>
          <w:p>
            <w:pPr>
              <w:spacing w:after="0"/>
              <w:rPr>
                <w:sz w:val="20"/>
                <w:szCs w:val="20"/>
                <w:color w:val="auto"/>
              </w:rPr>
            </w:pPr>
            <w:r>
              <w:rPr>
                <w:rFonts w:ascii="Arial" w:cs="Arial" w:eastAsia="Arial" w:hAnsi="Arial"/>
                <w:sz w:val="18"/>
                <w:szCs w:val="18"/>
                <w:color w:val="auto"/>
              </w:rPr>
              <w:t>/s/ Jeffrey T. Cabot</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T. Cabot</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Senior Vice President, Controller and Interim Co-Chief Financial Officer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225" w:lineRule="exact"/>
        <w:rPr>
          <w:sz w:val="20"/>
          <w:szCs w:val="20"/>
          <w:color w:val="auto"/>
        </w:rPr>
      </w:pPr>
    </w:p>
    <w:p>
      <w:pPr>
        <w:ind w:left="700" w:hanging="17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2016</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225" w:lineRule="exact"/>
        <w:rPr>
          <w:sz w:val="20"/>
          <w:szCs w:val="20"/>
          <w:color w:val="auto"/>
        </w:rPr>
      </w:pPr>
    </w:p>
    <w:p>
      <w:pPr>
        <w:ind w:left="700" w:hanging="17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2016</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June 30, 2016 (the “Report”) of National CineMedia, LLC (the “Registrant”) as filed with the Securities and Exchange Commission on the date hereof, I, Andrew J. England, the Chief Executive Officer and Director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10, 2016</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June 30, 2016 (the “Report”) of National CineMedia, LLC (the “Registrant”) as filed with the Securities and Exchange Commission on the date hereof, I, David J. Oddo, the Senior Vice President, Finance and Interim Co-Chief Financial Officer of the Registrant, certify, pursuant to 18 U.S.C. § 1350, as adopted pursuant to § 906 of the Sarbanes-Oxley Act of 2002, that to the best of my knowledge:</w:t>
      </w:r>
    </w:p>
    <w:p>
      <w:pPr>
        <w:spacing w:after="0" w:line="187" w:lineRule="exact"/>
        <w:rPr>
          <w:sz w:val="20"/>
          <w:szCs w:val="20"/>
          <w:color w:val="auto"/>
        </w:rPr>
      </w:pPr>
    </w:p>
    <w:p>
      <w:pPr>
        <w:ind w:left="700" w:hanging="174"/>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August 10, 2016</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Senior Vice President, Finance and Interim Co-Chief Financial Officer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lvl w:ilvl="1">
      <w:lvlJc w:val="left"/>
      <w:lvlText w:val="(%2)"/>
      <w:numFmt w:val="decimal"/>
      <w:start w:val="1"/>
    </w:lvl>
  </w:abstractNum>
  <w:abstractNum w:abstractNumId="6">
    <w:nsid w:val="25E45D32"/>
    <w:multiLevelType w:val="hybridMultilevel"/>
    <w:lvl w:ilvl="0">
      <w:lvlJc w:val="left"/>
      <w:lvlText w:val="%1."/>
      <w:numFmt w:val="decimal"/>
      <w:start w:val="7"/>
    </w:lvl>
    <w:lvl w:ilvl="1">
      <w:lvlJc w:val="left"/>
      <w:lvlText w:val="%2"/>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2019-12-29T10:01:19Z</dcterms:created>
  <dcterms:modified xsi:type="dcterms:W3CDTF">2019-12-29T10:01:19Z</dcterms:modified>
</cp:coreProperties>
</file>