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March 31, 2011</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April 29, 2011, 55,140,076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0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Balance Sheets</w:t>
              </w:r>
            </w:hyperlink>
          </w:p>
        </w:tc>
        <w:tc>
          <w:tcPr>
            <w:tcW w:w="59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Operations</w:t>
              </w:r>
            </w:hyperlink>
          </w:p>
        </w:tc>
        <w:tc>
          <w:tcPr>
            <w:tcW w:w="52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Unaudited Condensed Consolidated Statements of Cash Flows</w:t>
              </w:r>
            </w:hyperlink>
          </w:p>
        </w:tc>
        <w:tc>
          <w:tcPr>
            <w:tcW w:w="51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Condensed Consolidated Statement of Equity/(Deficit) and Comprehensive Income</w:t>
              </w:r>
            </w:hyperlink>
          </w:p>
        </w:tc>
        <w:tc>
          <w:tcPr>
            <w:tcW w:w="2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3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gridSpan w:val="11"/>
          </w:tcPr>
          <w:p>
            <w:pPr>
              <w:jc w:val="center"/>
              <w:ind w:right="5060"/>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2580" w:type="dxa"/>
            <w:vAlign w:val="bottom"/>
            <w:gridSpan w:val="6"/>
          </w:tcPr>
          <w:p>
            <w:pPr>
              <w:spacing w:after="0"/>
              <w:rPr>
                <w:sz w:val="24"/>
                <w:szCs w:val="24"/>
                <w:color w:val="auto"/>
              </w:rPr>
            </w:pPr>
          </w:p>
        </w:tc>
        <w:tc>
          <w:tcPr>
            <w:tcW w:w="640" w:type="dxa"/>
            <w:vAlign w:val="bottom"/>
            <w:tcBorders>
              <w:top w:val="single" w:sz="8" w:color="0000EE"/>
            </w:tcBorders>
            <w:gridSpan w:val="7"/>
          </w:tcPr>
          <w:p>
            <w:pPr>
              <w:spacing w:after="0"/>
              <w:rPr>
                <w:sz w:val="24"/>
                <w:szCs w:val="24"/>
                <w:color w:val="auto"/>
              </w:rPr>
            </w:pPr>
          </w:p>
        </w:tc>
        <w:tc>
          <w:tcPr>
            <w:tcW w:w="50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Risk Factors</w:t>
              </w:r>
            </w:hyperlink>
          </w:p>
        </w:tc>
        <w:tc>
          <w:tcPr>
            <w:tcW w:w="870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Unregistered Sales of Equity Securities and Use of Proceeds</w:t>
              </w:r>
            </w:hyperlink>
          </w:p>
        </w:tc>
        <w:tc>
          <w:tcPr>
            <w:tcW w:w="53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Removed and Reserved</w:t>
              </w:r>
            </w:hyperlink>
          </w:p>
        </w:tc>
        <w:tc>
          <w:tcPr>
            <w:tcW w:w="73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Other Information</w:t>
              </w:r>
            </w:hyperlink>
          </w:p>
        </w:tc>
        <w:tc>
          <w:tcPr>
            <w:tcW w:w="380" w:type="dxa"/>
            <w:vAlign w:val="bottom"/>
            <w:tcBorders>
              <w:top w:val="single" w:sz="8" w:color="0000EE"/>
            </w:tcBorders>
            <w:gridSpan w:val="3"/>
          </w:tcPr>
          <w:p>
            <w:pPr>
              <w:spacing w:after="0"/>
              <w:rPr>
                <w:sz w:val="24"/>
                <w:szCs w:val="24"/>
                <w:color w:val="auto"/>
              </w:rPr>
            </w:pPr>
          </w:p>
        </w:tc>
        <w:tc>
          <w:tcPr>
            <w:tcW w:w="792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6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CONDENSED CONSOLIDATED BALANCE SHEETS (In millions, except share and per share data)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$4.0 and $3.7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 of accumulated depreciation of $48.8 and $46.4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Intangible assets, net of accumulated amortization of $13.0 and $10.8 million,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267.4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 of valuation allowance of $1.7 and $1.7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Debt issuance costs, net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w:t>
            </w: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66.2</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778.0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1,057.2</w:t>
            </w: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1,123.4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1,172.9</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EQUITY/(DEFICIT):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NCM, Inc. Stockholders’ Equity: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4"/>
              </w:rPr>
              <w:t>Common stock, $0.01 par value; 120,000,000 shares authorized, 53,755,721 and 53,549,477 issued and outstanding,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(369.9)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Retained earnings (distributions in excess of earnings)</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860"/>
              <w:spacing w:after="0"/>
              <w:rPr>
                <w:sz w:val="20"/>
                <w:szCs w:val="20"/>
                <w:color w:val="auto"/>
              </w:rPr>
            </w:pPr>
            <w:r>
              <w:rPr>
                <w:rFonts w:ascii="Arial" w:cs="Arial" w:eastAsia="Arial" w:hAnsi="Arial"/>
                <w:sz w:val="18"/>
                <w:szCs w:val="18"/>
                <w:color w:val="auto"/>
              </w:rPr>
              <w:t>Total NCM, Inc. stockholders’ equity/(deficit)</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(418.0)</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equity/(deficit)</w:t>
            </w:r>
          </w:p>
        </w:tc>
        <w:tc>
          <w:tcPr>
            <w:tcW w:w="1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(327.0)</w:t>
            </w: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07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072"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Advertising (including revenue from founding members of $8.3 and $9.6 million, respectively)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59.1</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70.8</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Advertising operating costs</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 operating costs (including $1.9 and $2.4 million to founding members,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Network costs</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Theatre access fees—founding members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Selling and marketing costs</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Administrative and other costs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Interest on borrowings</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derivative fair value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w w:val="99"/>
              </w:rPr>
              <w:t>Accretion of interest on the discounted payable to founding members under tax sharing agreement</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Equity loss from investment, net</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NCM,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NCM, INC.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53,691,186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42,209,698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53,691,186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42,669,896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Non-cash share-based compensation</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w w:val="99"/>
              </w:rPr>
              <w:t>Accretion of interest on the discounted payable to founding members under tax sharing agreement</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unrealized loss (gain) on hedging transactions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Equity loss from investment</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Other non-cash operating activities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Amounts due to founding members</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Payment to founding members under tax sharing agreement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Income taxes and other</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operating</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borrowings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Founding member integration payments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founding members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Repurchase of stock for restricted stock tax withholding</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Beginning of period</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9"/>
              </w:rPr>
              <w:t>March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Subsidiary equity (returned) issued for purchase of intangible asset</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Increase in dividends not requiring cash in the period</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EQUITY/(DEFICIT)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color w:val="auto"/>
              </w:rPr>
              <w:t>NCM, Inc.</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500"/>
              <w:spacing w:after="0" w:line="131" w:lineRule="exact"/>
              <w:rPr>
                <w:sz w:val="20"/>
                <w:szCs w:val="20"/>
                <w:color w:val="auto"/>
              </w:rPr>
            </w:pPr>
            <w:r>
              <w:rPr>
                <w:rFonts w:ascii="Arial" w:cs="Arial" w:eastAsia="Arial" w:hAnsi="Arial"/>
                <w:sz w:val="14"/>
                <w:szCs w:val="14"/>
                <w:color w:val="auto"/>
                <w:w w:val="85"/>
              </w:rPr>
              <w:t>Retained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6"/>
              </w:rPr>
              <w:t>Earnings</w:t>
            </w: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8"/>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Additional Paid</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(Distribution</w:t>
            </w:r>
          </w:p>
        </w:tc>
        <w:tc>
          <w:tcPr>
            <w:tcW w:w="18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5"/>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4"/>
              </w:rPr>
              <w:t>Common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2"/>
              </w:rPr>
              <w:t>in Capital</w:t>
            </w:r>
          </w:p>
        </w:tc>
        <w:tc>
          <w:tcPr>
            <w:tcW w:w="1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 Excess of</w:t>
            </w: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9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Consolidated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13"/>
              <w:spacing w:after="0" w:line="159" w:lineRule="exact"/>
              <w:rPr>
                <w:sz w:val="20"/>
                <w:szCs w:val="20"/>
                <w:color w:val="auto"/>
              </w:rPr>
            </w:pPr>
            <w:r>
              <w:rPr>
                <w:rFonts w:ascii="Arial" w:cs="Arial" w:eastAsia="Arial" w:hAnsi="Arial"/>
                <w:sz w:val="14"/>
                <w:szCs w:val="14"/>
                <w:color w:val="auto"/>
                <w:w w:val="85"/>
              </w:rPr>
              <w:t>Stock</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90"/>
              </w:rPr>
              <w:t>Earnings)</w:t>
            </w:r>
          </w:p>
        </w:tc>
        <w:tc>
          <w:tcPr>
            <w:tcW w:w="1280" w:type="dxa"/>
            <w:vAlign w:val="bottom"/>
            <w:gridSpan w:val="3"/>
          </w:tcPr>
          <w:p>
            <w:pPr>
              <w:jc w:val="center"/>
              <w:ind w:right="420"/>
              <w:spacing w:after="0" w:line="159" w:lineRule="exact"/>
              <w:rPr>
                <w:sz w:val="20"/>
                <w:szCs w:val="20"/>
                <w:color w:val="auto"/>
              </w:rPr>
            </w:pPr>
            <w:r>
              <w:rPr>
                <w:rFonts w:ascii="Arial" w:cs="Arial" w:eastAsia="Arial" w:hAnsi="Arial"/>
                <w:sz w:val="14"/>
                <w:szCs w:val="14"/>
                <w:color w:val="auto"/>
                <w:w w:val="87"/>
              </w:rPr>
              <w:t>Income (Loss)</w:t>
            </w: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30, 2010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9"/>
              </w:rPr>
              <w:t>Subsidiary equity (returned) for purchase of intangible asset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Income tax and other impacts of subsidiary ownership changes</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gain (loss):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Net unrealized gain on cash flow hedge, net of tax</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net of tax</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w w:val="99"/>
              </w:rPr>
              <w:t>Total Comprehensive Income Gain (Loss), net of</w:t>
            </w: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issued</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Share-based compensation expense/capitalized</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$0.20 per share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Balance—March 31, 2011</w:t>
            </w: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(327.0)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(369.9)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(490.2)</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Income tax and other impacts of subsidiary ownership changes</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gain (loss):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Net unrealized (loss) on cash flow hedge, net of tax</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net of tax</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w w:val="99"/>
              </w:rPr>
              <w:t>Total Comprehensive Income Gain (Loss), net of</w:t>
            </w: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issued</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Share-based compensation expense/capitalized</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$0.16 per share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Balance—April 1, 2010</w:t>
            </w: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(462.7)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(471.9)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jc w:val="both"/>
        <w:ind w:right="9620" w:firstLine="8"/>
        <w:spacing w:after="0" w:line="417" w:lineRule="auto"/>
        <w:tabs>
          <w:tab w:leader="none" w:pos="44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theatre circuits under “network affiliate” agreements, which expire at various dates. The Company’s initial public offering (“IPO”) was completed in February 2007.</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March 31, 2011, NCM LLC had 110,635,685 common membership units outstanding, of which 53,755,721 (48.6%) were owned by NCM, Inc., 22,060,262 (19.9%) were owned by Regal, 17,495,920 (15.8%) were owned by Cinemark and 17,323,782 (15.7%) were owned by AMC. The membership units held by the founding members are exchangeable into NCM, Inc. common stock on a one-for-one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filed for the fiscal year ended December 30, 2010.</w:t>
      </w:r>
    </w:p>
    <w:p>
      <w:pPr>
        <w:spacing w:after="0" w:line="1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4, the operating results as presented are not necessarily indicative of the results that might have occurred if all agreements were with non-related third parties.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 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 NCM, Inc. consolidates the accounts of NCM LLC under the provision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Under ASC 810, a managing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 Refer to Note 9 for additional discussion.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Reclassifications </w:t>
      </w:r>
      <w:r>
        <w:rPr>
          <w:rFonts w:ascii="Arial" w:cs="Arial" w:eastAsia="Arial" w:hAnsi="Arial"/>
          <w:sz w:val="16"/>
          <w:szCs w:val="16"/>
          <w:color w:val="auto"/>
        </w:rPr>
        <w:t>– Certain reclassifications of previously reported amounts within operating activities in the statement of cash flows and share 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within the statement of equity and comprehensive income have been made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30, 2010 contain a complete discussion of the Company’s significant accounting policies.</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 Bad debts are provided for using the allowance for doubtful accounts method based on historical experience and management’s evaluation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outstanding receivables at the end of the period. Receivables are written off when management determines amounts are uncollectible. Trade accounts receivable are uncollateralized and represent a large number of geographically dispersed debtors. At March 31, 2011, there were two advertising agency groups through which the Company sources national advertising revenue representing approximately 11% and 20%, of the Company’s outstanding gross receivable balance; however, none of the individual contracts related to the advertising agencies were more than 10% of advertising revenue. At December 30, 2010 there were two advertising agency groups through which the Company sources national advertising revenue representing approximately 17% and 21%, of the Company’s outstanding gross receivable balance; however, none of the individual contracts related to the advertising agencies were more than 10% of advertising revenue. The collectability risk is reduced by dealing with large, national advertising agencies who have strong reputations in the advertising industry and clients with stable financial positions.</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Other Investment</w:t>
      </w:r>
      <w:r>
        <w:rPr>
          <w:rFonts w:ascii="Arial" w:cs="Arial" w:eastAsia="Arial" w:hAnsi="Arial"/>
          <w:sz w:val="18"/>
          <w:szCs w:val="18"/>
          <w:color w:val="auto"/>
        </w:rPr>
        <w:t>— Through March 15, 2010, the Company accounted for its investment in RMG Networks, Inc., (“RMG”) (formerly Danoo, Inc.)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equity method of accounting as required by ASC 323-10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(“ASC 323-10”). During the first quarter of 2010, RMG sold additional common stock to other third party investors for cash, which reduced the Company’s ownership in RMG, resulting in cost method accounting. At March 31, 2011, the Company’s ownership in RMG was approximately 19% of the issued and outstanding preferred and common stock of RMG. Refer to Note 7 for additional discussion.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considered all recently issued accounting pronouncements and does not believe the adoption of such pronouncements will have a material impact on its consolidated financial statements.</w:t>
      </w:r>
    </w:p>
    <w:p>
      <w:pPr>
        <w:spacing w:after="0" w:line="24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Basic earnings (loss) per share is computed on the basis of the weighted average number of common shares outstanding. Diluted earnings (loss) per share is computed on the basis of the weighted average number of common shares outstanding plus the effect of potentially dilutive common stock options, and restricted stock using the treasury stock method. The components of basic and diluted earnings (loss) per NCM, Inc, share are as follows: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Quarter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April 1,</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 (in millions)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53,691,186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42,209,698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53,691,186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42,669,896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Earnings (Loss) per NCM, Inc. share:</w:t>
            </w: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effect of the 57,153,964 and 59,824,720 exchangeable NCM LLC common units held by the founding members for the quarter ended March 31, 2011 and April 1, 2010, respectively, have been excluded from the calculation of diluted weighted average shares and earnings per NCM, Inc. share as they were antidilutive. In addition, there were 429,781 and 380,451 stock options and 572,297 and 55,069 non-vested (restricted) shares for the quarter ended March 31, 2011 and April 1, 2010, respectively, excluded from the calculation as they were antidilutive, primarily as exercise prices on stock options and intrinsic value of restricted stock shares were above the average market value.</w:t>
      </w:r>
    </w:p>
    <w:p>
      <w:pPr>
        <w:spacing w:after="0" w:line="2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first quarter of 2011, NCM LLC’s founding members returned a net 322,751 common membership units to NCM LLC, which is an adjustment to the previously issued common membership units issued in exchange for the rights to exclusive access, in accordance with the ESA, to net new theatre screens and attendees added by the founding members to NCM LLC’s network. As a result, NCM LLC recorded a reduction to the intangible asset at fair value of the common membership units of $5.5 million.</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During the first quarter of 2010, NCM LLC issued 2,212,219 common membership units to its founding members in exchange for the rights to exclusive access to net new theatre screens and attendees added by the founding members to NCM LLC’s network. As a result, NCM LLC recorded an intangible asset at fair value of $39.8 million.</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based the fair value of the intangible assets on the market value of the common membership units when issued, which are freely convertible into the Company’s common stock.</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Pursuant to ASC 350-10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the intangible assets have a finite useful life and the Company amortizes the assets over the remaining useful life corresponding with the ESAs. Amortization of the asset related to Regal Consolidated Theatres will not begin until after mid-2011 since the Company will not have access to on-screen advertising in the Regal Consolidated Theatres until the run-out of their existing on–screen advertising agreement.</w:t>
      </w:r>
    </w:p>
    <w:p>
      <w:pPr>
        <w:spacing w:after="0" w:line="2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ESAs, the Company makes monthly theatre access fee payments to the founding members, comprised of a payment per theatre attendee and a payment per digital screen with respect to the founding member theatres included in our network. The total theatre access fee to the founding members for the quarter ended March 31, 2011 and April 1, 2010 was $12.1 million and $12.9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ESAs, for the quarters ended March 31, 2011 and April 1, 2010, the founding members purchased 60 seconds of on-screen advertising time (with a right to purchase up to 90 seconds) from NCM LLC to satisfy their obligations under their beverage concessionaire agreements at a specified 30 second equivalent cost per thousand (“CPM”) impressions. The total revenue related to the beverage concessionaire agreements for the quarters ended March 31, 2011 and April 1, 2010 was $8.2 million and $9.2 million, respectively. In addition, the Company made payments to the founding members for use of their screens and theatres for its Fathom Events businesses. These payments are at rates (percentage of event revenue) included in the ESAs based on the nature of the event. Payments to the founding members for these events totaled $1.9 million and $2.4 million for the quarter ended March 31, 2011 and April 1, 2010, respectively.</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Distributions for the quarter ended March 31, 2011 and April 1, 2010 are as follows (in millions):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220" w:type="dxa"/>
            <w:vAlign w:val="bottom"/>
            <w:gridSpan w:val="4"/>
          </w:tcPr>
          <w:p>
            <w:pPr>
              <w:ind w:left="6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5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660" w:type="dxa"/>
            <w:vAlign w:val="bottom"/>
            <w:gridSpan w:val="3"/>
          </w:tcPr>
          <w:p>
            <w:pPr>
              <w:jc w:val="center"/>
              <w:ind w:left="2979"/>
              <w:spacing w:after="0" w:line="149" w:lineRule="exact"/>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00" w:type="dxa"/>
            <w:vAlign w:val="bottom"/>
            <w:gridSpan w:val="2"/>
          </w:tcPr>
          <w:p>
            <w:pPr>
              <w:spacing w:after="0"/>
              <w:rPr>
                <w:sz w:val="20"/>
                <w:szCs w:val="20"/>
                <w:color w:val="auto"/>
              </w:rPr>
            </w:pPr>
            <w:r>
              <w:rPr>
                <w:rFonts w:ascii="Arial" w:cs="Arial" w:eastAsia="Arial" w:hAnsi="Arial"/>
                <w:sz w:val="18"/>
                <w:szCs w:val="18"/>
                <w:color w:val="auto"/>
              </w:rPr>
              <w:t>Cinemark</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800" w:type="dxa"/>
            <w:vAlign w:val="bottom"/>
            <w:gridSpan w:val="2"/>
          </w:tcPr>
          <w:p>
            <w:pPr>
              <w:spacing w:after="0"/>
              <w:rPr>
                <w:sz w:val="20"/>
                <w:szCs w:val="20"/>
                <w:color w:val="auto"/>
              </w:rPr>
            </w:pPr>
            <w:r>
              <w:rPr>
                <w:rFonts w:ascii="Arial" w:cs="Arial" w:eastAsia="Arial" w:hAnsi="Arial"/>
                <w:sz w:val="18"/>
                <w:szCs w:val="18"/>
                <w:color w:val="auto"/>
              </w:rPr>
              <w:t>NCM, Inc.</w:t>
            </w:r>
          </w:p>
        </w:tc>
        <w:tc>
          <w:tcPr>
            <w:tcW w:w="3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available cash payment by NCM LLC to its founding members for the quarter ended March 31, 2011 of $5.8 million, which is included in amounts due to founding members at March 31, 2011, will be made in the second quarter of 2011. The available cash payment by NCM LLC to its founding members for the quarter ended April 1, 2010 of $6.2 million was made in the second quarter of 2010.</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must make “integration” payments pursuant to the ESAs on a quarterly basis in arrears through mid-2011 in accordance with certain run-out provisions. For the quarter ended March 31, 2011 and April 1, 2010, the Consolidated Theatres payment was $0.2 million and $0.4 million, respectively and represents a cash element of the consideration received for the common membership units issued. The Consolidated Theatres payment of $0.2 million for the quarter ended March 31, 2011 was included in amounts due from founding members at March 31, 2011 and will be received in the second quarter of 2011.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March 31, 2011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5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7"/>
              </w:rPr>
              <w:t>Cinemark</w:t>
            </w:r>
          </w:p>
        </w:tc>
        <w:tc>
          <w:tcPr>
            <w:tcW w:w="50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8"/>
              </w:rPr>
              <w:t>Regal</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$ 1.3</w:t>
            </w:r>
          </w:p>
        </w:tc>
        <w:tc>
          <w:tcPr>
            <w:tcW w:w="0" w:type="dxa"/>
            <w:vAlign w:val="bottom"/>
          </w:tcPr>
          <w:p>
            <w:pPr>
              <w:spacing w:after="0"/>
              <w:rPr>
                <w:sz w:val="1"/>
                <w:szCs w:val="1"/>
                <w:color w:val="auto"/>
              </w:rPr>
            </w:pPr>
          </w:p>
        </w:tc>
      </w:tr>
      <w:tr>
        <w:trPr>
          <w:trHeight w:val="322"/>
        </w:trPr>
        <w:tc>
          <w:tcPr>
            <w:tcW w:w="724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(0.8)</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$ 1.9</w:t>
            </w:r>
          </w:p>
        </w:tc>
        <w:tc>
          <w:tcPr>
            <w:tcW w:w="5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December 30, 2010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Cinemark</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Regal</w:t>
            </w:r>
          </w:p>
        </w:tc>
        <w:tc>
          <w:tcPr>
            <w:tcW w:w="4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2"/>
        </w:trPr>
        <w:tc>
          <w:tcPr>
            <w:tcW w:w="722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 During the quarter ended March 31, 2011 and April 1, 2010, AMC, Cinemark and Regal purchased $0.1 million and $0.4 million respectively,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NCM LLC’s advertising inventory for their own use. The value of such purchases are calculated by reference to NCM LLC’s advertising rate card and included in advertising revenue.</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Included in selling and marketing costs and Fathom Events operating costs is $0.3 million and $0.4 million for the quarter ended March 31, 2011 and April 1, 2010 respectively, related to purchases of movie tickets and concession products from the founding members primarily for marketing to NCM LLC’s advertising clients and marketing resale to Fathom Business customers.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paid the founding members $17.1 million in the first quarter of 2011 for the 2010 taxable year and $14.0 million in the first quarter of 2010 for the 2009 taxable year pursuant to the tax sharing agreement.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Related Party Affiliates </w:t>
      </w:r>
      <w:r>
        <w:rPr>
          <w:rFonts w:ascii="Arial" w:cs="Arial" w:eastAsia="Arial" w:hAnsi="Arial"/>
          <w:sz w:val="16"/>
          <w:szCs w:val="16"/>
          <w:color w:val="auto"/>
        </w:rPr>
        <w:t>—During 2009, NCM LLC entered into a digital content agreement and a Fathom agreement with LA Live Cinemas LLC (“LA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Live”), an affiliate of Regal, for NCM LLC to provide in-theatre advertising and Fathom Events services to LA Live in its theatre complex. The affiliate agreement was entered into at terms that are similar to those of our other advertising affiliates. Included in advertising operating costs is an immaterial amount for the quarters ended March 31, 2011 and April 1, 2010, respectively, for payments to the affiliate under the agreement. As of March 31, 2011 and December 30, 2010 an immaterial amount and approximately $0.1 million, respectively is included in accounts payable for amounts due to LA Live under the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2009, NCM LLC entered into a network affiliate agreement with Starplex Operating L.P. (“Starplex”), an affiliate of Cinemark, for NCM LLC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provide in-theatre advertising services to Starplex in its theatre locations. The affiliate agreement was entered into at terms that are similar to those of our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advertising affiliates. Starplex joined the NCM LLC advertising network in the first quarter of 2010. Included in advertising operating costs is $0.4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quarter ended March 31, 2011 and April 1, 2010, respectively, for its share of advertising sold in its theatres under the affiliate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March 31, 2011 and December 30, 2010 approximately $0.5 million and $0.5 million, respectively is included in accounts payable for amounts due to Starplex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outstanding balance of the term loan facility at March 31, 2011 and December 30, 2010 was $725.0 million. The outstanding balance under the revolving credit facility at March 31, 2011 and December 30, 2010 was $53.0 million and $50.0 million, respectively. As of March 31, 2011, the effective rate on the term loan was 5.4% including the effect of the interest rate swaps (both the swaps accounted for as hedges and those that are not). The interest rate swaps hedged $550.0 million or 76% of the $725.0 million term loan at a fixed interest rate of 6.484% while the unhedged portion was at an interest rate of 1.81%. The applicable margin on the term loan was lowered to 1.5% from 1.75% as a result of an upgrade of the corporate credit rating by the credit rating agencies specified in the credit agreement, in the first quarter of 2011. The weighted-average interest rate on the unhedged revolver was 2.0%. Commencing with the fourth fiscal quarter in fiscal year 2009,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The senior secured credit facility also contains a number of covenants and financial ratio requirements, with which the Company was in compliance at March 31, 2011, including the consolidated net senior secured leverage ratio. There are no borrower distribution restrictions as long as the Company’s consolidated net senior secured leverage ratio is below 6.5 times and the borrower is in compliance with its other debt covenants. As of March 31, 2011, its consolidated net senior secured leverage ratio was 3.7 times, while the covenant was 6.5 times.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19, 2009, the Company gave an $8.5 million note payable to Credit Suisse, Cayman Islands Branch (“Credit Suisse”) with no stated interest to settle the $10.0 million contingent put obligation and to acquire the $20.7 million outstanding principal balance of debt of IdeaCast, Inc. (“IdeaCast”) (together with all accrued interest and other lender costs required to be reimbursed by IdeaCast). The note was paid in full on January 15, 2011. At issuance the Company recorded the note at a present value of $7.0 million. At December 30, 2010, $1.2 million of the balance was recorded in current liabilities. Interest on the note was accreted at the Company’s estimated incremental cost of debt based on then current market indicators over the term of the loan to interest expense. There was an immaterial amount of interest expense recognized on the note for the quarter ended March 31, 2011.</w:t>
      </w:r>
    </w:p>
    <w:p>
      <w:pPr>
        <w:spacing w:after="0" w:line="23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adverse effect on its financial position or results of operations.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theatre chains other than those of the founding members of NCM LLC, the Company has agreed to certain minimum revenue guarantees on a per attendee basis.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two to five years, prior to any renewal periods of which some are at the option of the Company. The maximum potential amount of future payments the Company could be required to make pursuant to the minimum revenue guarantees is $13.7 million over the remaining terms of the network affiliate agreements. As of March 31, 2011 and December 30, 2010 the Company had no liabilities recorded for these obligations as such guarantees are less than the expected share of revenue paid to the affiliate.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—The carrying amounts of cash and other notes payable as reported in the Company’s balance sheets approximate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fair value due to their short maturity. The carrying amount of the revolving credit facility is considered a reasonable estimate of fair value due to its floating-rate terms. The carrying amounts and fair values of interest rate swap agreements are the same since the Company accounts for these instruments at fair value. The Company has estimated the fair value of its term loan based on an average of at least two non-binding broker quotes and the Company’s analysis to be $713.9 million and $713.3 million at March 31, 2011 and December 30, 2010, respectively. The carrying value of the term loan was $725.0 million as of March 31, 2011 and December 30, 2010.</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fair value of the investment in RMG networks has not been estimated at March 31, 2011 as there were no monetary equity events or changes in circumstances that may have a significant adverse effect on the fair value of the investment, and as it is not practicable to do so because RMG is not a publicly traded company. The carrying amount of the Company’s investment was $6.7 million as of March 31, 2011 and December 30, 2010. Refer to Note 1-Signifcant Accounting Policies-Other Investment.</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7"/>
              </w:rPr>
              <w:t>Fair Value Measurements at Reporting Date Using</w:t>
            </w:r>
          </w:p>
        </w:tc>
      </w:tr>
      <w:tr>
        <w:trPr>
          <w:trHeight w:val="129"/>
        </w:trPr>
        <w:tc>
          <w:tcPr>
            <w:tcW w:w="4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7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Active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740" w:type="dxa"/>
            <w:vAlign w:val="bottom"/>
          </w:tcPr>
          <w:p>
            <w:pPr>
              <w:spacing w:after="0"/>
              <w:rPr>
                <w:sz w:val="12"/>
                <w:szCs w:val="12"/>
                <w:color w:val="auto"/>
              </w:rPr>
            </w:pPr>
          </w:p>
        </w:tc>
        <w:tc>
          <w:tcPr>
            <w:tcW w:w="14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4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(Level 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(2)</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Current Portion of Interest Rate Swap Agreements </w:t>
            </w:r>
            <w:r>
              <w:rPr>
                <w:rFonts w:ascii="Arial" w:cs="Arial" w:eastAsia="Arial" w:hAnsi="Arial"/>
                <w:sz w:val="18"/>
                <w:szCs w:val="18"/>
                <w:i w:val="1"/>
                <w:iCs w:val="1"/>
                <w:color w:val="auto"/>
              </w:rPr>
              <w:t>(3)</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 The Company’s cash equivalents are carried at estimated fair value.</w:t>
      </w:r>
    </w:p>
    <w:p>
      <w:pPr>
        <w:spacing w:after="0" w:line="15" w:lineRule="exact"/>
        <w:rPr>
          <w:rFonts w:ascii="Arial" w:cs="Arial" w:eastAsia="Arial" w:hAnsi="Arial"/>
          <w:sz w:val="18"/>
          <w:szCs w:val="18"/>
          <w:i w:val="1"/>
          <w:iCs w:val="1"/>
          <w:color w:val="auto"/>
        </w:rPr>
      </w:pPr>
    </w:p>
    <w:p>
      <w:pPr>
        <w:ind w:left="460" w:hanging="452"/>
        <w:spacing w:after="0" w:line="281" w:lineRule="auto"/>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Investments</w:t>
      </w:r>
      <w:r>
        <w:rPr>
          <w:rFonts w:ascii="Arial" w:cs="Arial" w:eastAsia="Arial" w:hAnsi="Arial"/>
          <w:sz w:val="16"/>
          <w:szCs w:val="16"/>
          <w:color w:val="auto"/>
        </w:rPr>
        <w:t>— The Company’s short-term and long-term investments are classified as available-for-sale and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with any unrealized gains, as well as losses that the Company considers to be temporary, reported net of tax in other comprehensive income within stockholders’ equity. Short-term investments have effective maturity dates from three to 12 months and long-term investments have effective maturity dates greater than 12 months. For the quarter ended March 31, 2011 there was an immaterial amount of net realized gains (losses) recognized in interest income and no net unrealized holding gains (losses) included in other comprehensive income.</w:t>
      </w:r>
    </w:p>
    <w:p>
      <w:pPr>
        <w:spacing w:after="0" w:line="3" w:lineRule="exact"/>
        <w:rPr>
          <w:rFonts w:ascii="Arial" w:cs="Arial" w:eastAsia="Arial" w:hAnsi="Arial"/>
          <w:sz w:val="16"/>
          <w:szCs w:val="16"/>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Swap Agreements</w:t>
      </w:r>
      <w:r>
        <w:rPr>
          <w:rFonts w:ascii="Arial" w:cs="Arial" w:eastAsia="Arial" w:hAnsi="Arial"/>
          <w:sz w:val="18"/>
          <w:szCs w:val="18"/>
          <w:color w:val="auto"/>
        </w:rPr>
        <w:t>—Refer to Note 8.</w:t>
      </w:r>
    </w:p>
    <w:p>
      <w:pPr>
        <w:spacing w:after="0" w:line="2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NCM LLC has interest rate swap agreements with four counterparties that, at their inception, qualified for and were designated as cash flow hedges against interest rate exposure on $550.0 million of the variable rate debt obligations under the senior secured credit facility. The interest rate swap agreements have the effect of converting a portion of the Company’s variable rate debt to a fixed rate of 6.484%. All interest rate swaps were entered into for risk management purposes. The Company has no derivatives for other purposes.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Cash flow hedge accounting was discontinued on September 15, 2008 due to the event of default created by the bankruptcy of Lehman Brothers Holdings Inc. (“Lehman”) and the inability of the Company to continue to demonstrate the swap would be effective.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net derivative loss as of September 14, 2008 related to the discontinued cash flow hedge with Lehman Brothers Special Financing (“LBSF”) shall continue to be reported in accumulated other comprehensive income unless it is probable that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forecasted transaction will not occur by the end of the originally specified time period. Accordingly, the net derivative loss is being amortized to interest expense over the remaining term of the interest rate swap through February 13, 2015. The amount amortized during the quarter ended March 31, 2011 and April 1, 2010 was $0.3 million. The Company estimates approximately $1.3 million will be amortized to interest expense and other, net in the next 12 months.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February 2010, NCM LLC entered into an interest rate swap agreement with Barclays Bank PLC (“Barclays”) to replace the Lehman swap that was terminated in February 2010. The Company did not elect cash flow hedge accounting and the interest rate swap with Barclays is recorded at fair value with any change in the fair value recorded in the statement of operations. There was a $1.5 million decrease and a $1.4 million increase in the fair value of the liability for the quarter ended March 31, 2011 and April 1, 2010, respectively, which the Company recorded as a component of interest expense and other, net.</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Both at inception and on an on-going basis the Company performs an effectiveness test using the hypothetical derivative method. The fair values of the interest rate swaps with the counterparties other than Barclays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March 31, 2011 and December 30, 2010. There were no amounts reclassified into current earnings due to ineffectiveness during the periods presented other than as described herein.</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March 31, 2011 and December 30, 2010, the estimated fair value and line item caption of derivative instruments recorded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20" w:type="dxa"/>
            <w:vAlign w:val="bottom"/>
            <w:gridSpan w:val="6"/>
          </w:tcPr>
          <w:p>
            <w:pPr>
              <w:ind w:left="280"/>
              <w:spacing w:after="0"/>
              <w:rPr>
                <w:sz w:val="20"/>
                <w:szCs w:val="20"/>
                <w:color w:val="auto"/>
              </w:rPr>
            </w:pPr>
            <w:r>
              <w:rPr>
                <w:rFonts w:ascii="Arial" w:cs="Arial" w:eastAsia="Arial" w:hAnsi="Arial"/>
                <w:sz w:val="14"/>
                <w:szCs w:val="14"/>
                <w:b w:val="1"/>
                <w:bCs w:val="1"/>
                <w:color w:val="auto"/>
              </w:rPr>
              <w:t>Liability Derivatives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88"/>
              </w:rPr>
              <w:t>As of March 31, 2011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30, 2010</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66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Balance Sheet</w:t>
            </w: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1"/>
                <w:szCs w:val="11"/>
                <w:color w:val="auto"/>
              </w:rPr>
            </w:pPr>
          </w:p>
        </w:tc>
        <w:tc>
          <w:tcPr>
            <w:tcW w:w="15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160" w:type="dxa"/>
            <w:vAlign w:val="bottom"/>
          </w:tcPr>
          <w:p>
            <w:pPr>
              <w:spacing w:after="0"/>
              <w:rPr>
                <w:sz w:val="11"/>
                <w:szCs w:val="11"/>
                <w:color w:val="auto"/>
              </w:rPr>
            </w:pPr>
          </w:p>
        </w:tc>
        <w:tc>
          <w:tcPr>
            <w:tcW w:w="4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Location</w:t>
            </w: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Value</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Location</w:t>
            </w:r>
          </w:p>
        </w:tc>
        <w:tc>
          <w:tcPr>
            <w:tcW w:w="160" w:type="dxa"/>
            <w:vAlign w:val="bottom"/>
          </w:tcPr>
          <w:p>
            <w:pPr>
              <w:spacing w:after="0"/>
              <w:rPr>
                <w:sz w:val="14"/>
                <w:szCs w:val="14"/>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 in cash flow hedges:</w:t>
            </w: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19.0</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29.5</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880" w:type="dxa"/>
            <w:vAlign w:val="bottom"/>
            <w:gridSpan w:val="2"/>
          </w:tcPr>
          <w:p>
            <w:pPr>
              <w:spacing w:after="0"/>
              <w:rPr>
                <w:sz w:val="20"/>
                <w:szCs w:val="20"/>
                <w:color w:val="auto"/>
              </w:rPr>
            </w:pPr>
            <w:r>
              <w:rPr>
                <w:rFonts w:ascii="Arial" w:cs="Arial" w:eastAsia="Arial" w:hAnsi="Arial"/>
                <w:sz w:val="18"/>
                <w:szCs w:val="18"/>
                <w:color w:val="auto"/>
              </w:rPr>
              <w:t>Derivatives not designated as hedging instruments: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64.7</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 instruments in cash flow hedge relationships on the consolidated financial statements for the quarter ended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1, 2010 were as follows (in millions):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Unrealized Gain</w:t>
            </w:r>
          </w:p>
        </w:tc>
        <w:tc>
          <w:tcPr>
            <w:tcW w:w="4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Realized Gain</w:t>
            </w:r>
          </w:p>
        </w:tc>
      </w:tr>
      <w:tr>
        <w:trPr>
          <w:trHeight w:val="149"/>
        </w:trPr>
        <w:tc>
          <w:tcPr>
            <w:tcW w:w="700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w:t>
            </w:r>
          </w:p>
        </w:tc>
        <w:tc>
          <w:tcPr>
            <w:tcW w:w="46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w:t>
            </w:r>
          </w:p>
        </w:tc>
      </w:tr>
      <w:tr>
        <w:trPr>
          <w:trHeight w:val="149"/>
        </w:trPr>
        <w:tc>
          <w:tcPr>
            <w:tcW w:w="700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 NCM, Inc’s</w:t>
            </w:r>
          </w:p>
        </w:tc>
        <w:tc>
          <w:tcPr>
            <w:tcW w:w="46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in Interest Expense</w:t>
            </w:r>
          </w:p>
        </w:tc>
      </w:tr>
      <w:tr>
        <w:trPr>
          <w:trHeight w:val="161"/>
        </w:trPr>
        <w:tc>
          <w:tcPr>
            <w:tcW w:w="7000" w:type="dxa"/>
            <w:vAlign w:val="bottom"/>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OCI (Pre-tax)</w:t>
            </w:r>
          </w:p>
        </w:tc>
        <w:tc>
          <w:tcPr>
            <w:tcW w:w="46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4"/>
                <w:szCs w:val="14"/>
                <w:b w:val="1"/>
                <w:bCs w:val="1"/>
                <w:color w:val="auto"/>
                <w:w w:val="91"/>
              </w:rPr>
              <w:t>(Pre-tax)</w:t>
            </w:r>
          </w:p>
        </w:tc>
        <w:tc>
          <w:tcPr>
            <w:tcW w:w="440" w:type="dxa"/>
            <w:vAlign w:val="bottom"/>
            <w:tcBorders>
              <w:bottom w:val="single" w:sz="8" w:color="auto"/>
            </w:tcBorders>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For the</w:t>
            </w: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Quarter</w:t>
            </w:r>
          </w:p>
        </w:tc>
        <w:tc>
          <w:tcPr>
            <w:tcW w:w="10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Ended</w:t>
            </w:r>
          </w:p>
        </w:tc>
        <w:tc>
          <w:tcPr>
            <w:tcW w:w="440" w:type="dxa"/>
            <w:vAlign w:val="bottom"/>
            <w:tcBorders>
              <w:bottom w:val="single" w:sz="8" w:color="auto"/>
            </w:tcBorders>
          </w:tcPr>
          <w:p>
            <w:pPr>
              <w:spacing w:after="0"/>
              <w:rPr>
                <w:sz w:val="12"/>
                <w:szCs w:val="12"/>
                <w:color w:val="auto"/>
              </w:rPr>
            </w:pPr>
          </w:p>
        </w:tc>
      </w:tr>
      <w:tr>
        <w:trPr>
          <w:trHeight w:val="129"/>
        </w:trPr>
        <w:tc>
          <w:tcPr>
            <w:tcW w:w="70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April 1,</w:t>
            </w:r>
          </w:p>
        </w:tc>
        <w:tc>
          <w:tcPr>
            <w:tcW w:w="46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April 1,</w:t>
            </w:r>
          </w:p>
        </w:tc>
      </w:tr>
      <w:tr>
        <w:trPr>
          <w:trHeight w:val="161"/>
        </w:trPr>
        <w:tc>
          <w:tcPr>
            <w:tcW w:w="7000" w:type="dxa"/>
            <w:vAlign w:val="bottom"/>
          </w:tcPr>
          <w:p>
            <w:pPr>
              <w:spacing w:after="0"/>
              <w:rPr>
                <w:sz w:val="14"/>
                <w:szCs w:val="14"/>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2010</w:t>
            </w:r>
          </w:p>
        </w:tc>
      </w:tr>
      <w:tr>
        <w:trPr>
          <w:trHeight w:val="210"/>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Swaps</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$0.3 million of ineffectiveness recognized for each of the quarters ended March 31, 2011 and April 1, 2010,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consolidated financial statements for the quarter ended March 31, 2011 and April 1, 2010 were as follows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4"/>
          </w:tcPr>
          <w:p>
            <w:pPr>
              <w:jc w:val="center"/>
              <w:ind w:left="2"/>
              <w:spacing w:after="0"/>
              <w:rPr>
                <w:sz w:val="20"/>
                <w:szCs w:val="20"/>
                <w:color w:val="auto"/>
              </w:rPr>
            </w:pPr>
            <w:r>
              <w:rPr>
                <w:rFonts w:ascii="Arial" w:cs="Arial" w:eastAsia="Arial" w:hAnsi="Arial"/>
                <w:sz w:val="14"/>
                <w:szCs w:val="14"/>
                <w:b w:val="1"/>
                <w:bCs w:val="1"/>
                <w:color w:val="auto"/>
                <w:w w:val="85"/>
              </w:rPr>
              <w:t>Gain or (Loss) Recognized in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4"/>
          </w:tcPr>
          <w:p>
            <w:pPr>
              <w:jc w:val="center"/>
              <w:ind w:left="22"/>
              <w:spacing w:after="0" w:line="149" w:lineRule="exact"/>
              <w:rPr>
                <w:sz w:val="20"/>
                <w:szCs w:val="20"/>
                <w:color w:val="auto"/>
              </w:rPr>
            </w:pPr>
            <w:r>
              <w:rPr>
                <w:rFonts w:ascii="Arial" w:cs="Arial" w:eastAsia="Arial" w:hAnsi="Arial"/>
                <w:sz w:val="14"/>
                <w:szCs w:val="14"/>
                <w:b w:val="1"/>
                <w:bCs w:val="1"/>
                <w:color w:val="auto"/>
                <w:w w:val="88"/>
              </w:rPr>
              <w:t>Interest Expense (Pre-tax) for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4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left="2"/>
              <w:spacing w:after="0"/>
              <w:rPr>
                <w:sz w:val="20"/>
                <w:szCs w:val="20"/>
                <w:color w:val="auto"/>
              </w:rPr>
            </w:pPr>
            <w:r>
              <w:rPr>
                <w:rFonts w:ascii="Arial" w:cs="Arial" w:eastAsia="Arial" w:hAnsi="Arial"/>
                <w:sz w:val="14"/>
                <w:szCs w:val="14"/>
                <w:b w:val="1"/>
                <w:bCs w:val="1"/>
                <w:color w:val="auto"/>
                <w:w w:val="90"/>
              </w:rPr>
              <w:t>the Quarter Ended</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2011</w:t>
            </w:r>
          </w:p>
        </w:tc>
        <w:tc>
          <w:tcPr>
            <w:tcW w:w="460" w:type="dxa"/>
            <w:vAlign w:val="bottom"/>
          </w:tcPr>
          <w:p>
            <w:pPr>
              <w:spacing w:after="0"/>
              <w:rPr>
                <w:sz w:val="12"/>
                <w:szCs w:val="12"/>
                <w:color w:val="auto"/>
              </w:rPr>
            </w:pPr>
          </w:p>
        </w:tc>
        <w:tc>
          <w:tcPr>
            <w:tcW w:w="11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89"/>
              </w:rPr>
              <w:t>April 1, 2010</w:t>
            </w:r>
          </w:p>
        </w:tc>
        <w:tc>
          <w:tcPr>
            <w:tcW w:w="120" w:type="dxa"/>
            <w:vAlign w:val="bottom"/>
          </w:tcPr>
          <w:p>
            <w:pPr>
              <w:spacing w:after="0"/>
              <w:rPr>
                <w:sz w:val="12"/>
                <w:szCs w:val="12"/>
                <w:color w:val="auto"/>
              </w:rPr>
            </w:pPr>
          </w:p>
        </w:tc>
      </w:tr>
      <w:tr>
        <w:trPr>
          <w:trHeight w:val="20"/>
        </w:trPr>
        <w:tc>
          <w:tcPr>
            <w:tcW w:w="4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4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0"/>
        </w:trPr>
        <w:tc>
          <w:tcPr>
            <w:tcW w:w="4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CHANGES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Quarter Ended</w:t>
            </w:r>
          </w:p>
        </w:tc>
        <w:tc>
          <w:tcPr>
            <w:tcW w:w="1440" w:type="dxa"/>
            <w:vAlign w:val="bottom"/>
            <w:gridSpan w:val="4"/>
          </w:tcPr>
          <w:p>
            <w:pPr>
              <w:ind w:left="440"/>
              <w:spacing w:after="0"/>
              <w:rPr>
                <w:sz w:val="20"/>
                <w:szCs w:val="20"/>
                <w:color w:val="auto"/>
              </w:rPr>
            </w:pPr>
            <w:r>
              <w:rPr>
                <w:rFonts w:ascii="Arial" w:cs="Arial" w:eastAsia="Arial" w:hAnsi="Arial"/>
                <w:sz w:val="14"/>
                <w:szCs w:val="14"/>
                <w:b w:val="1"/>
                <w:bCs w:val="1"/>
                <w:color w:val="auto"/>
              </w:rPr>
              <w:t>Quarter Ended</w:t>
            </w:r>
          </w:p>
        </w:tc>
      </w:tr>
      <w:tr>
        <w:trPr>
          <w:trHeight w:val="161"/>
        </w:trPr>
        <w:tc>
          <w:tcPr>
            <w:tcW w:w="584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March 31, 2011</w:t>
            </w:r>
          </w:p>
        </w:tc>
        <w:tc>
          <w:tcPr>
            <w:tcW w:w="46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1, 2010</w:t>
            </w: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Subsidiary equity (returned) issued for purchase of intangible asset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8"/>
                <w:szCs w:val="18"/>
                <w:color w:val="auto"/>
              </w:rPr>
              <w:t>Change from net income (loss) attributable to NCM, Inc. and transfers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8"/>
                <w:szCs w:val="18"/>
                <w:color w:val="auto"/>
              </w:rPr>
              <w:t>from noncontrolling interests</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Advertising is the principal business activity of the Company and is the Company’s reportable segment under the requirements of ASC 280,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Advertising revenue accounts for 83.5% and 80.1% of consolidated revenue for the quarter ended March 31, 2011 and April 1, 2010,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Fathom Consumer Events and Fathom Business Events are operating segments under ASC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consolidated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88"/>
              </w:rPr>
              <w:t>Quarter Ended March 31, 2011 (in millions)</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94"/>
              </w:rPr>
              <w:t>Network,</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4"/>
              </w:rPr>
              <w:t>Fathom Events</w:t>
            </w:r>
          </w:p>
        </w:tc>
        <w:tc>
          <w:tcPr>
            <w:tcW w:w="680" w:type="dxa"/>
            <w:vAlign w:val="bottom"/>
          </w:tcPr>
          <w:p>
            <w:pPr>
              <w:spacing w:after="0"/>
              <w:rPr>
                <w:sz w:val="12"/>
                <w:szCs w:val="12"/>
                <w:color w:val="auto"/>
              </w:rPr>
            </w:pPr>
          </w:p>
        </w:tc>
        <w:tc>
          <w:tcPr>
            <w:tcW w:w="140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0"/>
              </w:rPr>
              <w:t>Administrative and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89"/>
              </w:rPr>
              <w:t>Advertising</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39"/>
              <w:spacing w:after="0" w:line="159" w:lineRule="exact"/>
              <w:rPr>
                <w:sz w:val="20"/>
                <w:szCs w:val="20"/>
                <w:color w:val="auto"/>
              </w:rPr>
            </w:pPr>
            <w:r>
              <w:rPr>
                <w:rFonts w:ascii="Arial" w:cs="Arial" w:eastAsia="Arial" w:hAnsi="Arial"/>
                <w:sz w:val="14"/>
                <w:szCs w:val="14"/>
                <w:color w:val="auto"/>
                <w:w w:val="83"/>
              </w:rPr>
              <w:t>and Other</w:t>
            </w:r>
          </w:p>
        </w:tc>
        <w:tc>
          <w:tcPr>
            <w:tcW w:w="680" w:type="dxa"/>
            <w:vAlign w:val="bottom"/>
          </w:tcPr>
          <w:p>
            <w:pPr>
              <w:spacing w:after="0"/>
              <w:rPr>
                <w:sz w:val="13"/>
                <w:szCs w:val="13"/>
                <w:color w:val="auto"/>
              </w:rPr>
            </w:pP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Unallocated Costs</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12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0"/>
              </w:rPr>
              <w:t>Quarter Ended April 1, 2010 (in millions)</w:t>
            </w: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9"/>
              <w:spacing w:after="0" w:line="131" w:lineRule="exact"/>
              <w:rPr>
                <w:sz w:val="20"/>
                <w:szCs w:val="20"/>
                <w:color w:val="auto"/>
              </w:rPr>
            </w:pPr>
            <w:r>
              <w:rPr>
                <w:rFonts w:ascii="Arial" w:cs="Arial" w:eastAsia="Arial" w:hAnsi="Arial"/>
                <w:sz w:val="14"/>
                <w:szCs w:val="14"/>
                <w:color w:val="auto"/>
                <w:w w:val="84"/>
              </w:rPr>
              <w:t>Fathom</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94"/>
              </w:rPr>
              <w:t>Network,</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85"/>
              </w:rPr>
              <w:t>Events and</w:t>
            </w:r>
          </w:p>
        </w:tc>
        <w:tc>
          <w:tcPr>
            <w:tcW w:w="680" w:type="dxa"/>
            <w:vAlign w:val="bottom"/>
          </w:tcPr>
          <w:p>
            <w:pPr>
              <w:spacing w:after="0"/>
              <w:rPr>
                <w:sz w:val="12"/>
                <w:szCs w:val="12"/>
                <w:color w:val="auto"/>
              </w:rPr>
            </w:pPr>
          </w:p>
        </w:tc>
        <w:tc>
          <w:tcPr>
            <w:tcW w:w="140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0"/>
              </w:rPr>
              <w:t>Administrative and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89"/>
              </w:rPr>
              <w:t>Advertising</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39"/>
              <w:spacing w:after="0" w:line="159" w:lineRule="exact"/>
              <w:rPr>
                <w:sz w:val="20"/>
                <w:szCs w:val="20"/>
                <w:color w:val="auto"/>
              </w:rPr>
            </w:pPr>
            <w:r>
              <w:rPr>
                <w:rFonts w:ascii="Arial" w:cs="Arial" w:eastAsia="Arial" w:hAnsi="Arial"/>
                <w:sz w:val="14"/>
                <w:szCs w:val="14"/>
                <w:color w:val="auto"/>
                <w:w w:val="91"/>
              </w:rPr>
              <w:t>Other</w:t>
            </w:r>
          </w:p>
        </w:tc>
        <w:tc>
          <w:tcPr>
            <w:tcW w:w="680" w:type="dxa"/>
            <w:vAlign w:val="bottom"/>
          </w:tcPr>
          <w:p>
            <w:pPr>
              <w:spacing w:after="0"/>
              <w:rPr>
                <w:sz w:val="13"/>
                <w:szCs w:val="13"/>
                <w:color w:val="auto"/>
              </w:rPr>
            </w:pP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Unallocated Costs</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17.4</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12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revenues by category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0"/>
              </w:rPr>
              <w:t>Quarter Ended</w:t>
            </w:r>
          </w:p>
        </w:tc>
        <w:tc>
          <w:tcPr>
            <w:tcW w:w="1920" w:type="dxa"/>
            <w:vAlign w:val="bottom"/>
            <w:gridSpan w:val="4"/>
          </w:tcPr>
          <w:p>
            <w:pPr>
              <w:ind w:left="9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94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April 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860" w:type="dxa"/>
            <w:vAlign w:val="bottom"/>
            <w:gridSpan w:val="2"/>
          </w:tcPr>
          <w:p>
            <w:pPr>
              <w:spacing w:after="0"/>
              <w:rPr>
                <w:sz w:val="20"/>
                <w:szCs w:val="20"/>
                <w:color w:val="auto"/>
              </w:rPr>
            </w:pPr>
            <w:r>
              <w:rPr>
                <w:rFonts w:ascii="Arial" w:cs="Arial" w:eastAsia="Arial" w:hAnsi="Arial"/>
                <w:sz w:val="18"/>
                <w:szCs w:val="18"/>
                <w:color w:val="auto"/>
              </w:rPr>
              <w:t>Founding Member Advertising Revenue from Beverage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Concessionaire Agreements</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Local Advertising Revenue</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860" w:type="dxa"/>
            <w:vAlign w:val="bottom"/>
            <w:gridSpan w:val="2"/>
          </w:tcPr>
          <w:p>
            <w:pPr>
              <w:spacing w:after="0"/>
              <w:rPr>
                <w:sz w:val="20"/>
                <w:szCs w:val="20"/>
                <w:color w:val="auto"/>
              </w:rPr>
            </w:pPr>
            <w:r>
              <w:rPr>
                <w:rFonts w:ascii="Arial" w:cs="Arial" w:eastAsia="Arial" w:hAnsi="Arial"/>
                <w:sz w:val="18"/>
                <w:szCs w:val="18"/>
                <w:color w:val="auto"/>
              </w:rPr>
              <w:t>Fathom Consumer Revenue</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70.8</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April 26, 2011, the Company declared a cash dividend of $0.20 per share (approximately $10.9 million) on each share of the Company’s common stock (including outstanding restricted stock) to stockholders of record on May 19, 2011 to be paid on June 2, 2011. On April 26, 2011, the Company’s stockholders approved an increase in authorized capital stock from 120,000,000 to 175,000,000 shares of common stock, par value of $0.01 per share.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30, 2010.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30, 2010. In the following discussion and analysis, the term net income (loss) refers to net income (loss)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and Fathom Consumer and Business Events. Our revenue is principally derived from the sale of advertising and, to a lesser extent, from our Fathom Events business. We have long-term ESAs with NCM LLC’s founding members and multi-year agreements with several other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businesses are distributed across our proprietary digital content network (“DCN”) and live digital broadcast network (“DBN”). Approximately 95% of the aggregate founding member and network affiliate theatre attendance is generated by theatres connected to our DCN.</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metrics and key performance indicators for us to manage our business and to determine how we are performing versus our internal goals and targets, and against the performance of our competitors and other benchmarks in the marketplaces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Fathom Events locations, revenue per event and location. Finally, we monitor our operating cash flow and related financial leverage (see Note 5 to the unaudited condensed consolidated financial statements) and revolving credit facility availability and cash balances to ensure that debt obligations and future declared dividends can be met while providing adequate cash reserves to operate our business.</w:t>
      </w:r>
    </w:p>
    <w:p>
      <w:pPr>
        <w:spacing w:after="0" w:line="12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February 25, 2011 for the Company’s fiscal year ended December 30,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operating data and OIBDA. See “—Non-GAAP Financial Measures” below for a discussion of the calculation of Adjusted OIBDA and reconciliation to operating income.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r>
      <w:tr>
        <w:trPr>
          <w:trHeight w:val="149"/>
        </w:trPr>
        <w:tc>
          <w:tcPr>
            <w:tcW w:w="5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r>
      <w:tr>
        <w:trPr>
          <w:trHeight w:val="149"/>
        </w:trPr>
        <w:tc>
          <w:tcPr>
            <w:tcW w:w="5000" w:type="dxa"/>
            <w:vAlign w:val="bottom"/>
          </w:tcPr>
          <w:p>
            <w:pPr>
              <w:spacing w:after="0"/>
              <w:rPr>
                <w:sz w:val="12"/>
                <w:szCs w:val="12"/>
                <w:color w:val="auto"/>
              </w:rPr>
            </w:pPr>
          </w:p>
        </w:tc>
        <w:tc>
          <w:tcPr>
            <w:tcW w:w="2640" w:type="dxa"/>
            <w:vAlign w:val="bottom"/>
            <w:gridSpan w:val="4"/>
          </w:tcPr>
          <w:p>
            <w:pPr>
              <w:ind w:left="1600"/>
              <w:spacing w:after="0" w:line="149"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April 1,</w:t>
            </w:r>
          </w:p>
        </w:tc>
      </w:tr>
      <w:tr>
        <w:trPr>
          <w:trHeight w:val="161"/>
        </w:trPr>
        <w:tc>
          <w:tcPr>
            <w:tcW w:w="50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income</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Adjusted OIBDA margin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 (Loss) per NCM, Inc. Basic Share</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NCM, Inc. Diluted Share</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r>
      <w:tr>
        <w:trPr>
          <w:trHeight w:val="322"/>
        </w:trPr>
        <w:tc>
          <w:tcPr>
            <w:tcW w:w="5000" w:type="dxa"/>
            <w:vAlign w:val="bottom"/>
          </w:tcPr>
          <w:p>
            <w:pPr>
              <w:spacing w:after="0"/>
              <w:rPr>
                <w:sz w:val="20"/>
                <w:szCs w:val="20"/>
                <w:color w:val="auto"/>
              </w:rPr>
            </w:pPr>
            <w:r>
              <w:rPr>
                <w:rFonts w:ascii="Arial" w:cs="Arial" w:eastAsia="Arial" w:hAnsi="Arial"/>
                <w:sz w:val="18"/>
                <w:szCs w:val="18"/>
                <w:color w:val="auto"/>
              </w:rPr>
              <w:t>Total advertising revenue ($ in millions)</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59.1</w:t>
            </w:r>
          </w:p>
        </w:tc>
        <w:tc>
          <w:tcPr>
            <w:tcW w:w="44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24"/>
                <w:szCs w:val="24"/>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theater attendance (in millions)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161.9</w:t>
            </w:r>
          </w:p>
        </w:tc>
        <w:tc>
          <w:tcPr>
            <w:tcW w:w="200" w:type="dxa"/>
            <w:vAlign w:val="bottom"/>
            <w:shd w:val="clear" w:color="auto" w:fill="CCEEFF"/>
          </w:tcPr>
          <w:p>
            <w:pPr>
              <w:spacing w:after="0"/>
              <w:rPr>
                <w:sz w:val="18"/>
                <w:szCs w:val="18"/>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0.44</w:t>
            </w:r>
          </w:p>
        </w:tc>
        <w:tc>
          <w:tcPr>
            <w:tcW w:w="44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OIBDA, Adjusted OIBDA and Adjusted OIBDA margin are not financial measures calculated in accordance with generally accepted accounting principles (“GAAP”) in the United States. OIBDA represents operating income before depreciation and amortization expense. Adjusted OIBDA excludes from OIBDA non-cash share based payment costs and deferred stock compensation. Adjusted OIBDA margin is calculated by dividing Adjusted OIBDA by total revenue. These non-GAAP financial measures are used by management to evaluate operating performance and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w:t>
      </w:r>
    </w:p>
    <w:p>
      <w:pPr>
        <w:spacing w:after="0" w:line="12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OIBDA and Adjusted OIBDA do not reflect the Regal Consolidated Theatres integration payments. Regal made Consolidated Theatre payments to NCM LLC pursuant to the revised ESAs, which were $0.2 million and $0.4 million for the quarter ended March 31, 2011 and April 1, 2010, respectively.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Quarter</w:t>
            </w:r>
          </w:p>
        </w:tc>
        <w:tc>
          <w:tcPr>
            <w:tcW w:w="102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Ended</w:t>
            </w:r>
          </w:p>
        </w:tc>
        <w:tc>
          <w:tcPr>
            <w:tcW w:w="3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100" w:type="dxa"/>
            <w:vAlign w:val="bottom"/>
            <w:gridSpan w:val="4"/>
          </w:tcPr>
          <w:p>
            <w:pPr>
              <w:ind w:left="2040"/>
              <w:spacing w:after="0" w:line="149"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April 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Share-based compensation costs (1)</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140" w:type="dxa"/>
            <w:vAlign w:val="bottom"/>
            <w:gridSpan w:val="2"/>
          </w:tcPr>
          <w:p>
            <w:pPr>
              <w:ind w:left="20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70.8</w:t>
            </w:r>
          </w:p>
        </w:tc>
        <w:tc>
          <w:tcPr>
            <w:tcW w:w="4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$ 84.6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7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results of operations data for the quarter March 31, 2011 and April 1, 2010 were derived from the unaudited condensed consolidated financial statements and accounting records of NCM, Inc. and should be read in conjunction with the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2011 and April 1, 2010</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quarter ended March 31, 2011 was $70.8 million compared to $84.6 million for the quarter ended April 1,</w:t>
      </w:r>
      <w:r>
        <w:rPr>
          <w:rFonts w:ascii="Arial" w:cs="Arial" w:eastAsia="Arial" w:hAnsi="Arial"/>
          <w:sz w:val="18"/>
          <w:szCs w:val="18"/>
          <w:i w:val="1"/>
          <w:iCs w:val="1"/>
          <w:color w:val="auto"/>
        </w:rPr>
        <w:t xml:space="preserve"> </w:t>
      </w:r>
      <w:r>
        <w:rPr>
          <w:rFonts w:ascii="Arial" w:cs="Arial" w:eastAsia="Arial" w:hAnsi="Arial"/>
          <w:sz w:val="18"/>
          <w:szCs w:val="18"/>
          <w:color w:val="auto"/>
        </w:rPr>
        <w:t>2010, a decrease of $13.8 million, or 16.3%. The decrease in total revenue was primarily the result of a decrease in total advertising revenue of $8.7 million or 12.8% (including revenue from our founding member beverage concessionaire agreements, or “beverage revenue”) in addition to a $5.1 million or 30.4% decrease in Fathom Events revenue.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National advertising revenues of $46.5 million (including $8.2 million of beverage revenue) for the quarter ended March 31, 2011 decreased 16.4%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$55.6 million (including $9.2 million of beverage revenue) for the quarter ended April 1, 2010. National advertising revenue (excluding beverage revenue)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ended March 31, 2011 decreased $8.1 million or 17.5% to $38.3 million compared to $46.4 million for the quarter ended April 1, 2010. This decrease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first quarter of 2010 including a significant advertising contract from one client in the military category that was not repeated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2011. Additionally, content partner spending decreased $3.2 million for the quarter ended March 31, 2011 due to a shift in 2011 committed spending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later in the year. These decreases in client spending offset by a 17.6% decrease in advertising impressions available for sale compared to the prior year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contributed to a decrease in inventory utilization (excluding beverage revenue) to 71.0% for the quarter ended March 31, 2011 from 78.1% for the quarter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1, 2010. The impact of these decreases was partially offset by continued expansion of our overall client base and a favorable TV advertising scatter market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that contributed to a 3.2% increase in national advertising CPMs (excluding beverage revenue). The 10.9% decrease in payments from the founding members for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their beverage concessionaire agreements was due primarily to a 15.4% decrease in founding member attendance due to a weak box office during the first quarter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2011, offset by the impact of the annual contractual 6% beverage revenue CPM increase.</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Local advertising revenue increased $0.4 million or 3.3% to $12.6 million for the quarter ended March 31, 2011 compared to $12.2 million for the quarter ended April 1, 2010. This increase was primarily due to an increased number of contracts with mid and large sized local businesses while smaller local businesses continue to be impacted by the weak local economy. Local revenue per theatre attendee increased 12.5% to $0.09 per attendee for the first quarter of 2011 compared to $0.08 for the first quarter of 2010 due to local revenue increasing while theatre attendance declined.</w:t>
      </w:r>
    </w:p>
    <w:p>
      <w:pPr>
        <w:spacing w:after="0" w:line="11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Total advertising revenue (including beverage revenue) per attendee for the quarter ended March 31, 2011 increased 4.8% to $0.44 per attendee compared to $0.42 for the quarter ended April 1, 2010. The increase in the advertising revenue per attendee was due to the impact of the 17.7% decrease in theatre attendance combined with the 12.8% decrease in total advertising revenue. Excluding beverage revenue, total advertising revenue per attendee increased 5.5%.</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Fathom Events revenue decreased 30.4%, to $11.7 million for the quarter ended March 31, 2011 as compared to $16.8 million for the quarter ended April 1, 2010. Our Fathom Consumer events revenue decreased 39.2% primarily due to a decrease in revenue per event site of 39.9% when compared to a much stronger 2010 event mix, including one particular event in the Metropolitan Opera series that set a record representing approximately 18.0% of our 2010 first quarter Fathom Event revenue. Our Fathom Business revenue was at a consistent level as compared to the first quarter of 2010, as business communication spending has still not recovered to pre-recession levels.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quarter ended March 31, 2011 were $55.8 million compared to $58.2 million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2010. The 4.1% decrease in 2011 compared to the 2010 period was primarily the result of the decrease in our advertising and Fathom revenue, offset by a $1.9 million increase in non-cash share-based compensation expense. Set forth below is a discussion of the operating expenses.</w:t>
      </w:r>
    </w:p>
    <w:p>
      <w:pPr>
        <w:spacing w:after="0" w:line="26" w:lineRule="exact"/>
        <w:rPr>
          <w:sz w:val="20"/>
          <w:szCs w:val="20"/>
          <w:color w:val="auto"/>
        </w:rPr>
      </w:pPr>
    </w:p>
    <w:p>
      <w:pPr>
        <w:ind w:left="460" w:right="220"/>
        <w:spacing w:after="0" w:line="284"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$3.5 million for the quarter ended March 31, 2011 decreased 22.2% from $4.5 million for the quarter ended April 1, 2010. This decrease was primarily the result of a $0.8 million decrease in payments made to our advertising affiliates due to the decrease in national advertising revenue (excluding beverage) as well as a decrease in network affiliate screens. Network affiliate screens represented</w:t>
      </w:r>
    </w:p>
    <w:p>
      <w:pPr>
        <w:spacing w:after="0" w:line="1"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13.3% of total network screens for the first quarter of 2011 versus 16.0% for the 2010 period as the shift from the AMC Kerasotes Acquisition was partially offset by the addition of new network affiliates.</w:t>
      </w:r>
    </w:p>
    <w:p>
      <w:pPr>
        <w:spacing w:after="0" w:line="57"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$7.6 million for the quarter ended March 31, 2011 decreased 31.5% compared to $11.1 million during the quarter ended April 1, 2010. The decrease was primarily the result of a decrease in content payments and revenue share amounts to theatre circuits related to the lower revenue generated by the Fathom Consumer division and other event expenses.</w:t>
      </w:r>
    </w:p>
    <w:p>
      <w:pPr>
        <w:spacing w:after="0" w:line="2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$4.9 million for the quarter ended March 31, 2011 were consistent with $4.9 million for the quarter ended April 1, 2010, despite an increase in network screens of 120 or 0.7%.</w:t>
      </w:r>
    </w:p>
    <w:p>
      <w:pPr>
        <w:spacing w:after="0" w:line="51" w:lineRule="exact"/>
        <w:rPr>
          <w:sz w:val="20"/>
          <w:szCs w:val="20"/>
          <w:color w:val="auto"/>
        </w:rPr>
      </w:pPr>
    </w:p>
    <w:p>
      <w:pPr>
        <w:jc w:val="both"/>
        <w:ind w:left="460" w:right="100"/>
        <w:spacing w:after="0" w:line="306"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$12.1 million for the quarter ended March 31, 2011 compared to $12.9 million for the quarter ended April 1, 2010. The decrease is due primarily to the 15.4% decrease in founding member attendance as compared to the first quarter of 2010, partially offset by the impact of the annual rate increase and 5.1% increase in digital screens operated by our founding members.</w:t>
      </w:r>
    </w:p>
    <w:p>
      <w:pPr>
        <w:spacing w:after="0" w:line="2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$14.6 million, or 11.5% for the quarter ended March 31, 2011 compared to $13.1 million for the quarter ended April 1, 2010. This increase was primarily due to higher personnel costs including a $0.5 million increase in non-cash share-based compensation expense.</w:t>
      </w:r>
    </w:p>
    <w:p>
      <w:pPr>
        <w:spacing w:after="0" w:line="59"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quarter ended March 31, 2011 were $8.5 million compared to $7.7 million for the quarter ended April 1, 2010, an increase of 10.4%. The increase is due to a $1.1 million increase in non-cash share-based compensation offset by cost savings in professional services.</w:t>
      </w:r>
    </w:p>
    <w:p>
      <w:pPr>
        <w:spacing w:after="0" w:line="5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$0.6 million to $4.6 million for the quarter ended March 31, 2011, compared to $4.0 million for the quarter ended April 1, 2010, primarily as a result of increased amortization expense recognized on intangible assets added during 2010 in accordance with the annual and extraordinary Common Unit Adjustments.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loss generated for the quarter ended March 31, 2011 was $1.0 million, compared to $1.2 million of net income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2010. The decrease was due primarily to the decrease in operating income, offset by a decrease in the provision for income taxes and net income attributable to noncontrolling interests. The change in the income tax benefit of $0.7 million for March 31, 2011 compared to income tax expense of $0.9 million for April 1, 2010 is due primarily to lower pre-tax income. Net income attributable to noncontrolling interests decreased $4.9 million to $2.6 million for the quarter ended March 31, 2011 due to lower levels of NCM LLC net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current macro-economic environment, and continued late breaking national television scatter advertising market in general, present uncertainties that could impact our results of operations, including the timing and amount of spending from our advertising clients and collections of accounts receivable. However, we are cautiously optimistic that the impact to our business associated with these issues will not be significant due to factors including the growth in our advertising client base, the effectiveness of cinema advertising relative to other advertising mediums, and the effectiveness and increasing scale of our broader national network and the related increase in salable advertising impressions and Fathom live broadcast locations. Subsequent to the first quarter of 2010, we added several new affiliate theatres to our national network including: Metropolitan Theatres Corporation, Great Escape Theatres and RC Theatres, and in 2011 we have contracted to add Consolidated Theatres, Rave Cinemas, LLC, Showplex Cinemas, Inc., Digital Cinema Destinations, Corp. and Coming Attractions and we are discussing network affiliate relationships with other theatre circuits that could be added during 2011. In total, these contracted new affiliates are expected to add nearly 36 million new attendees on a full-year pro-forma basis, representing approximately 340 million new salable advertising impressions. Our sales force either has or will integrate these additional impressions into the advertising sales process during 2011 and then we expect that these attendees will be additive to our revenue, operating income and cash flow. We believe that the continued growth of our network will continue to strengthen our selling proposition and competitive positioning versus other national advertising platforms.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2011 and in 2010, we sold 60 seconds to our founding members. We expect to continue to sell 60 seconds of time to the founding members in the remainder of 2011 and for the foreseeable future.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remain involved in discussions with the founding member circuits to explore a restructuring of the Fathom Events business relationship. The discussions are on-going and we do not know how the existing relationship might be changed or if it will be changed. Any change to the Fathom Events business relationship with the founding members will require approval of our Audit Committee and a majority of our independent directors in addition to any other required approvals by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March 31, 2011, our cash, cash equivalents and short-term investments balance was $64.8 million, a decrease of $18.1 million compared to the balance of $82.9 million as of December 30, 2010. The balance at April 1, 2010 was $82.6 million, or a $17.8 million decrease compared to the balance at March 31, 2011. This decrease in our cash balance was offset by an additional $27.0 million of borrowing availability on our revolving credit facility as of March 31, 2011 for total liquidity availability of $91.8 million compared to $112.9 and $82.6 million at December 30, 2010 and April 1, 2010, respectively. Our cash balances will fluctuate due to the seasonality of our business and related timing of collections of accounts receivable balances and operating expenditure payments, as well as available cash payments (as defined) to NCM LLC’s founding members, interest payments on our term loan and principal payments on debt, income tax payments, tax sharing payments to our founding members and quarterly dividends to NCM, Inc’s common shareholders. Our net debt balances (debt balance net of cash, cash equivalents and short-term investment balance) decreased $13.3 million compared to the balance at April 1,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0" w:type="dxa"/>
            <w:vAlign w:val="bottom"/>
            <w:gridSpan w:val="4"/>
          </w:tcPr>
          <w:p>
            <w:pPr>
              <w:ind w:left="2240"/>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March 31,</w:t>
            </w:r>
          </w:p>
        </w:tc>
        <w:tc>
          <w:tcPr>
            <w:tcW w:w="142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April 1, 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60" w:type="dxa"/>
            <w:vAlign w:val="bottom"/>
            <w:gridSpan w:val="2"/>
          </w:tcPr>
          <w:p>
            <w:pPr>
              <w:spacing w:after="0"/>
              <w:rPr>
                <w:sz w:val="20"/>
                <w:szCs w:val="20"/>
                <w:color w:val="auto"/>
              </w:rPr>
            </w:pPr>
            <w:r>
              <w:rPr>
                <w:rFonts w:ascii="Arial" w:cs="Arial" w:eastAsia="Arial" w:hAnsi="Arial"/>
                <w:sz w:val="18"/>
                <w:szCs w:val="18"/>
                <w:color w:val="auto"/>
              </w:rPr>
              <w:t>Investing cash flow</w:t>
            </w:r>
          </w:p>
        </w:tc>
        <w:tc>
          <w:tcPr>
            <w:tcW w:w="2340" w:type="dxa"/>
            <w:vAlign w:val="bottom"/>
            <w:gridSpan w:val="2"/>
          </w:tcPr>
          <w:p>
            <w:pPr>
              <w:ind w:left="22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(8.6)</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(32.1)</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460" w:right="80" w:hanging="547"/>
        <w:spacing w:after="0" w:line="306"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decrease in cash provided by operating activities for the quarter ended March 31, 2011 versus the quarter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1, 2010 was primarily due to lower operating income and the timing of payments for income taxes and taxes due under the tax sharing agreement, and normal operating expenses as well as the timing of the collection of accounts receivable balances.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100" w:hanging="547"/>
        <w:spacing w:after="0" w:line="357" w:lineRule="auto"/>
        <w:tabs>
          <w:tab w:leader="none" w:pos="146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The cash used in investing activities for the quarter ended March 31, 2011 increased compared to the quarter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April 1, 2010 due to the purchase of investments such as commercial paper with excess cash balances consistent with our investment policy.</w:t>
      </w:r>
    </w:p>
    <w:p>
      <w:pPr>
        <w:ind w:left="1460" w:right="120" w:hanging="547"/>
        <w:spacing w:after="0" w:line="306"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change in financing cash flows for the quarter ended March 31, 2011 versus the quarter ended April 1, 2010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an increase in our quarterly dividend and an increase in repayments on our revolving credit agreement in 2011 as compared to 2010, offset by lower available cash distributions to our founding members due to lower operating income.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 of liquidity and capital resources are available cash distributions from NCM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NCM LLC’s primary sources of liquidity and capital resources are its operating activities and availability under its senior secured revolving credit facility.</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quarter ended March 31, 2011 was $11.2 million, of which $5.4 million was distributed to NCM, Inc. NCM, Inc. will use cash received from the available cash distributions to fund income taxes, payments associated with the tax sharing agreement with the founding members and current and future dividends as declared by the board of directors, including a dividend declared in April 2011 of $0.20 per share (approximately $10.9 million) which will be paid on June 2, 2011. Distributions from NCM LLC and NCM, Inc. cash balances should be sufficient to fund NCM, Inc.’s tax sharing payments to the founding member circuits, income taxes and its regular dividend for the next 12 months. Declaration of future dividends is at the discretion of the Board of Directors dependent on anticipated cash needs, overall financial condition, future prospects for earnings, available cash and cash flows as well as other relevant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30, 2010 and incorporated by reference herein. As of March 31, 2011,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4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30, 2010 and incorporated by reference herein. We do not believe these arrangements are material to our current or future financial condition, results of operations, liquidity, capital resources or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attendance patterns within the film exhibition industry as well as the timing of marketing expenditures by our advertising clients. Advertising expenditures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2009 and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Second</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6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r>
      <w:tr>
        <w:trPr>
          <w:trHeight w:val="20"/>
        </w:trPr>
        <w:tc>
          <w:tcPr>
            <w:tcW w:w="6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FY 2009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FY 2010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23.2%</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primary market risk to which we are exposed is interest rate risk. We have entered into variable-to-fixed interest rate swap arrangements economically hedging $550.0 million of the $725.0 million term loan at a fixed interest rate of 6.484%. For a discussion of market risks, see Item 7A. “Quantitative and Qualitative Disclosures About Market Risk” contained in our annual report on Form 10-K for the fiscal year ended December 30, 2010 and incorporated by reference herein. The current interest rates on that debt are lower than those implicit in the hedge, thus a 100 basis point fluctuation in market interest rates would have the effect of increasing or decreasing our cash interest expense by approximately $2.3 million for an annual period on a total of $228.0 million of unhedged debt (which includes $53.0 million outstanding on our revolver). Because each of our interest rate swaps was in a liability position at March 31, 2011, we are not currently exposed to counterparty risk related to the swaps.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March 31, 2011,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March 31, 2011 were effective.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March 31, 2011 that have materially affected, or are reasonably likely to materially affect, the Company’s internal controls over financial reporting.</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25, 2011 for the fiscal year ended December 30, 2010.</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Purchases of Securities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76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74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(b)</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1"/>
              </w:rPr>
              <w:t>Purchased as</w:t>
            </w:r>
          </w:p>
        </w:tc>
        <w:tc>
          <w:tcPr>
            <w:tcW w:w="76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74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4"/>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Part of Publicly</w:t>
            </w:r>
          </w:p>
        </w:tc>
        <w:tc>
          <w:tcPr>
            <w:tcW w:w="76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74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7"/>
              </w:rPr>
              <w:t>Price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76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vMerge w:val="restart"/>
          </w:tcPr>
          <w:p>
            <w:pPr>
              <w:ind w:left="2120"/>
              <w:spacing w:after="0"/>
              <w:rPr>
                <w:sz w:val="20"/>
                <w:szCs w:val="20"/>
                <w:color w:val="auto"/>
              </w:rPr>
            </w:pPr>
            <w:r>
              <w:rPr>
                <w:rFonts w:ascii="Arial" w:cs="Arial" w:eastAsia="Arial" w:hAnsi="Arial"/>
                <w:sz w:val="14"/>
                <w:szCs w:val="14"/>
                <w:color w:val="auto"/>
              </w:rPr>
              <w:t>Period</w:t>
            </w: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74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9"/>
              </w:rPr>
              <w:t>Paid Per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79"/>
              </w:rPr>
              <w:t>Plans</w:t>
            </w:r>
          </w:p>
        </w:tc>
        <w:tc>
          <w:tcPr>
            <w:tcW w:w="76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Purchased under the Plans or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tcBorders>
              <w:bottom w:val="single" w:sz="8" w:color="auto"/>
            </w:tcBorders>
            <w:vMerge w:val="continue"/>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Purchased</w:t>
            </w:r>
          </w:p>
        </w:tc>
        <w:tc>
          <w:tcPr>
            <w:tcW w:w="74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Share</w:t>
            </w:r>
          </w:p>
        </w:tc>
        <w:tc>
          <w:tcPr>
            <w:tcW w:w="76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or Programs</w:t>
            </w:r>
          </w:p>
        </w:tc>
        <w:tc>
          <w:tcPr>
            <w:tcW w:w="760" w:type="dxa"/>
            <w:vAlign w:val="bottom"/>
          </w:tcPr>
          <w:p>
            <w:pPr>
              <w:spacing w:after="0"/>
              <w:rPr>
                <w:sz w:val="13"/>
                <w:szCs w:val="13"/>
                <w:color w:val="auto"/>
              </w:rPr>
            </w:pPr>
          </w:p>
        </w:tc>
        <w:tc>
          <w:tcPr>
            <w:tcW w:w="16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Programs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 through January 27, 2011 (1)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17,396</w:t>
            </w:r>
          </w:p>
        </w:tc>
        <w:tc>
          <w:tcPr>
            <w:tcW w:w="20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$19.65</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2"/>
        </w:trPr>
        <w:tc>
          <w:tcPr>
            <w:tcW w:w="4640" w:type="dxa"/>
            <w:vAlign w:val="bottom"/>
            <w:gridSpan w:val="2"/>
          </w:tcPr>
          <w:p>
            <w:pPr>
              <w:spacing w:after="0"/>
              <w:rPr>
                <w:sz w:val="20"/>
                <w:szCs w:val="20"/>
                <w:color w:val="auto"/>
              </w:rPr>
            </w:pPr>
            <w:r>
              <w:rPr>
                <w:rFonts w:ascii="Arial" w:cs="Arial" w:eastAsia="Arial" w:hAnsi="Arial"/>
                <w:sz w:val="18"/>
                <w:szCs w:val="18"/>
                <w:color w:val="auto"/>
              </w:rPr>
              <w:t>January 28, 2011 through February 24, 2011</w:t>
            </w:r>
          </w:p>
        </w:tc>
        <w:tc>
          <w:tcPr>
            <w:tcW w:w="64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February 25, 2011 through March 31, 2011 (2)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1,479,638</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40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funding the recipient’s tax withholding obligations.</w:t>
      </w:r>
    </w:p>
    <w:p>
      <w:pPr>
        <w:ind w:left="460" w:right="80" w:hanging="452"/>
        <w:spacing w:after="0" w:line="323"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common membership units returned to NCM LLC by AMC to settle the adjustment required by the Common Unit Adjustment Agreement. The NCM LLC common membership units are exchangeable into shares of common stock of NCM, Inc. on a one-for-one basis.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3"/>
          </w:tcPr>
          <w:p>
            <w:pPr>
              <w:spacing w:after="0"/>
              <w:rPr>
                <w:sz w:val="20"/>
                <w:szCs w:val="20"/>
                <w:color w:val="auto"/>
              </w:rPr>
            </w:pPr>
            <w:r>
              <w:rPr>
                <w:rFonts w:ascii="Arial" w:cs="Arial" w:eastAsia="Arial" w:hAnsi="Arial"/>
                <w:sz w:val="18"/>
                <w:szCs w:val="18"/>
                <w:b w:val="1"/>
                <w:bCs w:val="1"/>
                <w:color w:val="auto"/>
                <w:w w:val="98"/>
              </w:rPr>
              <w:t>Item 3.</w:t>
            </w:r>
          </w:p>
        </w:tc>
        <w:tc>
          <w:tcPr>
            <w:tcW w:w="10840" w:type="dxa"/>
            <w:vAlign w:val="bottom"/>
            <w:gridSpan w:val="9"/>
          </w:tcPr>
          <w:p>
            <w:pPr>
              <w:spacing w:after="0"/>
              <w:rPr>
                <w:sz w:val="20"/>
                <w:szCs w:val="20"/>
                <w:color w:val="auto"/>
              </w:rPr>
            </w:pPr>
            <w:r>
              <w:rPr>
                <w:rFonts w:ascii="Arial" w:cs="Arial" w:eastAsia="Arial" w:hAnsi="Arial"/>
                <w:sz w:val="18"/>
                <w:szCs w:val="18"/>
                <w:b w:val="1"/>
                <w:bCs w:val="1"/>
                <w:color w:val="auto"/>
              </w:rPr>
              <w:t>Defaults Upon Senior Securities</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421"/>
        </w:trPr>
        <w:tc>
          <w:tcPr>
            <w:tcW w:w="580" w:type="dxa"/>
            <w:vAlign w:val="bottom"/>
            <w:gridSpan w:val="3"/>
          </w:tcPr>
          <w:p>
            <w:pPr>
              <w:spacing w:after="0"/>
              <w:rPr>
                <w:sz w:val="20"/>
                <w:szCs w:val="20"/>
                <w:color w:val="auto"/>
              </w:rPr>
            </w:pPr>
            <w:r>
              <w:rPr>
                <w:rFonts w:ascii="Arial" w:cs="Arial" w:eastAsia="Arial" w:hAnsi="Arial"/>
                <w:sz w:val="18"/>
                <w:szCs w:val="18"/>
                <w:b w:val="1"/>
                <w:bCs w:val="1"/>
                <w:color w:val="auto"/>
                <w:w w:val="98"/>
              </w:rPr>
              <w:t>Item 4.</w:t>
            </w:r>
          </w:p>
        </w:tc>
        <w:tc>
          <w:tcPr>
            <w:tcW w:w="10840" w:type="dxa"/>
            <w:vAlign w:val="bottom"/>
            <w:gridSpan w:val="9"/>
          </w:tcPr>
          <w:p>
            <w:pPr>
              <w:spacing w:after="0"/>
              <w:rPr>
                <w:sz w:val="20"/>
                <w:szCs w:val="20"/>
                <w:color w:val="auto"/>
              </w:rPr>
            </w:pPr>
            <w:r>
              <w:rPr>
                <w:rFonts w:ascii="Arial" w:cs="Arial" w:eastAsia="Arial" w:hAnsi="Arial"/>
                <w:sz w:val="18"/>
                <w:szCs w:val="18"/>
                <w:b w:val="1"/>
                <w:bCs w:val="1"/>
                <w:color w:val="auto"/>
              </w:rPr>
              <w:t>Removed and Reserved</w:t>
            </w:r>
          </w:p>
        </w:tc>
      </w:tr>
      <w:tr>
        <w:trPr>
          <w:trHeight w:val="358"/>
        </w:trPr>
        <w:tc>
          <w:tcPr>
            <w:tcW w:w="580" w:type="dxa"/>
            <w:vAlign w:val="bottom"/>
            <w:gridSpan w:val="3"/>
          </w:tcPr>
          <w:p>
            <w:pPr>
              <w:spacing w:after="0"/>
              <w:rPr>
                <w:sz w:val="20"/>
                <w:szCs w:val="20"/>
                <w:color w:val="auto"/>
              </w:rPr>
            </w:pPr>
            <w:r>
              <w:rPr>
                <w:rFonts w:ascii="Arial" w:cs="Arial" w:eastAsia="Arial" w:hAnsi="Arial"/>
                <w:sz w:val="18"/>
                <w:szCs w:val="18"/>
                <w:b w:val="1"/>
                <w:bCs w:val="1"/>
                <w:color w:val="auto"/>
                <w:w w:val="98"/>
              </w:rPr>
              <w:t>Item 5.</w:t>
            </w:r>
          </w:p>
        </w:tc>
        <w:tc>
          <w:tcPr>
            <w:tcW w:w="176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rPr>
              <w:t>Other Information</w:t>
            </w:r>
          </w:p>
        </w:tc>
        <w:tc>
          <w:tcPr>
            <w:tcW w:w="9080" w:type="dxa"/>
            <w:vAlign w:val="bottom"/>
            <w:gridSpan w:val="3"/>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421"/>
        </w:trPr>
        <w:tc>
          <w:tcPr>
            <w:tcW w:w="580" w:type="dxa"/>
            <w:vAlign w:val="bottom"/>
            <w:gridSpan w:val="3"/>
          </w:tcPr>
          <w:p>
            <w:pPr>
              <w:spacing w:after="0"/>
              <w:rPr>
                <w:sz w:val="20"/>
                <w:szCs w:val="20"/>
                <w:color w:val="auto"/>
              </w:rPr>
            </w:pPr>
            <w:r>
              <w:rPr>
                <w:rFonts w:ascii="Arial" w:cs="Arial" w:eastAsia="Arial" w:hAnsi="Arial"/>
                <w:sz w:val="18"/>
                <w:szCs w:val="18"/>
                <w:b w:val="1"/>
                <w:bCs w:val="1"/>
                <w:color w:val="auto"/>
                <w:w w:val="98"/>
              </w:rPr>
              <w:t>Item 6.</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960" w:type="dxa"/>
            <w:vAlign w:val="bottom"/>
            <w:gridSpan w:val="6"/>
          </w:tcPr>
          <w:p>
            <w:pPr>
              <w:spacing w:after="0" w:line="20" w:lineRule="exact"/>
              <w:rPr>
                <w:sz w:val="1"/>
                <w:szCs w:val="1"/>
                <w:color w:val="auto"/>
              </w:rPr>
            </w:pPr>
          </w:p>
        </w:tc>
      </w:tr>
      <w:tr>
        <w:trPr>
          <w:trHeight w:val="385"/>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Reference</w:t>
            </w:r>
          </w:p>
        </w:tc>
        <w:tc>
          <w:tcPr>
            <w:tcW w:w="9960" w:type="dxa"/>
            <w:vAlign w:val="bottom"/>
            <w:gridSpan w:val="6"/>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w w:val="84"/>
              </w:rPr>
              <w:t>*</w:t>
            </w: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8"/>
              </w:rPr>
              <w:t>Amended</w:t>
            </w:r>
          </w:p>
        </w:tc>
        <w:tc>
          <w:tcPr>
            <w:tcW w:w="9040" w:type="dxa"/>
            <w:vAlign w:val="bottom"/>
            <w:gridSpan w:val="2"/>
          </w:tcPr>
          <w:p>
            <w:pPr>
              <w:ind w:left="20"/>
              <w:spacing w:after="0"/>
              <w:rPr>
                <w:sz w:val="20"/>
                <w:szCs w:val="20"/>
                <w:color w:val="auto"/>
              </w:rPr>
            </w:pPr>
            <w:r>
              <w:rPr>
                <w:rFonts w:ascii="Arial" w:cs="Arial" w:eastAsia="Arial" w:hAnsi="Arial"/>
                <w:sz w:val="18"/>
                <w:szCs w:val="18"/>
                <w:color w:val="auto"/>
              </w:rPr>
              <w:t>and Restated Certificate of Incorporation.</w:t>
            </w: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w w:val="89"/>
              </w:rPr>
              <w:t>Common Unit Adjustment Agreement dated as of February 13, 2007, by and among National CineMedia, Inc., National CineMedia,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w w:val="93"/>
              </w:rPr>
              <w:t>Regal CineMedia Holdings, LLC, American Multi-Cinema, Inc., Cinemark Media, Inc, Regal Cinemas, Inc. and Cinemark USA, Inc.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w w:val="97"/>
              </w:rPr>
              <w:t>(Confidential treatment granted as to certain portions, which portions were omitted and filed separately with the Commission.)</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24"/>
        </w:trPr>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9960" w:type="dxa"/>
            <w:vAlign w:val="bottom"/>
            <w:gridSpan w:val="6"/>
          </w:tcPr>
          <w:p>
            <w:pPr>
              <w:ind w:left="220"/>
              <w:spacing w:after="0"/>
              <w:rPr>
                <w:sz w:val="20"/>
                <w:szCs w:val="20"/>
                <w:color w:val="auto"/>
              </w:rPr>
            </w:pPr>
            <w:r>
              <w:rPr>
                <w:rFonts w:ascii="Arial" w:cs="Arial" w:eastAsia="Arial" w:hAnsi="Arial"/>
                <w:sz w:val="18"/>
                <w:szCs w:val="18"/>
                <w:color w:val="auto"/>
              </w:rPr>
              <w:t>XBRL Hardship Exemption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10.6 to NCM, Inc.’s Current Report on Form 8-K (File No. 001-33296) filed on February 16,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a continuing hardship exemption obtained under rule 202 of regulations S-T, the interactive data file is not required to be submitted.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(Registrant)</w:t>
      </w:r>
    </w:p>
    <w:p>
      <w:pPr>
        <w:spacing w:after="0" w:line="20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6, 2011</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20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6, 2011</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16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National CineMedia, Inc., a corporation organized and existing under and by virtue of the laws of the State of Delaware (the “Corporation”), hereby certifies that:</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 The name of the Corporation is National CineMedia, Inc. The Corporation was originally incorporated under the name National CineMedia, Inc. The Corporation’s original Certificate of Incorporation was filed with the Secretary of State of the State of Delaware on October 5, 2006.</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 This Amended and Restated Certificate of Incorporation (this “Certificate”), which amends and restates the Corporation’s original Certificate of Incorporation, has been duly adopted in accordance with the provisions of Sections 241 and 245 of the General Corporation Law of the State of Delaware (the “DGCL”).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Corporation has not received any payment for any of its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The text of the original Certificate of Incorporation of the Corporation is hereby amended and restated in its entirety to read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National CineMedia, Inc.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ADDRESS, AGENT</w:t>
      </w:r>
    </w:p>
    <w:p>
      <w:pPr>
        <w:spacing w:after="0" w:line="16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address of the registered office of the Corporation in the State of Delaware is 1209 Orange Street, City of Wilmington, County of New Castle, Delaware 19801. The name of the Corporation’s registered agent at that address is Corporation Trust Company.</w:t>
      </w:r>
    </w:p>
    <w:p>
      <w:pPr>
        <w:sectPr>
          <w:pgSz w:w="11900" w:h="16838" w:orient="portrait"/>
          <w:cols w:equalWidth="0" w:num="1">
            <w:col w:w="11420"/>
          </w:cols>
          <w:pgMar w:left="240" w:top="125" w:right="239" w:bottom="1440" w:gutter="0" w:footer="0" w:header="0"/>
        </w:sectPr>
      </w:pPr>
    </w:p>
    <w:bookmarkStart w:id="27" w:name="page28"/>
    <w:bookmarkEnd w:id="27"/>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PURPOSES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VOTING, CONVERSION</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Shares</w:t>
      </w:r>
      <w:r>
        <w:rPr>
          <w:rFonts w:ascii="Arial" w:cs="Arial" w:eastAsia="Arial" w:hAnsi="Arial"/>
          <w:sz w:val="18"/>
          <w:szCs w:val="18"/>
          <w:color w:val="auto"/>
        </w:rPr>
        <w:t xml:space="preserve"> . The total number of shares of capital stock that the Corporation shall have authority to issue is 130,000,000, which shall be divided into the following classes:</w:t>
      </w:r>
    </w:p>
    <w:p>
      <w:pPr>
        <w:spacing w:after="0" w:line="132"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120,000,000 shares shall be of a class designated Common Stock, par value $0.01 per share (“Common Stock”);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10,000,000 shares shall be of a class designated Preferred Stock, par value $0.01 per share (“Preferred Stock”).</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then outstanding and the number then reserved for issuance upon the exercise, conversion or exchange of Rights (including, without limitation, Membership Units)) by an amendment to this Certificate approved by the affirmative vote of the holders of a majority of the outstanding Common Stock (and any other class or series of stock entitled to vote with the Common Stock).</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Voting Power of Common Stock</w:t>
      </w:r>
      <w:r>
        <w:rPr>
          <w:rFonts w:ascii="Arial" w:cs="Arial" w:eastAsia="Arial" w:hAnsi="Arial"/>
          <w:sz w:val="16"/>
          <w:szCs w:val="16"/>
          <w:color w:val="auto"/>
        </w:rPr>
        <w:t xml:space="preserve"> . Each holder of Common Stock shall be entitled to one vote for each share of Common Stock held on all matters submitted to a vote of stockholders of the Corporation on which holders of Common Stock are entitled to vote. Except as may otherwise be required by the DGCL, by the provisions of this Certificate or any Preferred Stock Designation, the holders of outstanding shares of Common Stock, and the holders of outstanding shares of each series of Preferred Stock entitled to vote thereon, if any, shall vote as one class with respect to all matters to be voted on by the stockholders of the Corporation, and no separate vote or consent of the holders of shares of Common Stock or the holders of shares of any series of Preferred Stock, if any, shall be required for the approval of any such matter.</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Notwithstanding the foregoing and provided that the subject matter being voted thereon does not adversely affect the rights, powers or preferences of the Common Stock, holders of Common Stock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exclusively thereon pursuant to this Certificate (including any Preferred Stock Designation).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8" w:name="page29"/>
    <w:bookmarkEnd w:id="28"/>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4.3 </w:t>
      </w:r>
      <w:r>
        <w:rPr>
          <w:rFonts w:ascii="Arial" w:cs="Arial" w:eastAsia="Arial" w:hAnsi="Arial"/>
          <w:sz w:val="18"/>
          <w:szCs w:val="18"/>
          <w:u w:val="single" w:color="auto"/>
          <w:color w:val="auto"/>
        </w:rPr>
        <w:t>Exchange Rights</w:t>
      </w:r>
      <w:r>
        <w:rPr>
          <w:rFonts w:ascii="Arial" w:cs="Arial" w:eastAsia="Arial" w:hAnsi="Arial"/>
          <w:sz w:val="18"/>
          <w:szCs w:val="18"/>
          <w:color w:val="auto"/>
        </w:rPr>
        <w:t xml:space="preserve"> .</w:t>
      </w:r>
    </w:p>
    <w:p>
      <w:pPr>
        <w:spacing w:after="0" w:line="90" w:lineRule="exact"/>
        <w:rPr>
          <w:sz w:val="20"/>
          <w:szCs w:val="20"/>
          <w:color w:val="auto"/>
        </w:rPr>
      </w:pPr>
    </w:p>
    <w:p>
      <w:pPr>
        <w:ind w:left="-60" w:right="20" w:firstLine="921"/>
        <w:spacing w:after="0" w:line="289" w:lineRule="auto"/>
        <w:tabs>
          <w:tab w:leader="none" w:pos="10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LLC shall be entitled to exchange Membership Units, at any time and from time to time, on a one-for-one basis, into the same number of fully paid and non-assessable shares of Common Stock as may be required for the LLC to meet an obligation under the LLC Agreement to redeem Membership Units, subject to the Corporation’s right to elect a Cash Settlement. The LLC’s right to exchange Membership Units, and the Corporation’s obligations under this Section 4.3, shall be subject to the delivery of written notice (the “Redemption Notice”) by a Member to the LLC and the Corporation of such Member’s intent to cause the LLC to redeem all or a portion of the Membership Units held by such Member. The date specified in the Redemption Notice as the date that the LLC shall redeem the Membership Units shall also be the date (the “Exchange Date”) on which the exchange of Membership Units for shares of Common Stock shall occur. The number of Membership Units that the LLC shall issue and deliver to the Corporation for exchange on the Exchange Date pursuant to this Section 4.3 (the “Exchanged Units”) shall be equal to the number of Membership Units specified in the Redemption Notice to be redeemed by the LLC.</w:t>
      </w:r>
    </w:p>
    <w:p>
      <w:pPr>
        <w:spacing w:after="0" w:line="118" w:lineRule="exact"/>
        <w:rPr>
          <w:rFonts w:ascii="Arial" w:cs="Arial" w:eastAsia="Arial" w:hAnsi="Arial"/>
          <w:sz w:val="16"/>
          <w:szCs w:val="16"/>
          <w:color w:val="auto"/>
        </w:rPr>
      </w:pPr>
    </w:p>
    <w:p>
      <w:pPr>
        <w:ind w:left="-60" w:firstLine="921"/>
        <w:spacing w:after="0" w:line="286" w:lineRule="auto"/>
        <w:tabs>
          <w:tab w:leader="none" w:pos="11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receipt of the Redemption Notice, the Corporation, in its sole discretion, may elect to deliver shares of Common Stock equal to the number of Exchanged Units (the “Share Settlement”), or may, in lieu of exchanging Common Stock for Exchanged Units, make a cash payment to the LLC in an amount equal to the number of Exchanged Units multiplied by the applicable Exchange Price (the “Cash Settlement”). Within three (3) Business Days of receipt of the Redemption Notice, the Corporation shall deliver written notice to the LLC (with a copy to the holder of Membership Units exercising its right to cause the LLC to redeem all or a portion of its Membership Units) of its intended settlement method (the “Settlement Notice”). If a Settlement Notice is not delivered within such three (3) day period, the Corporation shall be deemed to have elected a Share Settlement. If the Corporation elects to satisfy its exchange obligation through a Cash Settlement, then the holder of Membership Units exercising its right to cause the LLC to redeem all or a portion of its Membership Units may retract its Redemption Notice by delivering written notice of retraction (the “Retraction Notice”) to the LLC (with a copy to the Corporation) within two (2) Business Days of delivery of the Settlement Notice. If the Corporation elects to satisfy its exchange obligation through a Cash Settlement, the Corporation will sell to a third party a number of shares of Common Stock equal to the number of Exchanged Units and shall assure that the number of outstanding shares of Common Stock will equal on a one-for-one basis the number of Membership Units owned by the Corporation. Any Redemption Notice, Settlement Notice or Retraction Notice delivered by or to the Corporation may be delivered by hand or sent by facsimile,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29" w:name="page30"/>
    <w:bookmarkEnd w:id="29"/>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mail or nationally recognized overnight delivery service and shall be deemed given when received if delivered on a Business Day during normal business hours of the recipient or, if not so delivered, on the next Business Day following receipt or delivery.</w:t>
      </w:r>
    </w:p>
    <w:p>
      <w:pPr>
        <w:spacing w:after="0" w:line="132" w:lineRule="exact"/>
        <w:rPr>
          <w:sz w:val="20"/>
          <w:szCs w:val="20"/>
          <w:color w:val="auto"/>
        </w:rPr>
      </w:pPr>
    </w:p>
    <w:p>
      <w:pPr>
        <w:ind w:left="1160" w:hanging="239"/>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Unless a timely Retraction Notice has been delivered to the Corporation, on the Exchange Date the following shall occur: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LLC shall (A) issue and deliver to the Corporation a certificate representing the number of Exchanged Units to be exchanged, and</w:t>
      </w:r>
    </w:p>
    <w:p>
      <w:pPr>
        <w:spacing w:after="0" w:line="38" w:lineRule="exact"/>
        <w:rPr>
          <w:rFonts w:ascii="Arial" w:cs="Arial" w:eastAsia="Arial" w:hAnsi="Arial"/>
          <w:sz w:val="16"/>
          <w:szCs w:val="16"/>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to the Corporation all transfer tax stamps or funds therefor, if required pursuant to Section 4.3(g);</w:t>
      </w:r>
    </w:p>
    <w:p>
      <w:pPr>
        <w:spacing w:after="0" w:line="164" w:lineRule="exact"/>
        <w:rPr>
          <w:rFonts w:ascii="Arial" w:cs="Arial" w:eastAsia="Arial" w:hAnsi="Arial"/>
          <w:sz w:val="18"/>
          <w:szCs w:val="18"/>
          <w:color w:val="auto"/>
        </w:rPr>
      </w:pPr>
    </w:p>
    <w:p>
      <w:pPr>
        <w:ind w:left="1740" w:hanging="248"/>
        <w:spacing w:after="0"/>
        <w:tabs>
          <w:tab w:leader="none" w:pos="17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Corporation shall deliver to the LLC (or such other party that the LLC may designate in accordance with Section 4.3(d)) one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164" w:lineRule="exact"/>
        <w:rPr>
          <w:rFonts w:ascii="Arial" w:cs="Arial" w:eastAsia="Arial" w:hAnsi="Arial"/>
          <w:sz w:val="16"/>
          <w:szCs w:val="16"/>
          <w:color w:val="auto"/>
        </w:rPr>
      </w:pPr>
    </w:p>
    <w:p>
      <w:pPr>
        <w:ind w:firstLine="1948"/>
        <w:spacing w:after="0" w:line="268" w:lineRule="auto"/>
        <w:tabs>
          <w:tab w:leader="none" w:pos="2150" w:val="left"/>
        </w:tabs>
        <w:numPr>
          <w:ilvl w:val="3"/>
          <w:numId w:val="23"/>
        </w:numPr>
        <w:rPr>
          <w:rFonts w:ascii="Arial" w:cs="Arial" w:eastAsia="Arial" w:hAnsi="Arial"/>
          <w:sz w:val="18"/>
          <w:szCs w:val="18"/>
          <w:color w:val="auto"/>
        </w:rPr>
      </w:pPr>
      <w:r>
        <w:rPr>
          <w:rFonts w:ascii="Arial" w:cs="Arial" w:eastAsia="Arial" w:hAnsi="Arial"/>
          <w:sz w:val="18"/>
          <w:szCs w:val="18"/>
          <w:color w:val="auto"/>
        </w:rPr>
        <w:t>in a Share Settlement for the Exchanged Units, the Corporation shall issue to the LLC or in such other name or names the LLC may direct a number of shares of Common Stock equal to the number of Exchanged Units; or</w:t>
      </w:r>
    </w:p>
    <w:p>
      <w:pPr>
        <w:spacing w:after="0" w:line="131" w:lineRule="exact"/>
        <w:rPr>
          <w:rFonts w:ascii="Arial" w:cs="Arial" w:eastAsia="Arial" w:hAnsi="Arial"/>
          <w:sz w:val="18"/>
          <w:szCs w:val="18"/>
          <w:color w:val="auto"/>
        </w:rPr>
      </w:pPr>
    </w:p>
    <w:p>
      <w:pPr>
        <w:ind w:right="180" w:firstLine="1948"/>
        <w:spacing w:after="0" w:line="332" w:lineRule="auto"/>
        <w:tabs>
          <w:tab w:leader="none" w:pos="2198" w:val="left"/>
        </w:tabs>
        <w:numPr>
          <w:ilvl w:val="3"/>
          <w:numId w:val="23"/>
        </w:numPr>
        <w:rPr>
          <w:rFonts w:ascii="Arial" w:cs="Arial" w:eastAsia="Arial" w:hAnsi="Arial"/>
          <w:sz w:val="16"/>
          <w:szCs w:val="16"/>
          <w:color w:val="auto"/>
        </w:rPr>
      </w:pPr>
      <w:r>
        <w:rPr>
          <w:rFonts w:ascii="Arial" w:cs="Arial" w:eastAsia="Arial" w:hAnsi="Arial"/>
          <w:sz w:val="16"/>
          <w:szCs w:val="16"/>
          <w:color w:val="auto"/>
        </w:rPr>
        <w:t>in a Cash Settlement for the Exchanged Units, the Corporation shall pay to the LLC or such other Person as the LLC may direct, by wire transfer of immediately available funds, an amount equal to the number of Exchanged Units multiplied by the then applicable Exchange Price.</w:t>
      </w:r>
    </w:p>
    <w:p>
      <w:pPr>
        <w:spacing w:after="0" w:line="85" w:lineRule="exact"/>
        <w:rPr>
          <w:rFonts w:ascii="Arial" w:cs="Arial" w:eastAsia="Arial" w:hAnsi="Arial"/>
          <w:sz w:val="16"/>
          <w:szCs w:val="16"/>
          <w:color w:val="auto"/>
        </w:rPr>
      </w:pPr>
    </w:p>
    <w:p>
      <w:pPr>
        <w:ind w:right="140" w:firstLine="921"/>
        <w:spacing w:after="0" w:line="289" w:lineRule="auto"/>
        <w:tabs>
          <w:tab w:leader="none" w:pos="1162" w:val="left"/>
        </w:tabs>
        <w:numPr>
          <w:ilvl w:val="1"/>
          <w:numId w:val="23"/>
        </w:numPr>
        <w:rPr>
          <w:rFonts w:ascii="Arial" w:cs="Arial" w:eastAsia="Arial" w:hAnsi="Arial"/>
          <w:sz w:val="16"/>
          <w:szCs w:val="16"/>
          <w:color w:val="auto"/>
        </w:rPr>
      </w:pPr>
      <w:r>
        <w:rPr>
          <w:rFonts w:ascii="Arial" w:cs="Arial" w:eastAsia="Arial" w:hAnsi="Arial"/>
          <w:sz w:val="16"/>
          <w:szCs w:val="16"/>
          <w:color w:val="auto"/>
        </w:rPr>
        <w:t>Unless a timely Retraction Notice has been delivered to the Corporation, on the Exchange Date, provided the LLC has delivered one or more certificates representing Exchanged Units in the manner provided in Section 4.3(c) and paid in cash any amount required by Section 4.3(g), the Corporation will deliver or cause to be delivered at the office of the Corporation’s transfer agent, a certificate or certificates representing the number of full shares of Common Stock issuable upon such exchange in a Share Settlement, issued in the name of the LLC or in such other name or names the LLC may direct. If the Corporation has elected a Cash Settlement in accordance with Section 4.3(b), the Corporation will deliver the Cash Settlement amount to the LLC. Such exchange shall be deemed to have been effected immediately prior to the close of business on the Exchange Date. The person or persons in whose name or names the certificate or certificates representing the shares of Common Stock are to be issued shall be treated for all purposes as having become the record holder or holders of such shares of Common Stock immediately prior to the close of business on the Exchange Date.</w:t>
      </w:r>
    </w:p>
    <w:p>
      <w:pPr>
        <w:spacing w:after="0" w:line="118" w:lineRule="exact"/>
        <w:rPr>
          <w:rFonts w:ascii="Arial" w:cs="Arial" w:eastAsia="Arial" w:hAnsi="Arial"/>
          <w:sz w:val="16"/>
          <w:szCs w:val="16"/>
          <w:color w:val="auto"/>
        </w:rPr>
      </w:pPr>
    </w:p>
    <w:p>
      <w:pPr>
        <w:ind w:right="80" w:firstLine="921"/>
        <w:spacing w:after="0" w:line="268" w:lineRule="auto"/>
        <w:tabs>
          <w:tab w:leader="none" w:pos="11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the event of a reclassification or other similar transaction as a result of which the shares of Common Stock are converted into another security, then the LLC shall be entitled to receive upon exchange of Membership Units the amount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0" w:name="page31"/>
    <w:bookmarkEnd w:id="30"/>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security that such holder would have received if such exchange had occurred immediately prior to the record date of such reclassification or other similar transaction. No adjustments in respect of dividends shall be made upon the exchange of any Membership Unit;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if a Membership Unit shall be exchanged subsequent to the record date for the payment of a dividend or other distribution on Membership Units but prior to such payment, then the registered holder of such Membership Unit at the close of business on such record date shall be entitled to receive the dividend or other distribution payable on such Membership Unit notwithstanding the exchange thereof or the default in settlement of the exchange or payment of the dividend or distribution due.</w:t>
      </w:r>
    </w:p>
    <w:p>
      <w:pPr>
        <w:spacing w:after="0" w:line="116" w:lineRule="exact"/>
        <w:rPr>
          <w:sz w:val="20"/>
          <w:szCs w:val="20"/>
          <w:color w:val="auto"/>
        </w:rPr>
      </w:pPr>
    </w:p>
    <w:p>
      <w:pPr>
        <w:ind w:right="20" w:firstLine="921"/>
        <w:spacing w:after="0" w:line="288" w:lineRule="auto"/>
        <w:tabs>
          <w:tab w:leader="none" w:pos="1132"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Corporation will at all times reserve and keep available out of its authorized but unissued shares of Common Stock, solely for the purpose of issuance upon exchange of Membership Units by the LLC in accordance with this Section 4.3, such number of shares of Common Stock that shall be issuable upon the exchange of all outstanding Membership Units exchangeable hereunder; provided that nothing contained herein shall preclude the Corporation from satisfying its obligations in respect of the exchange of the outstanding Membership Units by delivery of shares of Common Stock that are held in the treasury of the Corporation. If any shares of Common Stock require registration with or approval of any governmental authority under any federal or state law before such shares of Common Stock may be issued upon exchange, the Corporation will cause such shares to be duly registered or approved, as the case may be. All shares of Common Stock that are issued upon exchange of the Membership Units will, upon issue, be validly issued, fully paid and non-assessable and be listed upon each national securities exchange, other securities exchange or automated or electronic quotation system upon which the outstanding Common Stock is listed at the time of delivery.</w:t>
      </w:r>
    </w:p>
    <w:p>
      <w:pPr>
        <w:spacing w:after="0" w:line="119"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issuance of certificates representing shares of Common Stock upon exchange of Membership Units in a Share Settlement shall be made without charge to the LLC for any stamp or other similar tax in respect of such issuance;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if any such certificate is to be issued in a name other than that of the LLC, then the person or persons requesting the issuance thereof shall pay to the LLC for remittance to the Corporation the amount of any tax that may be payable in respect of any transfer involved in such issuance or shall establish to the satisfaction of the Corporation that such tax has been paid or is not payable.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Stock Splits, Ratios, Adjusting Outstanding Shares of Common Stock or Membership Units</w:t>
      </w:r>
      <w:r>
        <w:rPr>
          <w:rFonts w:ascii="Arial" w:cs="Arial" w:eastAsia="Arial" w:hAnsi="Arial"/>
          <w:sz w:val="18"/>
          <w:szCs w:val="18"/>
          <w:color w:val="auto"/>
        </w:rPr>
        <w:t xml:space="preserve"> .</w:t>
      </w:r>
    </w:p>
    <w:p>
      <w:pPr>
        <w:spacing w:after="0" w:line="90" w:lineRule="exact"/>
        <w:rPr>
          <w:sz w:val="20"/>
          <w:szCs w:val="20"/>
          <w:color w:val="auto"/>
        </w:rPr>
      </w:pPr>
    </w:p>
    <w:p>
      <w:pPr>
        <w:ind w:firstLine="921"/>
        <w:spacing w:after="0" w:line="256"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shall undertake all actions, including, without limitation, a reclassification, dividend, division or recapitalization, with respect to the shares of Common Stock or the Membership Units (in the case of the LLC, the Corporation authorizing such in its capacity as manager of the LLC), to maintain at all times a one-to-one ratio between the number of Membership Units owned by the Corporation and the number of outstanding shares of Common Stock, disregarding, for purposes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31" w:name="page32"/>
    <w:bookmarkEnd w:id="31"/>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maintaining the one-to-one ratio, shares of Common Stock issued pursuant to the Equity Incentive Plan that have not vested thereunder, treasury stock, Preferred Stock or other securities of the Corporation that are not convertible into or exercisable or exchangeable for Common Stock.</w:t>
      </w:r>
    </w:p>
    <w:p>
      <w:pPr>
        <w:spacing w:after="0" w:line="85" w:lineRule="exact"/>
        <w:rPr>
          <w:sz w:val="20"/>
          <w:szCs w:val="20"/>
          <w:color w:val="auto"/>
        </w:rPr>
      </w:pPr>
    </w:p>
    <w:p>
      <w:pPr>
        <w:ind w:firstLine="921"/>
        <w:spacing w:after="0" w:line="252"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shall not undertake or authorize (i) any subdivision (by any Membership Unit split, Membership Unit distribution, reclassification, recapitalization or similar event) or combination (by reverse Membership Unit split, reclassification, recapitalization or similar event) of the Membership Units that is not accompanied by an identical subdivision or combination of the Common Stock to maintain at all times a one-to-one ratio between the number of Membership Units owned by the Corporation and the number of outstanding shares of Common Stock; or (ii) any subdivision (by any stock split, stock dividend, reclassification, recapitalization or similar event) or combination (by reverse stock split, reclassification, recapitalization or similar event) of the Common Stock that is not accompanied by an identical subdivision or combination of the Membership Units to maintain at all times a one-to-one ratio between the number of Membership Units owned by the Corporation and the number of outstanding shares of Common Stock, unless, in either case, such action is necessary to maintain at all times a one-to-one ratio between the number of Membership Units owned by the Corporation and the number of outstanding shares of Common Stock.</w:t>
      </w:r>
    </w:p>
    <w:p>
      <w:pPr>
        <w:spacing w:after="0" w:line="150" w:lineRule="exact"/>
        <w:rPr>
          <w:rFonts w:ascii="Arial" w:cs="Arial" w:eastAsia="Arial" w:hAnsi="Arial"/>
          <w:sz w:val="18"/>
          <w:szCs w:val="18"/>
          <w:color w:val="auto"/>
        </w:rPr>
      </w:pPr>
    </w:p>
    <w:p>
      <w:pPr>
        <w:ind w:right="160" w:firstLine="921"/>
        <w:spacing w:after="0" w:line="253"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shall not issue, transfer or deliver from treasury stock or repurchase shares of Common Stock unless in connection with any such issuance, transfer or repurchase the Corporation takes or authorizes all requisite action such that, after giving effect to all such issuances, transfers or repurchases, the number of outstanding shares of Common Stock will equal on a one-for-one basis the number of Membership Units owned by the Corporation. The Corporation shall not issue, transfer or deliver from treasury stock or repurchase shares of Preferred Stock unless in connection with any such issuance, transfer, delivery or repurchase the Corporation takes all requisite action such that, after giving effect to all such issuances, transfers or repurchases, the Corporation holds mirror equity interests of the LLC which (in the good faith determination by the Board) are in the aggregate substantially equivalent to the outstanding Preferred Stock.</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xml:space="preserve"> . Subject to the preferences of Preferred Stock, if any, outstanding at any time, the holders of shares of Common Stock shall be entitled to receive such dividends and other distributions in property or shares of stock of the Corporation as may be declared thereon by the Board from time to time out of assets or funds of the Corporation legally available therefor.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2" w:name="page33"/>
    <w:bookmarkEnd w:id="32"/>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4.6 </w:t>
      </w:r>
      <w:r>
        <w:rPr>
          <w:rFonts w:ascii="Arial" w:cs="Arial" w:eastAsia="Arial" w:hAnsi="Arial"/>
          <w:sz w:val="16"/>
          <w:szCs w:val="16"/>
          <w:u w:val="single" w:color="auto"/>
          <w:color w:val="auto"/>
        </w:rPr>
        <w:t>Mergers, Consolidation, Etc</w:t>
      </w:r>
      <w:r>
        <w:rPr>
          <w:rFonts w:ascii="Arial" w:cs="Arial" w:eastAsia="Arial" w:hAnsi="Arial"/>
          <w:sz w:val="16"/>
          <w:szCs w:val="16"/>
          <w:color w:val="auto"/>
        </w:rPr>
        <w:t xml:space="preserve"> . The Corporation shall not consolidate, merge, combine or consummate any other transaction (in each case other than incident to an exchange or a conversion of Common Stock and/or other securities for Common Stock pursuant to the terms of this Certificate) in which shares of Common Stock are exchanged for or converted into other stock or securities, or the right to receive cash and/or any other property, unless in connection with any such consolidation, merger, combination or other transaction the Membership Units or the shares of Common Stock shall be entitled to be exchanged (subject to proration upon equitable terms in the event of a merger or consolidation upon prorated terms) for or converted into the same kind and amount of stock or securities, cash and/or any other property, as the case may be, into which or for which each Membership Unit or share of Common Stock is exchanged or converted and in each case to maintain at all times a one-to-one ratio between the number of Membership Units or other stock, securities, or rights to receive cash and/or any other property owned by the Corporation and the number of outstanding shares of Common Stock or other stock, securities, or rights to receive cash and/or any other property issued by the Corporation.</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 The Board is authorized, subject to any limitations prescribed by applicable law, to provide from time to time for the issuance of shares of Preferred Stock in one or more series, and by filing a certificate pursuant to the DGCL (a “Preferred Stock Designation”), to establish the rights, powers and preferences of each such series of Preferred Stock, including the following:</w:t>
      </w:r>
    </w:p>
    <w:p>
      <w:pPr>
        <w:spacing w:after="0" w:line="140" w:lineRule="exact"/>
        <w:rPr>
          <w:sz w:val="20"/>
          <w:szCs w:val="20"/>
          <w:color w:val="auto"/>
        </w:rPr>
      </w:pPr>
    </w:p>
    <w:p>
      <w:pPr>
        <w:ind w:right="320" w:firstLine="921"/>
        <w:spacing w:after="0" w:line="268"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that series, which may subsequently be increased or decreased (but not below the number of shares of that series then outstanding) by resolution of the Board, and the distinctive serial designation thereof;</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voting powers, full or limited, if any, of the shares of that series and the number of votes per share;</w:t>
      </w:r>
    </w:p>
    <w:p>
      <w:pPr>
        <w:spacing w:after="0" w:line="171" w:lineRule="exact"/>
        <w:rPr>
          <w:rFonts w:ascii="Arial" w:cs="Arial" w:eastAsia="Arial" w:hAnsi="Arial"/>
          <w:sz w:val="18"/>
          <w:szCs w:val="18"/>
          <w:color w:val="auto"/>
        </w:rPr>
      </w:pPr>
    </w:p>
    <w:p>
      <w:pPr>
        <w:ind w:right="200" w:firstLine="921"/>
        <w:spacing w:after="0" w:line="332" w:lineRule="auto"/>
        <w:tabs>
          <w:tab w:leader="none" w:pos="11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rights in respect of dividends on the shares of that series, whether dividends shall be cumulative and, if so, from which date or dates and the relative rights or priority, if any, of payment of dividends on shares of that series and any limitations, restrictions or conditions on the payment of dividends;</w:t>
      </w:r>
    </w:p>
    <w:p>
      <w:pPr>
        <w:spacing w:after="0" w:line="85" w:lineRule="exact"/>
        <w:rPr>
          <w:rFonts w:ascii="Arial" w:cs="Arial" w:eastAsia="Arial" w:hAnsi="Arial"/>
          <w:sz w:val="16"/>
          <w:szCs w:val="16"/>
          <w:color w:val="auto"/>
        </w:rPr>
      </w:pPr>
    </w:p>
    <w:p>
      <w:pPr>
        <w:ind w:firstLine="921"/>
        <w:spacing w:after="0" w:line="268"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amounts, and the relative rights or priority, if any, of payment in respect of shares of that series, which the holders of the shares of that series shall be entitled to receive upon any liquidation, dissolution or winding up of the Corporation;</w:t>
      </w:r>
    </w:p>
    <w:p>
      <w:pPr>
        <w:spacing w:after="0" w:line="131" w:lineRule="exact"/>
        <w:rPr>
          <w:rFonts w:ascii="Arial" w:cs="Arial" w:eastAsia="Arial" w:hAnsi="Arial"/>
          <w:sz w:val="18"/>
          <w:szCs w:val="18"/>
          <w:color w:val="auto"/>
        </w:rPr>
      </w:pPr>
    </w:p>
    <w:p>
      <w:pPr>
        <w:ind w:right="60" w:firstLine="921"/>
        <w:spacing w:after="0" w:line="259"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(including the price or prices, which may vary under different conditions and at different redemption or purchase dates), if any, upon which all or any part of the shares of that series may be redeemed or purchased by the Corporation, and any limitations, restrictions or conditions on such redemption or purchase;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3" w:name="page34"/>
    <w:bookmarkEnd w:id="33"/>
    <w:p>
      <w:pPr>
        <w:ind w:left="1140" w:hanging="219"/>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if any, of any purchase, retirement or sinking fund to be provided for the shares of that series;</w:t>
      </w:r>
    </w:p>
    <w:p>
      <w:pPr>
        <w:spacing w:after="0" w:line="171" w:lineRule="exact"/>
        <w:rPr>
          <w:rFonts w:ascii="Arial" w:cs="Arial" w:eastAsia="Arial" w:hAnsi="Arial"/>
          <w:sz w:val="18"/>
          <w:szCs w:val="18"/>
          <w:color w:val="auto"/>
        </w:rPr>
      </w:pPr>
    </w:p>
    <w:p>
      <w:pPr>
        <w:ind w:right="120" w:firstLine="921"/>
        <w:spacing w:after="0" w:line="268"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if any, upon which the shares of that series shall be convertible into or exchangeable for shares of any other class, classes or series, or other securities, whether or not issued by the Corporation;</w:t>
      </w:r>
    </w:p>
    <w:p>
      <w:pPr>
        <w:spacing w:after="0" w:line="131" w:lineRule="exact"/>
        <w:rPr>
          <w:rFonts w:ascii="Arial" w:cs="Arial" w:eastAsia="Arial" w:hAnsi="Arial"/>
          <w:sz w:val="18"/>
          <w:szCs w:val="18"/>
          <w:color w:val="auto"/>
        </w:rPr>
      </w:pPr>
    </w:p>
    <w:p>
      <w:pPr>
        <w:ind w:right="520" w:firstLine="921"/>
        <w:spacing w:after="0" w:line="268"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restrictions, limitations and conditions, if any, upon issuance of indebtedness of the Corporation so long as any shares of that series are outstanding; and</w:t>
      </w:r>
    </w:p>
    <w:p>
      <w:pPr>
        <w:spacing w:after="0" w:line="131" w:lineRule="exact"/>
        <w:rPr>
          <w:rFonts w:ascii="Arial" w:cs="Arial" w:eastAsia="Arial" w:hAnsi="Arial"/>
          <w:sz w:val="18"/>
          <w:szCs w:val="18"/>
          <w:color w:val="auto"/>
        </w:rPr>
      </w:pPr>
    </w:p>
    <w:p>
      <w:pPr>
        <w:ind w:firstLine="921"/>
        <w:spacing w:after="0" w:line="268" w:lineRule="auto"/>
        <w:tabs>
          <w:tab w:leader="none" w:pos="11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rights and limitations not inconsistent with law, this Article IV or any resolution of the Board in accordance with this Article IV.</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shares of any one series of the Preferred Stock shall be alike in all respects. Except to the extent otherwise expressly provided in the Preferred Stock Designation for a series of Preferred Stock, the holders of shares of such series shall have no voting rights except as may be required by the laws of the DGCL. Further, unless otherwise expressly provided in the Preferred Stock Designation for a series of Preferred Stock, no consent or vote of the holders of shares of Preferred Stock or any series thereof shall be required for any amendment to this Certificate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of such series, as the case may be, then outstanding). Except as may be provided by the Board in a Preferred Stock Designation or by applicable law, shares of any series of Preferred Stock that have been redeemed (whether through the operation of a sinking fund or otherwise) or purchased by the Corporation, or which, if convertible or exchangeable, have been converted into or exchanged for shares of stock of any other class or series shall have the status of authorized and unissued shares of Preferred Stock and may be reissued as a part of the series of which they were originally a part or may be reissued as part of a new series of Preferred Stock to be created by resolution or resolutions of the Board or as part of any other series of Preferred Stock.</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xml:space="preserve"> . In the event of a liquidation, dissolution or winding up of the Corporation, whether voluntary or involuntary, after payment or provision for payment of the debts and liabilities of the Corporation and subject to the prior payment in full of the preferential amounts to which any series of Preferred Stock is entitled, the holders of shares of Common Stock of all classes shall share equally, on a share for share basis, in the assets of the Corporation remaining for distribution to its holders of Common Stock. Neither the consolidation or merger of the Corporation with or into any other person or persons nor the sale, transfer or lease of all or substantially all of the assets of the Corporation shall itself be deemed to be a liquidation, dissolution or winding up of the Corporation within the meaning of this Section 4.8.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4" w:name="page35"/>
    <w:bookmarkEnd w:id="34"/>
    <w:p>
      <w:pPr>
        <w:jc w:val="both"/>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4.9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 The Corporation shall give written notice thereof to all holders of Membership Units (based on the ledger of ownership of the LLC) at least 20 days prior to (i) the date on which the Corporation sets a record date for determining rights in connection with a (x) merger, tender offer, reorganization, recapitalization, reclassification or other change in the capital structure of the Corporation or (y) any dividend or distribution (including in liquidation) and (ii) if no such record date is set, the date of such foregoing event.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Classification and Election of Directors</w:t>
      </w:r>
      <w:r>
        <w:rPr>
          <w:rFonts w:ascii="Arial" w:cs="Arial" w:eastAsia="Arial" w:hAnsi="Arial"/>
          <w:sz w:val="18"/>
          <w:szCs w:val="18"/>
          <w:color w:val="auto"/>
        </w:rPr>
        <w:t xml:space="preserve"> .</w:t>
      </w:r>
    </w:p>
    <w:p>
      <w:pPr>
        <w:spacing w:after="0" w:line="90" w:lineRule="exact"/>
        <w:rPr>
          <w:sz w:val="20"/>
          <w:szCs w:val="20"/>
          <w:color w:val="auto"/>
        </w:rPr>
      </w:pPr>
    </w:p>
    <w:p>
      <w:pPr>
        <w:ind w:right="220" w:firstLine="921"/>
        <w:spacing w:after="0" w:line="256"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a Board of Directors (the “Board”). The number of directors, other than those who may be elected by the holders of one or more series of Preferred Stock voting separately by class or series, shall be fixed by the Bylaws, but shall not be more than ten. The directors of the Corporation will be elected by the plurality of the votes cast by the holders of shares of Common Stock.</w:t>
      </w:r>
    </w:p>
    <w:p>
      <w:pPr>
        <w:spacing w:after="0" w:line="143" w:lineRule="exact"/>
        <w:rPr>
          <w:rFonts w:ascii="Arial" w:cs="Arial" w:eastAsia="Arial" w:hAnsi="Arial"/>
          <w:sz w:val="18"/>
          <w:szCs w:val="18"/>
          <w:color w:val="auto"/>
        </w:rPr>
      </w:pPr>
    </w:p>
    <w:p>
      <w:pPr>
        <w:ind w:firstLine="921"/>
        <w:spacing w:after="0" w:line="291"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directors of the Corporation shall be divided as evenly as possible into three classes, designated “Class I”, “Class II” and “Class III.” If the number of directors is not evenly divisible by three, the remaining positions shall be allocated first to Class III and then to Class II. The initial terms of the Class I directors shall expire at the annual meeting of stockholders in 2008; the initial terms of the Class II directors shall expire at the annual meeting of stockholders in 2009; and the initial terms of the Class III directors shall expire at the annual meeting of stockholders in 2010. At each annual meeting of stockholders of the Corporation, the successors of that class of directors whose term expires at that meeting shall be elected to hold office for a term expiring at the annual meeting of stockholders of the Corporation held in the third year following the year of their election.</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Approval Rights of Certain Matters</w:t>
      </w:r>
      <w:r>
        <w:rPr>
          <w:rFonts w:ascii="Arial" w:cs="Arial" w:eastAsia="Arial" w:hAnsi="Arial"/>
          <w:sz w:val="16"/>
          <w:szCs w:val="16"/>
          <w:color w:val="auto"/>
        </w:rPr>
        <w:t xml:space="preserve"> . So long as any Founding Member owns five percent or more of the then issued and outstanding Membership Units, including Membership Units acquired from another Founding Member or an Affiliate of another Founding Member (which, for purposes of this Section 5.2, shall be calculated to include (a) all shares of Common Stock beneficially owned by such Founding Member as of the date of determination as a result of the redemption of any Membership Units in accordance with Article 9 of the LLC Agreement, (b) any shares of Common Stock issued in connection with any dividend or distribution on the Common Stock so received as a result of the redemption of any Membership Units, and (c) any shares of Common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35" w:name="page36"/>
    <w:bookmarkEnd w:id="35"/>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acquired from another Founding Member provided that such other Founding Member acquired such shares of Common Stock in a transaction described in clause (a) or (b) above, but excluding (x) any shares of Common Stock otherwise acquired by the Founding Members and (y) any Membership Units issued to the Corporation in connection with redemption of Membership Units by a Founding Member (unless the Founding Member has disposed of any of the shares of Common Stock received in connection with such redemption of Membership Units (other than to another Founding Member in a transaction described in clause</w:t>
      </w:r>
    </w:p>
    <w:p>
      <w:pPr>
        <w:spacing w:after="0" w:line="3" w:lineRule="exact"/>
        <w:rPr>
          <w:sz w:val="20"/>
          <w:szCs w:val="20"/>
          <w:color w:val="auto"/>
        </w:rPr>
      </w:pPr>
    </w:p>
    <w:p>
      <w:pPr>
        <w:ind w:right="20" w:firstLine="8"/>
        <w:spacing w:after="0" w:line="253" w:lineRule="auto"/>
        <w:tabs>
          <w:tab w:leader="none" w:pos="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above), in which case a number of Membership Units issued to the Corporation in connection with such redemption equal to the number of shares of Common Stock disposed of by such Founding Member shall be included in determining such Founding Member’s ownership interest)), approval of 90 percent of the directors then in office, provided that if the Board has fewer than ten directors then the approval of 80 percent of the directors then in office, will be required prior to (x) the Corporation’s taking of any of the following actions, or (y) the Corporation, in its capacity as manager of the LLC, authorizing the LLC to take any of the following actions, as the case may be:</w:t>
      </w:r>
    </w:p>
    <w:p>
      <w:pPr>
        <w:spacing w:after="0" w:line="145" w:lineRule="exact"/>
        <w:rPr>
          <w:rFonts w:ascii="Arial" w:cs="Arial" w:eastAsia="Arial" w:hAnsi="Arial"/>
          <w:sz w:val="18"/>
          <w:szCs w:val="18"/>
          <w:color w:val="auto"/>
        </w:rPr>
      </w:pPr>
    </w:p>
    <w:p>
      <w:pPr>
        <w:ind w:left="1160" w:hanging="239"/>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assignment, transfer, sale or pledge of all or a portion of the Membership Interests beneficially owned by the Corporation;</w:t>
      </w:r>
    </w:p>
    <w:p>
      <w:pPr>
        <w:spacing w:after="0" w:line="171" w:lineRule="exact"/>
        <w:rPr>
          <w:rFonts w:ascii="Arial" w:cs="Arial" w:eastAsia="Arial" w:hAnsi="Arial"/>
          <w:sz w:val="18"/>
          <w:szCs w:val="18"/>
          <w:color w:val="auto"/>
        </w:rPr>
      </w:pPr>
    </w:p>
    <w:p>
      <w:pPr>
        <w:ind w:right="20" w:firstLine="921"/>
        <w:spacing w:after="0" w:line="306" w:lineRule="auto"/>
        <w:tabs>
          <w:tab w:leader="none" w:pos="11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acquisition, disposition, leasing or licensing of assets by the Corporation or the LLC or entering into a contract to do the foregoing, in a single transaction or in two or more transactions (related or unrelated) in any consecutive twelve-month period with an aggregate value (as determined in good faith by the Board) exceeding 20 percent of the fair market value of the business of the LLC operating as a going concern (as determined in good faith by the Board);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merger, reorganization, recapitalization, reclassification, consolidation, dissolution, liquidation or similar transaction of the Corporation 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164" w:lineRule="exact"/>
        <w:rPr>
          <w:rFonts w:ascii="Arial" w:cs="Arial" w:eastAsia="Arial" w:hAnsi="Arial"/>
          <w:sz w:val="16"/>
          <w:szCs w:val="16"/>
          <w:color w:val="auto"/>
        </w:rPr>
      </w:pPr>
    </w:p>
    <w:p>
      <w:pPr>
        <w:ind w:right="40" w:firstLine="921"/>
        <w:spacing w:after="0" w:line="259" w:lineRule="auto"/>
        <w:tabs>
          <w:tab w:leader="none" w:pos="116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incurrence by the Corporation or the LLC of any funded indebtedness (including the refinancing of any funded indebtedness) or the repayment before due of any funded indebtedness (other than a working capital revolving line of credit) with a fixed term, in either case, in a single transaction or in two or more transactions (related or unrelated) in an aggregate amount in excess of $15.0 million per year;</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(e)(1) the issuance, grant or sale of shares of Common Stock or Rights with respect to Common Stock, except in connection with (x) the issuance of Rights to Common Stock in connection with the Equity Incentive Plan (or such other equity incentive compensation plan as may be approved by the Board in the future) or (y) any exchange of Membership Units in accordance with Section 4.3, or (2) the issuance, grant or sale of any Preferred Stock or Rights with respect to Preferred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6" w:name="page37"/>
    <w:bookmarkEnd w:id="36"/>
    <w:p>
      <w:pPr>
        <w:ind w:firstLine="921"/>
        <w:spacing w:after="0" w:line="259" w:lineRule="auto"/>
        <w:tabs>
          <w:tab w:leader="none" w:pos="1132"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authorization, issuance, grant or sale of additional Membership Interests or Rights with respect to Membership Interests (except as provided in the LLC Agreement, Unit Adjustment Agreement or pursuant to the Equity Incentive Plan or such other equity incentive compensation plan as may be approved by the Board in the future);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amendment, modification, restatement or repeal of any provision of this Certificate or the Bylaws or the LLC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entering into, modification or termination of any contract of the type specified in Item 601(b)(10)(i) of Regulation S-K;</w:t>
      </w:r>
    </w:p>
    <w:p>
      <w:pPr>
        <w:spacing w:after="0" w:line="171" w:lineRule="exact"/>
        <w:rPr>
          <w:rFonts w:ascii="Arial" w:cs="Arial" w:eastAsia="Arial" w:hAnsi="Arial"/>
          <w:sz w:val="18"/>
          <w:szCs w:val="18"/>
          <w:color w:val="auto"/>
        </w:rPr>
      </w:pPr>
    </w:p>
    <w:p>
      <w:pPr>
        <w:ind w:firstLine="921"/>
        <w:spacing w:after="0" w:line="268" w:lineRule="auto"/>
        <w:tabs>
          <w:tab w:leader="none" w:pos="11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specifically set forth in the LLC Agreement, the declaration, setting aside or payment of any redemption of or dividends on Membership Interests, payable in cash, property or otherwise;</w:t>
      </w:r>
    </w:p>
    <w:p>
      <w:pPr>
        <w:spacing w:after="0" w:line="131" w:lineRule="exact"/>
        <w:rPr>
          <w:rFonts w:ascii="Arial" w:cs="Arial" w:eastAsia="Arial" w:hAnsi="Arial"/>
          <w:sz w:val="18"/>
          <w:szCs w:val="18"/>
          <w:color w:val="auto"/>
        </w:rPr>
      </w:pPr>
    </w:p>
    <w:p>
      <w:pPr>
        <w:ind w:right="140" w:firstLine="921"/>
        <w:spacing w:after="0" w:line="268" w:lineRule="auto"/>
        <w:tabs>
          <w:tab w:leader="none" w:pos="11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amendment (as such term is described in IM-4350-5 to Rule 4350 of the Marketplace Rules of the NASDAQ Stock Market, Inc.) to the Equity Incentive Plan or the entering into or consummation of any new equity incentive compensation plan;</w:t>
      </w:r>
    </w:p>
    <w:p>
      <w:pPr>
        <w:spacing w:after="0" w:line="131"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 in the current business purpose of the Corporation to serve solely as the manager of the LLC or any change in the current business purpose of the LLC to provide the services as set forth in the ESAs; and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approval of any actions relating to the LLC that could reasonably be expected to have a material adverse tax effect on the Founding Members.</w:t>
      </w:r>
    </w:p>
    <w:p>
      <w:pPr>
        <w:spacing w:after="0" w:line="20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Notwithstanding anything in this Section 5.2 to the contrary, a Founding Member shall permanently cease to be a Founding Member for purposes of this Certificate (i) if at any time such Founding Member owns less than five percent of the then issued and outstanding Membership Units as determined pursuant to this Section 5.2, or (ii) upon the occurrence of a direct or indirect Change of Control of such Founding Member, or any direct or indirect holder of equity in such Founding Member (other than a Change of Control (A) of such Founding Member’s ESA Party or its stockholders, or (B) in which, following the Change of Control, the Founding Member’s ESA Party or its stockholders owns 50 percent or more of the general voting power of the transferee).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7" w:name="page38"/>
    <w:bookmarkEnd w:id="37"/>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5.3 </w:t>
      </w:r>
      <w:r>
        <w:rPr>
          <w:rFonts w:ascii="Arial" w:cs="Arial" w:eastAsia="Arial" w:hAnsi="Arial"/>
          <w:sz w:val="18"/>
          <w:szCs w:val="18"/>
          <w:u w:val="single" w:color="auto"/>
          <w:color w:val="auto"/>
        </w:rPr>
        <w:t>Modification or Amendment of ESAs</w:t>
      </w:r>
      <w:r>
        <w:rPr>
          <w:rFonts w:ascii="Arial" w:cs="Arial" w:eastAsia="Arial" w:hAnsi="Arial"/>
          <w:sz w:val="18"/>
          <w:szCs w:val="18"/>
          <w:color w:val="auto"/>
        </w:rPr>
        <w:t xml:space="preserve"> . Any (i) modification or amendment of an ESA which could reasonably be expected (in the good faith determination of the Board) to result in payments to or from the LLC in excess of $50,000 or (ii) entry into or amendment of any contract or transaction which could reasonably be expected (in the good faith determination of the Board) to result in payments to or from the LLC or the Corporation in excess of $50,000 between (a) the LLC or the Corporation and (b) any Founding Member, will require the approval of a majority of the directors then in office and a majority of the Independent Directors then in office.</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Term of Office</w:t>
      </w:r>
      <w:r>
        <w:rPr>
          <w:rFonts w:ascii="Arial" w:cs="Arial" w:eastAsia="Arial" w:hAnsi="Arial"/>
          <w:sz w:val="18"/>
          <w:szCs w:val="18"/>
          <w:color w:val="auto"/>
        </w:rPr>
        <w:t xml:space="preserve"> . A director shall hold office until his or her successor shall be qualified and elected, subject, however, to such director’s earlier death, resignation, retirement, disqualification or removal from office.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 Subject to the rights of the holders of any series of Preferred Stock and the terms of the Director Designation Agreement, any or all of the directors of the Corporation may be removed from office at any time, but only for cause and only by the affirmative vote of the holders of at least a majority of the outstanding Common Stock.</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 of Nominations</w:t>
      </w:r>
      <w:r>
        <w:rPr>
          <w:rFonts w:ascii="Arial" w:cs="Arial" w:eastAsia="Arial" w:hAnsi="Arial"/>
          <w:sz w:val="18"/>
          <w:szCs w:val="18"/>
          <w:color w:val="auto"/>
        </w:rPr>
        <w:t xml:space="preserve"> . Advance notice of nominations for the election of directors, other than nominations by the Board or a committee thereof, shall be given to the Corporation in the manner provided in the Bylaws.</w:t>
      </w:r>
    </w:p>
    <w:p>
      <w:pPr>
        <w:spacing w:after="0" w:line="13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 Subject to the rights of holders of any series of Preferred Stock, any newly created directorship resulting from an increase in the number of directors or any other vacancy with respect to the office of a director, however caused, shall be filled only by a majority of the directors then in office (even if less than a quorum) or by a sole remaining director, in each case in accordance with the Director Designation Agreement. Subject to the terms and conditions of the Director Designation Agreement, any director elected by one or more directors to fill a newly created directorship or other vacancy shall hold office for the remainder of the full term of the class of directors to which the new directorship was added or in which the vacancy occurred and until his or her successor shall have been elected and qualified, subject, however, to such director’s earlier death, resignation, retirement, disqualification or removal.</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 LIABILITY</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 the fullest extent permitted by the DGCL, as now existing or hereafter amended, a director of the Corporation shall not be liable to the Corporation or any of its stockholders for monetary damages for breach of his or her fiduciary duty as a director.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38" w:name="page39"/>
    <w:bookmarkEnd w:id="38"/>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or repeal of this Article VI shall be prospective only and shall not adversely affect any limitation, right or protection of a director of the Corporation existing under this Article VI immediately before the amendment or repeal.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xml:space="preserve"> . The Corporation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or has agreed to serve as a director or officer of the Corporation or is or was serving or has agreed to serve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The Corporation shall be required to indemnify or make advances to a Person in connection with a Proceeding (or part thereof) initiated by such Person only if the Proceeding (or part thereof) was authorized by the Board.</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xml:space="preserve"> . The Corporation shall, to the fullest extent not prohibited by law, pay the expenses (including attorneys’ fees) incurred by a Person identified in Section 7.1 in defending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the payment of expenses incurred by a Person identified in Section 7.1 in advance of the final disposition of the Proceeding shall be made only upon receipt of an undertaking by such Person to repay all amounts advanced if it should be ultimately determined that such Person is not entitled to be indemnified under this Article VII or otherwise.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 If a claim for indemnification or payment of expenses under this Article VII is not paid in full within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 The rights conferred on any Person by this Article VII shall not be exclusive of any other rights that such Person may have or hereafter acquire under any statute, provision of this Certificate, the Bylaws, agreement, vote of stockholders or resolution of disinterested directors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39" w:name="page40"/>
    <w:bookmarkEnd w:id="39"/>
    <w:p>
      <w:pPr>
        <w:ind w:right="3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7.5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xml:space="preserve"> .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entity.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Indemnification of Other Persons</w:t>
      </w:r>
      <w:r>
        <w:rPr>
          <w:rFonts w:ascii="Arial" w:cs="Arial" w:eastAsia="Arial" w:hAnsi="Arial"/>
          <w:sz w:val="16"/>
          <w:szCs w:val="16"/>
          <w:color w:val="auto"/>
        </w:rPr>
        <w:t xml:space="preserve"> . This Article VII shall not limit the right of the Corporation, to the extent and in the manner permitted by law, to indemnify and to advance expenses to Persons other than those Persons identified in Section 7.1 when and as authorized by a majority of the entire Board (without regard to vacancies) or by the action of a committee of the Board or designated officers of the Corporation established by or designated in resolutions approved by a majority of the entire Board (without regard to vacancies);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the payment of expenses incurred by such a Person in advance of the final disposition of the Proceeding shall be made only upon receipt of an undertaking by such Person to repay all amounts advanced if it should be ultimately determined that such Person is not entitled to be indemnified under this Article VII or otherwise.</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ACTION BY CONSENT</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Except as provided in any Preferred Stock Designation with respect to one or more series of Preferred Stock, after the Corporation first has a class of securities registered under Section 12(g) of the Securities Exchange Act of 1934, as amended, or its equivalent, any action required or permitted to be taken by the stockholders of the Corporation must be taken at a duly called annual or special meeting of the stockholders and may not be taken by consent in writing or otherwise.</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STOCKHOLDER MEETINGS</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Except as otherwise required by law or provided in the Bylaws, and subject to the rights of the holders of any class or series of shares issued by the Corporation having a preference over the Common Stock as to dividends or upon liquidation to elect directors in certain circumstances, special meetings of the stockholders of the Corporation may be called only by the Board pursuant to a resolution approved by the affirmative vote of a majority of the directors then in office.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40" w:name="page41"/>
    <w:bookmarkEnd w:id="40"/>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ELECTIONS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of directors need not be by written ballot unless so provided in the Bylaws.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BYLAWS</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Subject to Section 5.2 hereof and to the provisions of the Bylaws, the Board shall have the power to adopt, alter, amend or repeal the Bylaws by vote of not less than a majority of the directors then in office. The holders of shares of Common Stock shall also have the power to adopt, alter, amend or repeal the Bylaws, but only if such action receives the affirmative vote of the holders of at least 66-2/3 percent of the outstanding Common Stock.</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AMENDMENT OF CERTIFICATE</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Notwithstanding anything to the contrary in this Certificate and in addition to the vote required by the Board as set forth in Section 5.2 hereof, the affirmative vote of the holders of at least a majority of the outstanding Common Stock shall be required to amend this Certificate (in any such case including, without limitation, by merger, consolidation, binding share exchange or otherwise).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EXISTENCE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of the existence of the Corporation shall be perpetual.</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CORPORATE OPPORTUNITIES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Corporation renounces any interest or expectancy in, or in being offered the opportunity to participate in, business opportunities that are presented to the Corporation, the LLC or to one or more of the officers, directors or stockholders (both direct and indirect) of the Corporation and members of the LLC that relate to the provision of services to motion picture theaters, use of theaters for any purpose, sale of advertising and promotional services in and around theaters and any other business related to the motion picture theater business, except services as provided in any ESAs and except as may be offered to an officer of the Corporation in his capacity as an officer of the Corporation, even if the business opportunity is one that the Corporation might reasonably be deemed to have pursued or had the ability or desire to pursue if granted the opportunity to do so, and no such person shall be liable to the Corporation or any stockholder of the Corporation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the Corporation.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NON-ASSESSABLE</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capital stock of the Corporation shall not be assessable. It shall be issued as fully paid, and the private property of the stockholders shall not be liable for the debts, obligations or liabilities of this Corporation. This Certificate shall not be subject to amendment in this respect.</w:t>
      </w:r>
    </w:p>
    <w:p>
      <w:pPr>
        <w:spacing w:after="0" w:line="2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XVI</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SECTION 203</w:t>
      </w:r>
    </w:p>
    <w:p>
      <w:pPr>
        <w:spacing w:after="0" w:line="16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Corporation hereby elects not to be governed by Section 203 of the DGCL, and the restrictions contained in Section 203 shall not apply to the Corporation.</w:t>
      </w:r>
    </w:p>
    <w:p>
      <w:pPr>
        <w:spacing w:after="0" w:line="28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XVII</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Certificate the following terms shall have the meaning set forth below.</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“Affiliate” means with respect to any Person, any Person that directly or indirectly, through one or more intermediaries Controls, is Controlled by or is under common Control with such Person. Notwithstanding the foregoing, (i) no Founding Member shall be deemed an Affiliate of the Corporation, (ii) the Corporation shall not be deemed an Affiliate of any Founding Member, (iii) no stockholder of REG, or any of such stockholder’s Affiliates (other than REG and its Subsidiaries) shall be deemed an Affiliate of any Founding Member or the Corporation, (iv) no stockholder of Marquee Holdings, or any of such stockholder’s Affiliates (other than Marquee Holdings and its Subsidiaries) shall be deemed an Affiliate of any Founding Member or the Corporation, (v) no stockholder of Cinemark, or any of such stockholder’s Affiliates (other than Cinemark and its Subsidiaries) shall be deemed an Affiliate of any Founding Member or the Corporation, (vi) no stockholder of the Corporation shall be deemed an Affiliate of the Corporation, and (vii) the Corporation shall not be deemed an Affiliate of any stockholder of the Corporation.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“AMC” means American Multi-Cinema, Inc., a Missouri corporation, including any Affiliate or Permitted Transferee thereof, so long as any Permitted Transferee continues to qualify as a Permitted Transferee.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has the meaning set forth in Section 5.1(a).</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“Business Day” means a day other than a Saturday, Sunday, federal holiday or other day on which commercial banks in New York, New York are authorized or required by law to close.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“Bylaws” means the bylaws of the Corporation, as they may be amended, supplemented or otherwise modified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Settlement” has the meaning set forth in Section 4.3(b).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has the meaning set forth in the introductory paragraph.</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 of Control”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at least 50 percent of the general voting power of the entity surviving or resulting from such transaction (or its stockholders or the Ultimate Parent thereof) or (B) any Person or Group becomes the beneficial owner of more than 50 percent of the general voting power of the entity surviving or resulting from such transaction (or its stockholders or the Ultimate Parent thereof), (ii) any transaction or series of related transactions in which in excess of 50 percent of such Person’s general voting power is Transferred to any other Person or Group or (iii) the sale or Transfer by such Person of all or substantially all of its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“Cinemark” means Cinemark Holdings, Inc. or its successor or any Person that wholly-owns Cinemark Holdings, Inc., directly or indirectly, in the future.</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“Cinemark Media” mean Cinemark Media, Inc., a Delaware corporation, including any Affiliate or Permitted Transferee thereof, so long as any Permitted Transferee continues to qualify as a Permitted Transferee.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“Cinemark USA” means Cinemark USA, Inc., a Texas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has the meaning set forth in Section 4.1(a).</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“Control”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has the meaning set forth in Article 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“DGCL” has the meaning set forth in introductory paragraph B.</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“Director Designation Agreement” means the Director Designation Agreement by and among the Founding Members and the Corporation, as it may be amended, supplemented or otherwise modified from time to time.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“Equity Incentive Plan” means the National CineMedia Inc. 2007 Equity Incentive Plan, as it may be amended, supplemented, or otherwise modified from time to time.</w:t>
      </w:r>
    </w:p>
    <w:p>
      <w:pPr>
        <w:spacing w:after="0" w:line="132"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“ESA” means any of the Exhibitor Services Agreements entered into, by and between the LLC and each ESA Party, as each may be amended, supplemented or otherwise modified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“ESA Party” means (i) AMC in the case of AMC, (ii) Cinemark USA in the case of Cinemark Media, and (iii) Regal Cinemas in the case of Regal.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Date” has the meaning set forth in Section 4.3(a).</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“Exchange Price” means the arithmetic average of the volume weighted average prices for a share of the Common Stock on the principal United States securities exchange or automated or electronic quotation system on which the Common Stock trades, as reported by Bloomberg, L.P., or its successor, for each of the three consecutive full Trading Days ending on and including the last full Trading Day immediately prior to the Exchange Date, subject to appropriate and equitable adjustment for any stock splits, reverse splits, stock dividends or similar events affecting the Common Stock. If the Common Stock no longer trades on a securities exchange or automated or electronic quotation system, then a majority of the Independent Directors of the Corporation shall determine the Exchange Price in good faith.</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“Exchanged Units” has the meaning set forth in Section 4.3(a).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“Founding Members” means AMC, Cinemark Media and Regal.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 has the meaning set forth in Section 13(d)(3) and Rule 13d-5 of the Securities Exchange Act of 1934, as amended.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“Independent Director” means any director of the Corporation that if the Common Stock is traded on the NASDAQ Stock Market, satisfies the definition of an “independent director” set forth in the applicable rules in the Marketplace Rules of the NASDAQ Stock Market, Inc., as such rules may be amended from time to time, or, if the Common Stock is then traded on a different exchange, such term shall mean any director of the Corporation that satisfies the definition of independent director according to the rules of such exchange.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“LLC” means National CineMedia, LLC, a Delaware limited liability company, or its successor.</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“LLC Agreement” means the Third Amended and Restated Limited Liability Company Operating Agreement of National CineMedia, LLC as it may be amended, supplemented, or otherwise modified from time to time.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“Marquee Holdings” means Marquee Holdings Inc. or its successor or any Person that wholly-owns Marquee Holdings Inc., directly or indirectly, in the future.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 means each member of the LLC.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“Membership Interest” means a membership interest in LLC.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“Membership Unit” means an outstanding common membership unit of the LLC.</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“Permitted Transferee” means in the case of any Founding Member and any Permitted Transferee of any Founding Member (i) an Affiliate of such Founding Member or Permitted Transferee, or (ii) a non-Affiliate of such Founding Member or Permitted Transferee that is owned more than 50 percent directly or indirectly through one or more entities that are the same entities that own 50 percent or more of the general voting power of the Ultimate Parent of such Founding Member.</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“Person” means any individual, corporation, limited liability company, partnership, trust, joint stock company, business trust, unincorporated association, joint venture or other entity or organization of any nature whatsoever.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Stock” has the meaning set forth in Section 4.1(b).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Stock Designation” has the meaning set forth in Section 4.7.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“Proceeding” has the meaning set forth in Section 7.1.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Notice” has the meaning set forth in Section 4.3(a).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 means Regal Entertainment Group or its successor or any Person that wholly-owns Regal Entertainment Group, directly or indirectly, in the future.</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“Regal” mean Regal CineMedia Holdings, LLC, a Delaware limited liability company, including any Affiliate or Permitted Transferee thereof, so long as any Permitted Transferee continues to qualify as a Permitted Transferee.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“Regal Cinemas” means Regal Cinemas, Inc., a Tennessee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“Retraction Notice” has the meaning set forth in Section 4.3(b).</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45" w:name="page46"/>
    <w:bookmarkEnd w:id="45"/>
    <w:p>
      <w:pPr>
        <w:ind w:right="4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means, when used with respect to a specified Person, securities of such Person (which may include equity securities) that (contingently or otherwise) are exercisable, convertible or exchangeable for or into equity securities of such Person (with or without consideration) or that carry any right to subscribe for or acquire equity securities or securities exercisable, convertible or exchangeable for or into equity securities of such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“Settlement Notice” has the meaning set forth in Section 4.3(b).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Settlement” has the meaning set forth in Section 4.3(b).</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“Subsidiary”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at least a majority ownership interest entitled to vote in the election of directors, managers or trustees thereof (or other Persons performing such functions) or act as the general partner or managing member of such other Person.</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“Trading Day” means a day on which the principal United States securities exchange on which such security is listed or admitted to trading, or any automated or electronic quotation system if such security is only listed or admitted to trading on such automated or electronic quotation system, as applicable, is open for the transaction of business (unless such trading shall have been suspended for the entire day).</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“Transfer” (including the term “Transferred”) means, with respect to any Person, directly or indirectly, to sell, transfer, give, exchange, bequest, assign, pledge, encumber, hypothecate or otherwise dispose of, either voluntarily or involuntarily (including (i) except as provided in clause (a) below, the direct or indirect Change of Control of any Founding Member or Permitted Transferee (or any direct or indirect holder of equity in a Founding Member or Permitted Transferee), and (ii) upon the foreclosure under any pledge or hypothecation permitted by clause (b) below that results in a change of title), any capital stock or other equity interest of such Person or other assets beneficially owned by such Person. Notwithstanding the foregoing: (a) the Change of Control of an ESA Party or its stockholders shall not be deemed to be a Transfer hereunder, and (b) a bona fide pledge of Membership Interests or Common Stock by the Corporation or any Founding Member or their Affiliates shall not be deemed to be a Transfer hereunder.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“Ultimate Parent” means (i) Marquee Holdings in the case of AMC, (ii) Cinemark in the case of Cinemark Media, and (iii) REG in the case of Regal.</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“Unit Adjustment Agreement” means the Common Unit Adjustment Agreement as it may be amended, supplemented, or otherwise modified from time to time, by and among the Founding Members, Regal Cinemas, Inc., Cinemark USA, Inc., the Company and the LLC.</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280" w:right="359" w:bottom="1440" w:gutter="0" w:footer="0" w:header="0"/>
        </w:sectPr>
      </w:pPr>
    </w:p>
    <w:bookmarkStart w:id="47" w:name="page48"/>
    <w:bookmarkEnd w:id="47"/>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National CineMedia, Inc. has caused this Amended and Restated Certificate of Incorporation to be signed and attested as of the 7th day of February, 2007.</w:t>
      </w:r>
    </w:p>
    <w:p>
      <w:pPr>
        <w:spacing w:after="0" w:line="1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Ralph E. Hardy</w:t>
            </w:r>
          </w:p>
        </w:tc>
      </w:t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Ralph E. Hardy</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National CineMedia, Inc., a corporation organized and existing under and by virtue of the laws of the State of Delaware (the “Corporation”), having its registered office at the Corporation Trust Company, 1209 Orange Street, in the City of Wilmington, in the County of New Castle, hereby certifies to the Secretary of State of the State of Delaware that:</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FIRST: Section 4.1 of the Amended and Restated Certificate of Incorporation of the Corporation is hereby amended in its entirety to read as follows:</w:t>
      </w:r>
    </w:p>
    <w:p>
      <w:pPr>
        <w:spacing w:after="0" w:line="113"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Shares</w:t>
      </w:r>
      <w:r>
        <w:rPr>
          <w:rFonts w:ascii="Arial" w:cs="Arial" w:eastAsia="Arial" w:hAnsi="Arial"/>
          <w:sz w:val="18"/>
          <w:szCs w:val="18"/>
          <w:color w:val="auto"/>
        </w:rPr>
        <w:t>. The total number of shares of capital stock that the Corporation shall have authority to issue is 185,000,000, which shall be divided into the following classes:</w:t>
      </w:r>
    </w:p>
    <w:p>
      <w:pPr>
        <w:spacing w:after="0" w:line="51" w:lineRule="exact"/>
        <w:rPr>
          <w:sz w:val="20"/>
          <w:szCs w:val="20"/>
          <w:color w:val="auto"/>
        </w:rPr>
      </w:pPr>
    </w:p>
    <w:p>
      <w:pPr>
        <w:ind w:left="1480" w:hanging="56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175,000,000 shares shall be of a class designated Common Stock, par value $0.01 per share (“Common Stock”);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10,000,000 shares shall be of a class designated Preferred Stock, par value $0.01 per share (“Preferred Stock”).</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then outstanding and the number then reserved for issuance upon the exercise, conversion or exchange of Rights (including, without limitation, Membership Units)) by an amendment to this Certificate approved by the affirmative vote of the holders of a majority of the outstanding Common Stock (and any other class or series of stock entitled to vote with the Common Stock).”</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SECOND: The Board of Directors of the Corporation by unanimous written consent adopted a resolution which sets forth the foregoing amendment to the Amended and Restated Certificate of Incorporation, in accordance with Section 242 of the General Corporation Law of the State of Delaware, declaring that the amendment to the Amended and Restated Certificate of Incorporation as proposed was advisable and directing that it be considered at the next annual meeting of the stockholders of the Corporation.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THIRD: The amendment has been consented to and authorized and approved by a majority of the outstanding stock entitled to vote thereon, and a majority of the outstanding stock of each class entitled to vote thereon as a class, and has been duly adopted in accordance with Section 242 of the General Corporation Law of the State of Delaware.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This Certificate of Amendment of the Amended and Restated Certificate of Incorporation shall be effective on filing.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9" w:name="page50"/>
    <w:bookmarkEnd w:id="49"/>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National CineMedia, Inc. has caused this Certificate of Amendment to be signed on this 26th day of April 2011 in its name and on its behalf by Ralph E. Hardy, its Secretary, pursuant to Section 103 of the General Corporation Law of the State of Delaware.</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CINEMEDIA,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Ralph E. Hardy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Ralph E. Hardy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Secretary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31, 2011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6, 2011</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Chairman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31, 2011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6, 2011</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and Chief Financial Officer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2"/>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1."/>
      <w:numFmt w:val="decimal"/>
      <w:start w:val="4"/>
    </w:lvl>
  </w:abstractNum>
  <w:abstractNum w:abstractNumId="4">
    <w:nsid w:val="75A2A8D4"/>
    <w:multiLevelType w:val="hybridMultilevel"/>
    <w:lvl w:ilvl="0">
      <w:lvlJc w:val="left"/>
      <w:lvlText w:val="%1."/>
      <w:numFmt w:val="decimal"/>
      <w:start w:val="5"/>
    </w:lvl>
  </w:abstractNum>
  <w:abstractNum w:abstractNumId="5">
    <w:nsid w:val="8EDBDAB"/>
    <w:multiLevelType w:val="hybridMultilevel"/>
    <w:lvl w:ilvl="0">
      <w:lvlJc w:val="left"/>
      <w:lvlText w:val="%1."/>
      <w:numFmt w:val="decimal"/>
      <w:start w:val="6"/>
    </w:lvl>
  </w:abstractNum>
  <w:abstractNum w:abstractNumId="6">
    <w:nsid w:val="79838CB2"/>
    <w:multiLevelType w:val="hybridMultilevel"/>
    <w:lvl w:ilvl="0">
      <w:lvlJc w:val="left"/>
      <w:lvlText w:val="%1."/>
      <w:numFmt w:val="decimal"/>
      <w:start w:val="7"/>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8"/>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decimal"/>
      <w:start w:val="10"/>
    </w:lvl>
  </w:abstractNum>
  <w:abstractNum w:abstractNumId="11">
    <w:nsid w:val="71F32454"/>
    <w:multiLevelType w:val="hybridMultilevel"/>
    <w:lvl w:ilvl="0">
      <w:lvlJc w:val="left"/>
      <w:lvlText w:val="%1."/>
      <w:numFmt w:val="decimal"/>
      <w:start w:val="1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lvl w:ilvl="3">
      <w:lvlJc w:val="left"/>
      <w:lvlText w:val="%4"/>
      <w:numFmt w:val="lowerRoman"/>
      <w:start w:val="1"/>
    </w:lvl>
  </w:abstractNum>
  <w:abstractNum w:abstractNumId="22">
    <w:nsid w:val="4516DDE9"/>
    <w:multiLevelType w:val="hybridMultilevel"/>
    <w:lvl w:ilvl="0">
      <w:lvlJc w:val="left"/>
      <w:lvlText w:val="(%1)"/>
      <w:numFmt w:val="upperLetter"/>
      <w:start w:val="2"/>
    </w:lvl>
    <w:lvl w:ilvl="1">
      <w:lvlJc w:val="left"/>
      <w:lvlText w:val="(%2)"/>
      <w:numFmt w:val="lowerLetter"/>
      <w:start w:val="3"/>
    </w:lvl>
    <w:lvl w:ilvl="2">
      <w:lvlJc w:val="left"/>
      <w:lvlText w:val="(%3)"/>
      <w:numFmt w:val="decimal"/>
      <w:start w:val="2"/>
    </w:lvl>
    <w:lvl w:ilvl="3">
      <w:lvlJc w:val="left"/>
      <w:lvlText w:val="(%4)"/>
      <w:numFmt w:val="lowerRoman"/>
      <w:start w:val="1"/>
    </w:lvl>
  </w:abstractNum>
  <w:abstractNum w:abstractNumId="23">
    <w:nsid w:val="3006C83E"/>
    <w:multiLevelType w:val="hybridMultilevel"/>
    <w:lvl w:ilvl="0">
      <w:lvlJc w:val="left"/>
      <w:lvlText w:val="%1"/>
      <w:numFmt w:val="lowerLetter"/>
      <w:start w:val="1"/>
    </w:lvl>
    <w:lvl w:ilvl="1">
      <w:lvlJc w:val="left"/>
      <w:lvlText w:val="(%2)"/>
      <w:numFmt w:val="lowerLetter"/>
      <w:start w:val="6"/>
    </w:lvl>
  </w:abstractNum>
  <w:abstractNum w:abstractNumId="24">
    <w:nsid w:val="614FD4A1"/>
    <w:multiLevelType w:val="hybridMultilevel"/>
    <w:lvl w:ilvl="0">
      <w:lvlJc w:val="left"/>
      <w:lvlText w:val="(%1)"/>
      <w:numFmt w:val="lowerLetter"/>
      <w:start w:val="7"/>
    </w:lvl>
    <w:lvl w:ilvl="1">
      <w:lvlJc w:val="left"/>
      <w:lvlText w:val="%2"/>
      <w:numFmt w:val="lowerLetter"/>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6"/>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3"/>
    </w:lvl>
    <w:lvl w:ilvl="1">
      <w:lvlJc w:val="left"/>
      <w:lvlText w:val="(%2)"/>
      <w:numFmt w:val="lowerLetter"/>
      <w:start w:val="1"/>
    </w:lvl>
  </w:abstractNum>
  <w:abstractNum w:abstractNumId="31">
    <w:nsid w:val="7724C67E"/>
    <w:multiLevelType w:val="hybridMultilevel"/>
    <w:lvl w:ilvl="0">
      <w:lvlJc w:val="left"/>
      <w:lvlText w:val="(%1)"/>
      <w:numFmt w:val="lowerLetter"/>
      <w:start w:val="6"/>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2019-12-11T03:22:09Z</dcterms:created>
  <dcterms:modified xsi:type="dcterms:W3CDTF">2019-12-11T03:22:09Z</dcterms:modified>
</cp:coreProperties>
</file>