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211455</wp:posOffset>
            </wp:positionV>
            <wp:extent cx="4098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220345</wp:posOffset>
            </wp:positionV>
            <wp:extent cx="4098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27, 2018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3" w:lineRule="exact"/>
        <w:rPr>
          <w:sz w:val="24"/>
          <w:szCs w:val="24"/>
          <w:color w:val="auto"/>
        </w:rPr>
      </w:pPr>
    </w:p>
    <w:p>
      <w:pPr>
        <w:ind w:left="4360"/>
        <w:spacing w:after="0"/>
        <w:tabs>
          <w:tab w:leader="none" w:pos="66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9" w:lineRule="exact"/>
        <w:rPr>
          <w:sz w:val="24"/>
          <w:szCs w:val="24"/>
          <w:color w:val="auto"/>
        </w:rPr>
      </w:pPr>
    </w:p>
    <w:p>
      <w:pPr>
        <w:ind w:left="4400"/>
        <w:spacing w:after="0"/>
        <w:rPr>
          <w:sz w:val="20"/>
          <w:szCs w:val="20"/>
          <w:color w:val="auto"/>
        </w:rPr>
      </w:pPr>
      <w:r>
        <w:rPr>
          <w:rFonts w:ascii="Arial" w:cs="Arial" w:eastAsia="Arial" w:hAnsi="Arial"/>
          <w:sz w:val="16"/>
          <w:szCs w:val="16"/>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9892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466725</wp:posOffset>
            </wp:positionV>
            <wp:extent cx="140652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652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NATIONAL CINEMEDIA, LLC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93"/>
              </w:rPr>
              <w:t>Delaware</w:t>
            </w:r>
          </w:p>
        </w:tc>
        <w:tc>
          <w:tcPr>
            <w:tcW w:w="3560" w:type="dxa"/>
            <w:vAlign w:val="bottom"/>
          </w:tcPr>
          <w:p>
            <w:pPr>
              <w:jc w:val="right"/>
              <w:ind w:right="488"/>
              <w:spacing w:after="0"/>
              <w:rPr>
                <w:sz w:val="20"/>
                <w:szCs w:val="20"/>
                <w:color w:val="auto"/>
              </w:rPr>
            </w:pPr>
            <w:r>
              <w:rPr>
                <w:rFonts w:ascii="Arial" w:cs="Arial" w:eastAsia="Arial" w:hAnsi="Arial"/>
                <w:sz w:val="16"/>
                <w:szCs w:val="16"/>
                <w:b w:val="1"/>
                <w:bCs w:val="1"/>
                <w:color w:val="auto"/>
              </w:rPr>
              <w:t>20-2632505</w:t>
            </w:r>
          </w:p>
        </w:tc>
      </w:tr>
      <w:tr>
        <w:trPr>
          <w:trHeight w:val="206"/>
        </w:trPr>
        <w:tc>
          <w:tcPr>
            <w:tcW w:w="5000" w:type="dxa"/>
            <w:vAlign w:val="bottom"/>
          </w:tcPr>
          <w:p>
            <w:pPr>
              <w:jc w:val="center"/>
              <w:ind w:right="1586"/>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3560" w:type="dxa"/>
            <w:vAlign w:val="bottom"/>
          </w:tcPr>
          <w:p>
            <w:pPr>
              <w:jc w:val="center"/>
              <w:ind w:left="1568"/>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67"/>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89"/>
              </w:rPr>
              <w:t>6300 S. Syracuse Way, Suite 300</w:t>
            </w:r>
          </w:p>
        </w:tc>
        <w:tc>
          <w:tcPr>
            <w:tcW w:w="3560" w:type="dxa"/>
            <w:vAlign w:val="bottom"/>
          </w:tcPr>
          <w:p>
            <w:pPr>
              <w:spacing w:after="0"/>
              <w:rPr>
                <w:sz w:val="24"/>
                <w:szCs w:val="24"/>
                <w:color w:val="auto"/>
              </w:rPr>
            </w:pPr>
          </w:p>
        </w:tc>
      </w:tr>
      <w:tr>
        <w:trPr>
          <w:trHeight w:val="210"/>
        </w:trPr>
        <w:tc>
          <w:tcPr>
            <w:tcW w:w="5000" w:type="dxa"/>
            <w:vAlign w:val="bottom"/>
          </w:tcPr>
          <w:p>
            <w:pPr>
              <w:jc w:val="center"/>
              <w:ind w:right="1586"/>
              <w:spacing w:after="0"/>
              <w:rPr>
                <w:sz w:val="20"/>
                <w:szCs w:val="20"/>
                <w:color w:val="auto"/>
              </w:rPr>
            </w:pPr>
            <w:r>
              <w:rPr>
                <w:rFonts w:ascii="Arial" w:cs="Arial" w:eastAsia="Arial" w:hAnsi="Arial"/>
                <w:sz w:val="16"/>
                <w:szCs w:val="16"/>
                <w:b w:val="1"/>
                <w:bCs w:val="1"/>
                <w:color w:val="auto"/>
                <w:w w:val="93"/>
              </w:rPr>
              <w:t>Centennial, Colorado</w:t>
            </w:r>
          </w:p>
        </w:tc>
        <w:tc>
          <w:tcPr>
            <w:tcW w:w="3560" w:type="dxa"/>
            <w:vAlign w:val="bottom"/>
          </w:tcPr>
          <w:p>
            <w:pPr>
              <w:jc w:val="right"/>
              <w:ind w:right="688"/>
              <w:spacing w:after="0"/>
              <w:rPr>
                <w:sz w:val="20"/>
                <w:szCs w:val="20"/>
                <w:color w:val="auto"/>
              </w:rPr>
            </w:pPr>
            <w:r>
              <w:rPr>
                <w:rFonts w:ascii="Arial" w:cs="Arial" w:eastAsia="Arial" w:hAnsi="Arial"/>
                <w:sz w:val="16"/>
                <w:szCs w:val="16"/>
                <w:b w:val="1"/>
                <w:bCs w:val="1"/>
                <w:color w:val="auto"/>
              </w:rPr>
              <w:t>80111</w:t>
            </w:r>
          </w:p>
        </w:tc>
      </w:tr>
      <w:tr>
        <w:trPr>
          <w:trHeight w:val="206"/>
        </w:trPr>
        <w:tc>
          <w:tcPr>
            <w:tcW w:w="5000" w:type="dxa"/>
            <w:vAlign w:val="bottom"/>
          </w:tcPr>
          <w:p>
            <w:pPr>
              <w:jc w:val="center"/>
              <w:ind w:right="1586"/>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3560" w:type="dxa"/>
            <w:vAlign w:val="bottom"/>
          </w:tcPr>
          <w:p>
            <w:pPr>
              <w:jc w:val="center"/>
              <w:ind w:left="1588"/>
              <w:spacing w:after="0"/>
              <w:rPr>
                <w:sz w:val="20"/>
                <w:szCs w:val="20"/>
                <w:color w:val="auto"/>
              </w:rPr>
            </w:pPr>
            <w:r>
              <w:rPr>
                <w:rFonts w:ascii="Arial" w:cs="Arial" w:eastAsia="Arial" w:hAnsi="Arial"/>
                <w:sz w:val="13"/>
                <w:szCs w:val="13"/>
                <w:b w:val="1"/>
                <w:bCs w:val="1"/>
                <w:color w:val="auto"/>
                <w:w w:val="90"/>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1583055</wp:posOffset>
            </wp:positionH>
            <wp:positionV relativeFrom="paragraph">
              <wp:posOffset>209550</wp:posOffset>
            </wp:positionV>
            <wp:extent cx="409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right="16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4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8"/>
          <w:szCs w:val="18"/>
          <w:color w:val="auto"/>
        </w:rPr>
        <w:t>x</w:t>
      </w:r>
      <w:r>
        <w:rPr>
          <w:rFonts w:ascii="Arial" w:cs="Arial" w:eastAsia="Arial" w:hAnsi="Arial"/>
          <w:sz w:val="16"/>
          <w:szCs w:val="16"/>
          <w:color w:val="auto"/>
        </w:rPr>
        <w:t>*</w:t>
      </w:r>
    </w:p>
    <w:p>
      <w:pPr>
        <w:spacing w:after="0" w:line="113" w:lineRule="exact"/>
        <w:rPr>
          <w:sz w:val="24"/>
          <w:szCs w:val="24"/>
          <w:color w:val="auto"/>
        </w:rPr>
      </w:pPr>
    </w:p>
    <w:p>
      <w:pPr>
        <w:ind w:firstLine="8"/>
        <w:spacing w:after="0" w:line="310" w:lineRule="auto"/>
        <w:tabs>
          <w:tab w:leader="none" w:pos="122"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is a voluntary filer and not subject to the filing requirements of Section 13 or 15(d) of the Securities Exchange Act of 1934. Although not subject to these filing requirements, the registrant has filed all reports that would have been required during the preceding 12 months had it been subject to such filing requirements.</w:t>
      </w:r>
    </w:p>
    <w:p>
      <w:pPr>
        <w:jc w:val="both"/>
        <w:ind w:right="20"/>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8"/>
          <w:szCs w:val="18"/>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40" w:type="dxa"/>
            <w:vAlign w:val="bottom"/>
          </w:tcPr>
          <w:p>
            <w:pPr>
              <w:jc w:val="center"/>
              <w:ind w:right="3676"/>
              <w:spacing w:after="0" w:line="161" w:lineRule="exact"/>
              <w:rPr>
                <w:sz w:val="20"/>
                <w:szCs w:val="20"/>
                <w:color w:val="auto"/>
              </w:rPr>
            </w:pPr>
            <w:r>
              <w:rPr>
                <w:rFonts w:ascii="MS PGothic" w:cs="MS PGothic" w:eastAsia="MS PGothic" w:hAnsi="MS PGothic"/>
                <w:sz w:val="16"/>
                <w:szCs w:val="16"/>
                <w:color w:val="auto"/>
                <w:w w:val="99"/>
              </w:rPr>
              <w:t>☐</w:t>
            </w:r>
          </w:p>
        </w:tc>
        <w:tc>
          <w:tcPr>
            <w:tcW w:w="340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40"/>
        </w:trPr>
        <w:tc>
          <w:tcPr>
            <w:tcW w:w="2020" w:type="dxa"/>
            <w:vAlign w:val="bottom"/>
          </w:tcPr>
          <w:p>
            <w:pPr>
              <w:spacing w:after="0"/>
              <w:rPr>
                <w:sz w:val="20"/>
                <w:szCs w:val="20"/>
                <w:color w:val="auto"/>
              </w:rPr>
            </w:pPr>
          </w:p>
        </w:tc>
        <w:tc>
          <w:tcPr>
            <w:tcW w:w="5040" w:type="dxa"/>
            <w:vAlign w:val="bottom"/>
          </w:tcPr>
          <w:p>
            <w:pPr>
              <w:jc w:val="center"/>
              <w:ind w:right="3676"/>
              <w:spacing w:after="0"/>
              <w:rPr>
                <w:sz w:val="20"/>
                <w:szCs w:val="20"/>
                <w:color w:val="auto"/>
              </w:rPr>
            </w:pPr>
            <w:r>
              <w:rPr>
                <w:rFonts w:ascii="Arial" w:cs="Arial" w:eastAsia="Arial" w:hAnsi="Arial"/>
                <w:sz w:val="18"/>
                <w:szCs w:val="18"/>
                <w:color w:val="auto"/>
                <w:w w:val="88"/>
              </w:rPr>
              <w:t>x</w:t>
            </w:r>
          </w:p>
        </w:tc>
        <w:tc>
          <w:tcPr>
            <w:tcW w:w="3400" w:type="dxa"/>
            <w:vAlign w:val="bottom"/>
          </w:tcPr>
          <w:p>
            <w:pPr>
              <w:spacing w:after="0"/>
              <w:rPr>
                <w:sz w:val="20"/>
                <w:szCs w:val="20"/>
                <w:color w:val="auto"/>
              </w:rPr>
            </w:pP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040" w:type="dxa"/>
            <w:vAlign w:val="bottom"/>
          </w:tcPr>
          <w:p>
            <w:pPr>
              <w:ind w:left="960"/>
              <w:spacing w:after="0"/>
              <w:rPr>
                <w:sz w:val="20"/>
                <w:szCs w:val="20"/>
                <w:color w:val="auto"/>
              </w:rPr>
            </w:pPr>
            <w:r>
              <w:rPr>
                <w:rFonts w:ascii="Arial" w:cs="Arial" w:eastAsia="Arial" w:hAnsi="Arial"/>
                <w:sz w:val="16"/>
                <w:szCs w:val="16"/>
                <w:color w:val="auto"/>
              </w:rPr>
              <w:t>(Do not check if a smaller reporting company)</w:t>
            </w:r>
          </w:p>
        </w:tc>
        <w:tc>
          <w:tcPr>
            <w:tcW w:w="340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945" w:right="259" w:bottom="1440" w:gutter="0" w:footer="0" w:header="0"/>
        </w:sectPr>
      </w:pPr>
    </w:p>
    <w:bookmarkStart w:id="1" w:name="page2"/>
    <w:bookmarkEnd w:id="1"/>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02, 2018, the registrant had 157,593,316 common membership units outstanding. The common membership units are not publicly traded.</w:t>
      </w:r>
    </w:p>
    <w:p>
      <w:pPr>
        <w:sectPr>
          <w:pgSz w:w="11900" w:h="16838" w:orient="portrait"/>
          <w:cols w:equalWidth="0" w:num="1">
            <w:col w:w="11340"/>
          </w:cols>
          <w:pgMar w:left="240" w:top="859"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Page</w:t>
            </w: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0000EE"/>
            </w:tcBorders>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460" w:type="dxa"/>
            <w:vAlign w:val="bottom"/>
            <w:gridSpan w:val="3"/>
          </w:tcPr>
          <w:p>
            <w:pPr>
              <w:spacing w:after="0"/>
              <w:rPr>
                <w:sz w:val="19"/>
                <w:szCs w:val="19"/>
                <w:color w:val="auto"/>
              </w:rPr>
            </w:pPr>
          </w:p>
        </w:tc>
        <w:tc>
          <w:tcPr>
            <w:tcW w:w="3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4960" w:type="dxa"/>
            <w:vAlign w:val="bottom"/>
            <w:gridSpan w:val="13"/>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Balance Sheets</w:t>
              </w:r>
            </w:hyperlink>
          </w:p>
        </w:tc>
        <w:tc>
          <w:tcPr>
            <w:tcW w:w="3860" w:type="dxa"/>
            <w:vAlign w:val="bottom"/>
            <w:gridSpan w:val="3"/>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Statements of Income and Comprehensive Income</w:t>
              </w:r>
            </w:hyperlink>
          </w:p>
        </w:tc>
        <w:tc>
          <w:tcPr>
            <w:tcW w:w="3860" w:type="dxa"/>
            <w:vAlign w:val="bottom"/>
            <w:gridSpan w:val="3"/>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6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Statements of Cash Flows</w:t>
              </w:r>
            </w:hyperlink>
          </w:p>
        </w:tc>
        <w:tc>
          <w:tcPr>
            <w:tcW w:w="740" w:type="dxa"/>
            <w:vAlign w:val="bottom"/>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3860" w:type="dxa"/>
            <w:vAlign w:val="bottom"/>
            <w:gridSpan w:val="3"/>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860" w:type="dxa"/>
            <w:vAlign w:val="bottom"/>
            <w:gridSpan w:val="3"/>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19</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2160" w:type="dxa"/>
            <w:vAlign w:val="bottom"/>
            <w:gridSpan w:val="7"/>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426"/>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6"/>
          </w:tcPr>
          <w:p>
            <w:pPr>
              <w:jc w:val="center"/>
              <w:ind w:right="1400"/>
              <w:spacing w:after="0"/>
              <w:rPr>
                <w:rFonts w:ascii="Arial" w:cs="Arial" w:eastAsia="Arial" w:hAnsi="Arial"/>
                <w:sz w:val="18"/>
                <w:szCs w:val="18"/>
                <w:b w:val="1"/>
                <w:bCs w:val="1"/>
                <w:color w:val="0000EE"/>
                <w:w w:val="99"/>
              </w:rPr>
            </w:pPr>
            <w:hyperlink w:anchor="page37">
              <w:r>
                <w:rPr>
                  <w:rFonts w:ascii="Arial" w:cs="Arial" w:eastAsia="Arial" w:hAnsi="Arial"/>
                  <w:sz w:val="18"/>
                  <w:szCs w:val="18"/>
                  <w:b w:val="1"/>
                  <w:bCs w:val="1"/>
                  <w:color w:val="0000EE"/>
                  <w:w w:val="99"/>
                </w:rPr>
                <w:t>PART II</w:t>
              </w:r>
            </w:hyperlink>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6"/>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380" w:type="dxa"/>
            <w:vAlign w:val="bottom"/>
            <w:gridSpan w:val="1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1440" w:type="dxa"/>
            <w:vAlign w:val="bottom"/>
            <w:gridSpan w:val="2"/>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1"/>
                <w:szCs w:val="21"/>
                <w:color w:val="auto"/>
              </w:rPr>
            </w:pPr>
          </w:p>
        </w:tc>
        <w:tc>
          <w:tcPr>
            <w:tcW w:w="5140" w:type="dxa"/>
            <w:vAlign w:val="bottom"/>
            <w:gridSpan w:val="14"/>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5"/>
          </w:tcPr>
          <w:p>
            <w:pPr>
              <w:spacing w:after="0"/>
              <w:rPr>
                <w:sz w:val="21"/>
                <w:szCs w:val="21"/>
                <w:color w:val="auto"/>
              </w:rPr>
            </w:pPr>
          </w:p>
        </w:tc>
        <w:tc>
          <w:tcPr>
            <w:tcW w:w="2120" w:type="dxa"/>
            <w:vAlign w:val="bottom"/>
            <w:gridSpan w:val="6"/>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646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4700" w:type="dxa"/>
            <w:vAlign w:val="bottom"/>
            <w:gridSpan w:val="12"/>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5160" w:type="dxa"/>
            <w:vAlign w:val="bottom"/>
            <w:gridSpan w:val="15"/>
          </w:tcPr>
          <w:p>
            <w:pPr>
              <w:spacing w:after="0"/>
              <w:rPr>
                <w:sz w:val="21"/>
                <w:szCs w:val="21"/>
                <w:color w:val="auto"/>
              </w:rPr>
            </w:pPr>
          </w:p>
        </w:tc>
        <w:tc>
          <w:tcPr>
            <w:tcW w:w="3860" w:type="dxa"/>
            <w:vAlign w:val="bottom"/>
            <w:gridSpan w:val="3"/>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35</w:t>
              </w:r>
            </w:hyperlink>
          </w:p>
        </w:tc>
      </w:tr>
      <w:tr>
        <w:trPr>
          <w:trHeight w:val="426"/>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28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60" w:type="dxa"/>
            <w:vAlign w:val="bottom"/>
            <w:gridSpan w:val="3"/>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36</w:t>
              </w:r>
            </w:hyperlink>
          </w:p>
        </w:tc>
      </w:tr>
    </w:tbl>
    <w:p>
      <w:pPr>
        <w:sectPr>
          <w:pgSz w:w="11900" w:h="16838" w:orient="portrait"/>
          <w:cols w:equalWidth="0" w:num="1">
            <w:col w:w="11360"/>
          </w:cols>
          <w:pgMar w:left="280" w:top="796"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NATIONAL CINEMEDIA, LLC</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September 27, 2018</w:t>
            </w:r>
          </w:p>
        </w:tc>
        <w:tc>
          <w:tcPr>
            <w:tcW w:w="120" w:type="dxa"/>
            <w:vAlign w:val="bottom"/>
          </w:tcPr>
          <w:p>
            <w:pPr>
              <w:spacing w:after="0"/>
              <w:rPr>
                <w:sz w:val="18"/>
                <w:szCs w:val="18"/>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December 28, 2017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Receivables, net of allowance of $5.8 and $6.0, respectively</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Prepaid administrative fees to managing member</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due from founding members, net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rPr>
              <w:t>Current portion of notes receivable - founding members (including receivables from related</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00"/>
              <w:spacing w:after="0"/>
              <w:rPr>
                <w:sz w:val="20"/>
                <w:szCs w:val="20"/>
                <w:color w:val="auto"/>
              </w:rPr>
            </w:pPr>
            <w:r>
              <w:rPr>
                <w:rFonts w:ascii="Arial" w:cs="Arial" w:eastAsia="Arial" w:hAnsi="Arial"/>
                <w:sz w:val="16"/>
                <w:szCs w:val="16"/>
                <w:color w:val="auto"/>
              </w:rPr>
              <w:t>parties of $2.8 and $4.2, respectively)</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rPr>
              <w:t>Property and equipment, net of accumulated depreciation of $68.7 and $70.4,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0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Intangible assets, net of accumulated amortization of $165.8 and $145.4,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respectively</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699.5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717.2</w:t>
            </w:r>
          </w:p>
        </w:tc>
        <w:tc>
          <w:tcPr>
            <w:tcW w:w="0" w:type="dxa"/>
            <w:vAlign w:val="bottom"/>
          </w:tcPr>
          <w:p>
            <w:pPr>
              <w:spacing w:after="0"/>
              <w:rPr>
                <w:sz w:val="1"/>
                <w:szCs w:val="1"/>
                <w:color w:val="auto"/>
              </w:rPr>
            </w:pPr>
          </w:p>
        </w:tc>
      </w:tr>
      <w:tr>
        <w:trPr>
          <w:trHeight w:val="220"/>
        </w:trPr>
        <w:tc>
          <w:tcPr>
            <w:tcW w:w="8120" w:type="dxa"/>
            <w:vAlign w:val="bottom"/>
          </w:tcPr>
          <w:p>
            <w:pPr>
              <w:ind w:left="280"/>
              <w:spacing w:after="0"/>
              <w:rPr>
                <w:sz w:val="20"/>
                <w:szCs w:val="20"/>
                <w:color w:val="auto"/>
              </w:rPr>
            </w:pPr>
            <w:r>
              <w:rPr>
                <w:rFonts w:ascii="Arial" w:cs="Arial" w:eastAsia="Arial" w:hAnsi="Arial"/>
                <w:sz w:val="16"/>
                <w:szCs w:val="16"/>
                <w:color w:val="auto"/>
              </w:rPr>
              <w:t>Long-term notes receivable, net of current portion - founding members (including receivables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400"/>
              <w:spacing w:after="0"/>
              <w:rPr>
                <w:sz w:val="20"/>
                <w:szCs w:val="20"/>
                <w:color w:val="auto"/>
              </w:rPr>
            </w:pPr>
            <w:r>
              <w:rPr>
                <w:rFonts w:ascii="Arial" w:cs="Arial" w:eastAsia="Arial" w:hAnsi="Arial"/>
                <w:sz w:val="16"/>
                <w:szCs w:val="16"/>
                <w:color w:val="auto"/>
              </w:rPr>
              <w:t>from related parties of $2.7 and $4.1, respectively)</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Debt issuance costs, net</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non-current assets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745.8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758.3</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MEMBERS’ EQUITY/(DEFICIT)</w:t>
            </w: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Amounts due to founding members, net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Amounts due to managing member, net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payroll and related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Short-term debt</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0" w:type="dxa"/>
            <w:vAlign w:val="bottom"/>
          </w:tcPr>
          <w:p>
            <w:pPr>
              <w:spacing w:after="0"/>
              <w:rPr>
                <w:sz w:val="1"/>
                <w:szCs w:val="1"/>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net of debt issuance costs of $8.2 and $8.7,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923.3</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925.4</w:t>
            </w:r>
          </w:p>
        </w:tc>
        <w:tc>
          <w:tcPr>
            <w:tcW w:w="0" w:type="dxa"/>
            <w:vAlign w:val="bottom"/>
          </w:tcPr>
          <w:p>
            <w:pPr>
              <w:spacing w:after="0"/>
              <w:rPr>
                <w:sz w:val="1"/>
                <w:szCs w:val="1"/>
                <w:color w:val="auto"/>
              </w:rPr>
            </w:pP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1,011.8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1,048.7</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MEMBERS’ EQUITY/(DEFICIT)</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9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2017</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27, 2018</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28, 2017</w:t>
            </w: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(including revenue from related parties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$5.8, $6.7, $21.8 and $22.7, respectively)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Theater access fees—founding members (including fees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related parties of $13.4, $18.1, $55.5 and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$57.4,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54.2</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Administrative and other costs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Administrative fee—managing member</w:t>
            </w:r>
          </w:p>
        </w:tc>
        <w:tc>
          <w:tcPr>
            <w:tcW w:w="1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r>
      <w:tr>
        <w:trPr>
          <w:trHeight w:val="237"/>
        </w:trPr>
        <w:tc>
          <w:tcPr>
            <w:tcW w:w="5160" w:type="dxa"/>
            <w:vAlign w:val="bottom"/>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201.7</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NON-OPERATING EXPENSES: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non-operating (income) expense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160" w:type="dxa"/>
            <w:vAlign w:val="bottom"/>
          </w:tcPr>
          <w:p>
            <w:pPr>
              <w:ind w:left="6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44.8</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2018</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28,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share-based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Impairment on investment</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Write-off of debt issuance costs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due to/from founding members and managing member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a business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intangible assets from network affiliates</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notes receivable - founding members (including payments from related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parties of $0.0 and $1.4,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37"/>
        </w:trPr>
        <w:tc>
          <w:tcPr>
            <w:tcW w:w="83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60.0</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of Notes due 2026</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term loan facility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 of term loan facility</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rPr>
              <w:t>Founding member integration and other encumbered theater payments (including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payments from related parties of $12.1 and $6.1, respectively)</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founding members and managing member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Unit settlement for share-based compensation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CHANGE IN CASH, CASH EQUIVALENTS AND RESTRICTED CASH:</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480"/>
        <w:spacing w:after="0"/>
        <w:tabs>
          <w:tab w:leader="none" w:pos="10060" w:val="left"/>
        </w:tabs>
        <w:rPr>
          <w:sz w:val="20"/>
          <w:szCs w:val="20"/>
          <w:color w:val="auto"/>
        </w:rPr>
      </w:pPr>
      <w:r>
        <w:rPr>
          <w:rFonts w:ascii="Arial" w:cs="Arial" w:eastAsia="Arial" w:hAnsi="Arial"/>
          <w:sz w:val="14"/>
          <w:szCs w:val="14"/>
          <w:b w:val="1"/>
          <w:bCs w:val="1"/>
          <w:color w:val="auto"/>
        </w:rPr>
        <w:t>September 27, 2018</w:t>
      </w:r>
      <w:r>
        <w:rPr>
          <w:sz w:val="20"/>
          <w:szCs w:val="20"/>
          <w:color w:val="auto"/>
        </w:rPr>
        <w:tab/>
      </w:r>
      <w:r>
        <w:rPr>
          <w:rFonts w:ascii="Arial" w:cs="Arial" w:eastAsia="Arial" w:hAnsi="Arial"/>
          <w:sz w:val="12"/>
          <w:szCs w:val="12"/>
          <w:b w:val="1"/>
          <w:bCs w:val="1"/>
          <w:color w:val="auto"/>
        </w:rPr>
        <w:t>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disclosure of non-cash financing and investing activity: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ind w:left="280"/>
              <w:spacing w:after="0"/>
              <w:rPr>
                <w:sz w:val="20"/>
                <w:szCs w:val="20"/>
                <w:color w:val="auto"/>
              </w:rPr>
            </w:pPr>
            <w:r>
              <w:rPr>
                <w:rFonts w:ascii="Arial" w:cs="Arial" w:eastAsia="Arial" w:hAnsi="Arial"/>
                <w:sz w:val="18"/>
                <w:szCs w:val="18"/>
                <w:color w:val="auto"/>
              </w:rPr>
              <w:t>Purchase of an intangible asset with NCM LLC equity</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7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distributions to founding members and managing member</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7460" w:type="dxa"/>
            <w:vAlign w:val="bottom"/>
          </w:tcPr>
          <w:p>
            <w:pPr>
              <w:ind w:left="280"/>
              <w:spacing w:after="0"/>
              <w:rPr>
                <w:sz w:val="20"/>
                <w:szCs w:val="20"/>
                <w:color w:val="auto"/>
              </w:rPr>
            </w:pPr>
            <w:r>
              <w:rPr>
                <w:rFonts w:ascii="Arial" w:cs="Arial" w:eastAsia="Arial" w:hAnsi="Arial"/>
                <w:sz w:val="18"/>
                <w:szCs w:val="18"/>
                <w:color w:val="auto"/>
              </w:rPr>
              <w:t>Accrued purchases of property and equipment</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7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integration and other encumbered theater payments due</w:t>
            </w:r>
          </w:p>
        </w:tc>
        <w:tc>
          <w:tcPr>
            <w:tcW w:w="1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founding members (including accrued payments due from related parties of $0.3</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7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$0.0, respectively)</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for interest</w:t>
            </w:r>
          </w:p>
        </w:tc>
        <w:tc>
          <w:tcPr>
            <w:tcW w:w="14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7460" w:type="dxa"/>
            <w:vAlign w:val="bottom"/>
          </w:tcPr>
          <w:p>
            <w:pPr>
              <w:ind w:left="280"/>
              <w:spacing w:after="0"/>
              <w:rPr>
                <w:sz w:val="20"/>
                <w:szCs w:val="20"/>
                <w:color w:val="auto"/>
              </w:rPr>
            </w:pPr>
            <w:r>
              <w:rPr>
                <w:rFonts w:ascii="Arial" w:cs="Arial" w:eastAsia="Arial" w:hAnsi="Arial"/>
                <w:sz w:val="18"/>
                <w:szCs w:val="18"/>
                <w:color w:val="auto"/>
              </w:rPr>
              <w:t>Cash paid for income taxes, net of refunds</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National CineMedia, LLC (“NCM LLC”, “the Company” or “we”) commenced operations on April 1, 2005 and is owned by National CineMedia, Inc. (“NCM, Inc.”, “manager” or “managing member”), Regal Cinemas, Inc. and Regal CineMedia Holdings, LLC, wholly owned subsidiaries of Cineworld Group plc and Regal Entertainment Group (“Regal”) and Cinemark Media, Inc. and Cinemark USA, Inc., wholly owned subsidiaries of Cinemark Holdings, Inc. (“Cinemark”). On July 5, 2018, American Multi-Cinema, Inc. and AMC ShowPlace Theatres, Inc., wholly owned subsidiaries of AMC Entertainment, Inc. ("AMC"), closed on the sale of 100.0% of its remaining NCM LLC membership units to Regal and Cinemark. AMC, Regal, Cinemark and their affiliates are referred to in this document as “founding members”.</w:t>
      </w:r>
    </w:p>
    <w:p>
      <w:pPr>
        <w:spacing w:after="0" w:line="85"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NCM LLC operates the largest cinema advertising network reaching movie audiences in North America, allowing NCM LLC to sell advertising under long-term exhibitor services agreements (“ESAs”) with the founding members (approximately 18 years remaining as of September 27, 2018) and certain third-party theater circuits, referred to in this document as “network affiliates” under long-term network affiliate agreements, which have terms from one to twenty years.</w:t>
      </w:r>
    </w:p>
    <w:p>
      <w:pPr>
        <w:spacing w:after="0" w:line="79" w:lineRule="exact"/>
        <w:rPr>
          <w:sz w:val="20"/>
          <w:szCs w:val="20"/>
          <w:color w:val="auto"/>
        </w:rPr>
      </w:pPr>
    </w:p>
    <w:p>
      <w:pPr>
        <w:ind w:right="100" w:firstLine="540"/>
        <w:spacing w:after="0" w:line="264" w:lineRule="auto"/>
        <w:rPr>
          <w:sz w:val="20"/>
          <w:szCs w:val="20"/>
          <w:color w:val="auto"/>
        </w:rPr>
      </w:pPr>
      <w:r>
        <w:rPr>
          <w:rFonts w:ascii="Arial" w:cs="Arial" w:eastAsia="Arial" w:hAnsi="Arial"/>
          <w:sz w:val="18"/>
          <w:szCs w:val="18"/>
          <w:color w:val="auto"/>
        </w:rPr>
        <w:t>As of September 27, 2018, NCM LLC had 157,593,316 common membership units outstanding, of which 76,932,494 (48.8%) were owned by NCM, Inc., 41,142,178 (26.1%) were owned by Regal, 39,518,644 (25.1%) were owned by Cinemark and 0 (0.0%) were owned by AMC. The membership units held by the founding members are exchangeable into NCM, Inc. common stock on a one-for-one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28, 2017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28, 2017.</w:t>
      </w:r>
    </w:p>
    <w:p>
      <w:pPr>
        <w:spacing w:after="0" w:line="70" w:lineRule="exact"/>
        <w:rPr>
          <w:sz w:val="20"/>
          <w:szCs w:val="20"/>
          <w:color w:val="auto"/>
        </w:rPr>
      </w:pPr>
    </w:p>
    <w:p>
      <w:pPr>
        <w:ind w:right="100" w:firstLine="540"/>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4—</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right="20" w:firstLine="540"/>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80" w:firstLine="540"/>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28, 2017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advertising business, which includes on-screen and lobby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 advertising and lobby promotions and advertising on websites and mobile applications owned by the Company and other companies. Revenue is recognized over time as the customer receives the benefits provided by the Company’s advertising services and the Company has the right to payment for performance to date. The Company considers the terms of each arrangement to determine the appropriate accounting treatment as more fully discussed in Note 2—</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80" w:firstLine="540"/>
        <w:spacing w:after="0" w:line="253"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 national and regional advertising is reduced by transacting with founding members or large, national advertising agencies that have strong reputations in the advertising industry and clients with stable financial positions. The Company has smaller contracts with thousands of local clients that are not individually significant. As of September 27, 2018 and December 28, 2017, there were no advertising agency groups or individual customers through which the Company sources national advertising revenue representing more than 10% of the Company’s outstanding gross receivable balance. During the three and nine months ended September 27, 2018 and September 28, 2017, the Company had no customers that accounted for more than 10% of revenue.</w:t>
      </w:r>
    </w:p>
    <w:p>
      <w:pPr>
        <w:spacing w:after="0" w:line="89"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management services agreement between NCM LLC and NCM, Inc. provides that NCM LLC may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2017 and 2018, the restricted stock grants for Company management vest upon the achievement of NCM, Inc. performance measures and/or service conditions, while non-management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and nine months ended September 27, 2018 and September 28, 2017, NCM, Inc. acquired 16,962, 15,692, 690,272 and 755,886 units, respectively, due to the vesting of restricted stock and restricted stock units and exercise of stock options and contributed $0.0 million, $0.0 million, $0.0 million and $0.6 million to NCM LLC for stock option exercises for the three and nine months ended September 27, 2018 and September 28, 2017,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40"/>
        <w:spacing w:after="0" w:line="287"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2014-9,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2014-9”) using the modified retrospective transition method. The Company identified the same performance obligations under ASU 2014-9 as compared with deliverables and separate units of account previously identified. ASU 2014-9 impacted the accounting for barter transactions where the Company exchanges advertising time for products and services used principally for selling and marketing activities. The Company historically recognized revenue for these transactions at the estimated fair value of the advertising exchanged based on the fair value received for similar advertising from cash paying customers. In accordance with the new guidance, the Company will recognize revenue for these transactions based upon the fair value of the products and services received, rather than the value of the advertising provided. The modified retrospective transition method allows entities to apply the new revenue standard prospectively and record a cumulative-effect adjustment to the opening balance of retained earnings in the period the new revenue standard is first applied. Upon the adoption of ASU 2014-9 on December 29, 2017, the Company recorded a $0.2 million cumulative-effect adjustment related to the change in accounting for barter transactions on contracts that are not completed as of December 29, 2017 in the unaudited Balance Sheet. The Company’s adoption of ASU 2014-9 did not have a material impact on the unaudited Condensed Financial Statements. The Company has incorporated additional disclosures in Note 2—</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the unaudited Condensed Financial Statements to comply with ASU 2014-9.</w:t>
      </w:r>
    </w:p>
    <w:p>
      <w:pPr>
        <w:spacing w:after="0" w:line="61" w:lineRule="exact"/>
        <w:rPr>
          <w:sz w:val="20"/>
          <w:szCs w:val="20"/>
          <w:color w:val="auto"/>
        </w:rPr>
      </w:pPr>
    </w:p>
    <w:p>
      <w:pPr>
        <w:ind w:right="80" w:firstLine="540"/>
        <w:spacing w:after="0" w:line="291"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2016-1, </w:t>
      </w:r>
      <w:r>
        <w:rPr>
          <w:rFonts w:ascii="Arial" w:cs="Arial" w:eastAsia="Arial" w:hAnsi="Arial"/>
          <w:sz w:val="16"/>
          <w:szCs w:val="16"/>
          <w:i w:val="1"/>
          <w:iCs w:val="1"/>
          <w:color w:val="auto"/>
        </w:rPr>
        <w:t>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2016-1”), which requires equity investments that are not accounted for under the equity method of accounting to be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with changes recognized in earnings (rather than reported through other comprehensive income) and updates certain presentation and disclosure requirements. In February 2018, the FASB issued Accounting Standards Update 2018-3, </w:t>
      </w:r>
      <w:r>
        <w:rPr>
          <w:rFonts w:ascii="Arial" w:cs="Arial" w:eastAsia="Arial" w:hAnsi="Arial"/>
          <w:sz w:val="16"/>
          <w:szCs w:val="16"/>
          <w:i w:val="1"/>
          <w:iCs w:val="1"/>
          <w:color w:val="auto"/>
        </w:rPr>
        <w:t>Technical Corrections and Improvements to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Overall (Subtopic 825-10): Recognition and Measurement of Financial Assets and Financial Liabilities </w:t>
      </w:r>
      <w:r>
        <w:rPr>
          <w:rFonts w:ascii="Arial" w:cs="Arial" w:eastAsia="Arial" w:hAnsi="Arial"/>
          <w:sz w:val="16"/>
          <w:szCs w:val="16"/>
          <w:color w:val="auto"/>
        </w:rPr>
        <w:t>(“ASU 2018-3”). These amendments clarify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on certain topics referred to in ASU 2016-1. The Company has incorporated changes to the methodology utilized to value the Company’s investments and changes to disclosures in its notes to the unaudited Condensed Financial Statements to comply with ASU 2016-1.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40" w:firstLine="540"/>
        <w:spacing w:after="0" w:line="277"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2016-15, </w:t>
      </w:r>
      <w:r>
        <w:rPr>
          <w:rFonts w:ascii="Arial" w:cs="Arial" w:eastAsia="Arial" w:hAnsi="Arial"/>
          <w:sz w:val="18"/>
          <w:szCs w:val="18"/>
          <w:i w:val="1"/>
          <w:iCs w:val="1"/>
          <w:color w:val="auto"/>
        </w:rPr>
        <w:t>Statement of Cash Flows (Topic 230):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(“ASU 2016-15”) on a retrospective basis.</w:t>
      </w:r>
    </w:p>
    <w:p>
      <w:pPr>
        <w:spacing w:after="0" w:line="62" w:lineRule="exact"/>
        <w:rPr>
          <w:sz w:val="20"/>
          <w:szCs w:val="20"/>
          <w:color w:val="auto"/>
        </w:rPr>
      </w:pPr>
    </w:p>
    <w:p>
      <w:pPr>
        <w:ind w:right="180" w:firstLine="540"/>
        <w:spacing w:after="0" w:line="277" w:lineRule="auto"/>
        <w:rPr>
          <w:sz w:val="20"/>
          <w:szCs w:val="20"/>
          <w:color w:val="auto"/>
        </w:rPr>
      </w:pPr>
      <w:r>
        <w:rPr>
          <w:rFonts w:ascii="Arial" w:cs="Arial" w:eastAsia="Arial" w:hAnsi="Arial"/>
          <w:sz w:val="18"/>
          <w:szCs w:val="18"/>
          <w:color w:val="auto"/>
        </w:rPr>
        <w:t>ASU 2016-15 provides guidance on certain cash receipts and cash payments presented and classified in the statement of cash flows. The adoption of ASU 2016-15 did not have a material impact on the unaudited Condensed Financial Statements or notes thereto.</w:t>
      </w:r>
    </w:p>
    <w:p>
      <w:pPr>
        <w:spacing w:after="0" w:line="62" w:lineRule="exact"/>
        <w:rPr>
          <w:sz w:val="20"/>
          <w:szCs w:val="20"/>
          <w:color w:val="auto"/>
        </w:rPr>
      </w:pPr>
    </w:p>
    <w:p>
      <w:pPr>
        <w:ind w:firstLine="540"/>
        <w:spacing w:after="0" w:line="276" w:lineRule="auto"/>
        <w:rPr>
          <w:sz w:val="20"/>
          <w:szCs w:val="20"/>
          <w:color w:val="auto"/>
        </w:rPr>
      </w:pPr>
      <w:r>
        <w:rPr>
          <w:rFonts w:ascii="Arial" w:cs="Arial" w:eastAsia="Arial" w:hAnsi="Arial"/>
          <w:sz w:val="17"/>
          <w:szCs w:val="17"/>
          <w:color w:val="auto"/>
        </w:rPr>
        <w:t xml:space="preserve">During the first quarter of 2018, the Company adopted Accounting Standards Update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on a retrospective basis. ASU 2016-18 requires that the reconciliation of the beginning-of-period and end-of-period amounts shown in the statement of cash flows include restricted cash and restricted cash equivalents. The Company has adjusted the Condensed Statement of Cash Flow for the nine months ended September 28, 2017 to include the restricted cash balance within the aforementioned captions. The adoption of ASU 2016-18 had no other impact on the unaudited Condensed Financial Statements or notes thereto.</w:t>
      </w:r>
    </w:p>
    <w:p>
      <w:pPr>
        <w:spacing w:after="0" w:line="64"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In July 2018, the FASB issued Accounting Standards Update 2018-9, Codification Improvements ("ASU 2018-9”), which makes minor amendments to the codification in order to clarify, correct errors in, eliminate inconsistencies and provide clarifications in current guidance. The ASU amends Subtopic 470-50, Debt-Modifications and Extinguishments and is effective immediately. The adoption of ASU 2018-9 did not have a material impact on the unaudited Condensed Financial Statements or notes thereto.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40"/>
        <w:spacing w:after="0" w:line="286" w:lineRule="auto"/>
        <w:rPr>
          <w:sz w:val="20"/>
          <w:szCs w:val="20"/>
          <w:color w:val="auto"/>
        </w:rPr>
      </w:pPr>
      <w:r>
        <w:rPr>
          <w:rFonts w:ascii="Arial" w:cs="Arial" w:eastAsia="Arial" w:hAnsi="Arial"/>
          <w:sz w:val="16"/>
          <w:szCs w:val="16"/>
          <w:color w:val="auto"/>
        </w:rPr>
        <w:t xml:space="preserve">In February 2016, the FASB issued Accounting Standards Update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2016-2”). ASU 2016-2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Under the original standard, a modified retrospective transition approach was required for lessees for capital and operating leases existing at, or entered into after, the beginning of the earliest comparative period presented in the financial statements, with certain practical expedients available. In July 2018, the FASB issued Accounting Standards Update 2018-11 which allows companies to elect the “Comparatives Under 840” option where only the current period financial statements and related disclosures are presented in accordance with the new standard. The Company is still evaluating which transition approach to apply upon adoption. The Company expects to utilize the following practical expedients: (i) not being required to separate lease and nonlease components when accounting for the lease; and (ii) not accounting for short-term leases under the new standard. The Company is still evaluating whether the adoption of ASU 2016-2 will have a material impact on the unaudited Condensed Financial Statements. The Company will adopt the standard and its provisions effective December 28, 2018 and will incorporate additional disclosures in its notes to its unaudited Condensed Financial Statements to comply with ASU 2016-2 effective in the first quarter of 2019. The Company has designed and will implement changes to certain processes and internal controls upon the adoption of ASU 2016-2.</w:t>
      </w:r>
    </w:p>
    <w:p>
      <w:pPr>
        <w:spacing w:after="0" w:line="229" w:lineRule="exact"/>
        <w:rPr>
          <w:sz w:val="20"/>
          <w:szCs w:val="20"/>
          <w:color w:val="auto"/>
        </w:rPr>
      </w:pPr>
    </w:p>
    <w:p>
      <w:pPr>
        <w:ind w:right="160" w:firstLine="540"/>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81" w:lineRule="exact"/>
        <w:rPr>
          <w:sz w:val="20"/>
          <w:szCs w:val="20"/>
          <w:color w:val="auto"/>
        </w:rPr>
      </w:pPr>
    </w:p>
    <w:p>
      <w:pPr>
        <w:ind w:right="160" w:firstLine="540"/>
        <w:spacing w:after="0" w:line="302" w:lineRule="auto"/>
        <w:rPr>
          <w:sz w:val="20"/>
          <w:szCs w:val="20"/>
          <w:color w:val="auto"/>
        </w:rPr>
      </w:pPr>
      <w:r>
        <w:rPr>
          <w:rFonts w:ascii="Arial" w:cs="Arial" w:eastAsia="Arial" w:hAnsi="Arial"/>
          <w:sz w:val="16"/>
          <w:szCs w:val="16"/>
          <w:color w:val="auto"/>
        </w:rPr>
        <w:t xml:space="preserve">In March 2018, the FASB issued Accounting Standards Update 2018-4, </w:t>
      </w:r>
      <w:r>
        <w:rPr>
          <w:rFonts w:ascii="Arial" w:cs="Arial" w:eastAsia="Arial" w:hAnsi="Arial"/>
          <w:sz w:val="16"/>
          <w:szCs w:val="16"/>
          <w:i w:val="1"/>
          <w:iCs w:val="1"/>
          <w:color w:val="auto"/>
        </w:rPr>
        <w:t>Investments – Debt Securities (Topic 320) and Regulated Operations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980): Amendments to SEC Paragraphs Pursuant to SEC Staff Accounting Bulletin No. 117 and SEC Release No. 33-9273 </w:t>
      </w:r>
      <w:r>
        <w:rPr>
          <w:rFonts w:ascii="Arial" w:cs="Arial" w:eastAsia="Arial" w:hAnsi="Arial"/>
          <w:sz w:val="16"/>
          <w:szCs w:val="16"/>
          <w:color w:val="auto"/>
        </w:rPr>
        <w:t>(“ASU 2018-4”),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and supersedes various paragraphs that contain SEC guidance in ASC 320, Investments-Debt Securities and ASC 980, Regulated Operations. The Company is currently evaluating the impact that adopting this guidance will have on the unaudited Condensed Financial Statements or notes thereto.</w:t>
      </w:r>
    </w:p>
    <w:p>
      <w:pPr>
        <w:spacing w:after="0" w:line="46" w:lineRule="exact"/>
        <w:rPr>
          <w:sz w:val="20"/>
          <w:szCs w:val="20"/>
          <w:color w:val="auto"/>
        </w:rPr>
      </w:pPr>
    </w:p>
    <w:p>
      <w:pPr>
        <w:ind w:right="120" w:firstLine="540"/>
        <w:spacing w:after="0" w:line="279" w:lineRule="auto"/>
        <w:rPr>
          <w:sz w:val="20"/>
          <w:szCs w:val="20"/>
          <w:color w:val="auto"/>
        </w:rPr>
      </w:pPr>
      <w:r>
        <w:rPr>
          <w:rFonts w:ascii="Arial" w:cs="Arial" w:eastAsia="Arial" w:hAnsi="Arial"/>
          <w:sz w:val="17"/>
          <w:szCs w:val="17"/>
          <w:color w:val="auto"/>
        </w:rPr>
        <w:t xml:space="preserve">In June 2018, the FASB issued Accounting Standards Update 2018-7,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Nonemployee Share-Based Payment Accounting </w:t>
      </w:r>
      <w:r>
        <w:rPr>
          <w:rFonts w:ascii="Arial" w:cs="Arial" w:eastAsia="Arial" w:hAnsi="Arial"/>
          <w:sz w:val="17"/>
          <w:szCs w:val="17"/>
          <w:color w:val="auto"/>
        </w:rPr>
        <w:t>(“ASU 2018-7”), which amends Topic 718 to include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ASU 2018-7 is effective for fiscal years beginning December 15, 2018, with early adoption permitted. The Company is currently evaluating the impact that adopting this guidance will have on the unaudited Condensed Financial Statements or notes thereto.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160" w:firstLine="540"/>
        <w:spacing w:after="0" w:line="329" w:lineRule="auto"/>
        <w:rPr>
          <w:sz w:val="20"/>
          <w:szCs w:val="20"/>
          <w:color w:val="auto"/>
        </w:rPr>
      </w:pPr>
      <w:r>
        <w:rPr>
          <w:rFonts w:ascii="Arial" w:cs="Arial" w:eastAsia="Arial" w:hAnsi="Arial"/>
          <w:sz w:val="17"/>
          <w:szCs w:val="17"/>
          <w:color w:val="auto"/>
        </w:rPr>
        <w:t xml:space="preserve">In August 2018, the FASB issued Accounting Standards Update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 - Changes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Disclosure Requirements for Fair Value Measurement </w:t>
      </w:r>
      <w:r>
        <w:rPr>
          <w:rFonts w:ascii="Arial" w:cs="Arial" w:eastAsia="Arial" w:hAnsi="Arial"/>
          <w:sz w:val="17"/>
          <w:szCs w:val="17"/>
          <w:color w:val="auto"/>
        </w:rPr>
        <w:t>(“ASU 2018-13”), which modifies the disclosure requirements on fair value measurements. ASU</w:t>
      </w:r>
      <w:r>
        <w:rPr>
          <w:rFonts w:ascii="Arial" w:cs="Arial" w:eastAsia="Arial" w:hAnsi="Arial"/>
          <w:sz w:val="17"/>
          <w:szCs w:val="17"/>
          <w:i w:val="1"/>
          <w:iCs w:val="1"/>
          <w:color w:val="auto"/>
        </w:rPr>
        <w:t xml:space="preserve"> </w:t>
      </w:r>
      <w:r>
        <w:rPr>
          <w:rFonts w:ascii="Arial" w:cs="Arial" w:eastAsia="Arial" w:hAnsi="Arial"/>
          <w:sz w:val="17"/>
          <w:szCs w:val="17"/>
          <w:color w:val="auto"/>
        </w:rPr>
        <w:t>2018-13 is effective for fiscal years beginning after December 15, 2019, including interim periods within those fiscal years, with partial early adoption permitted for eliminated disclosures. The method of adoption varies by the disclosure. The Company is currently evaluating the impact that adopting this guidance will have on the unaudited Condensed Financial Statements or notes thereto.</w:t>
      </w:r>
    </w:p>
    <w:p>
      <w:pPr>
        <w:spacing w:after="0" w:line="92" w:lineRule="exact"/>
        <w:rPr>
          <w:sz w:val="20"/>
          <w:szCs w:val="20"/>
          <w:color w:val="auto"/>
        </w:rPr>
      </w:pPr>
    </w:p>
    <w:p>
      <w:pPr>
        <w:ind w:right="100" w:firstLine="554"/>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("ASU 2018-15"), which clarifies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 cloud computing arrangements. ASU 2018-15 is effective for fiscal years beginning after December 15, 2019, including interim periods within those fiscal years, with early adoption permitted. The Company is currently evaluating the impact that adopting this guidance will have on the unaudited Condensed Financial Statements or notes thereto.</w:t>
      </w:r>
    </w:p>
    <w:p>
      <w:pPr>
        <w:spacing w:after="0" w:line="134" w:lineRule="exact"/>
        <w:rPr>
          <w:sz w:val="20"/>
          <w:szCs w:val="20"/>
          <w:color w:val="auto"/>
        </w:rPr>
      </w:pPr>
    </w:p>
    <w:p>
      <w:pPr>
        <w:ind w:right="180" w:firstLine="554"/>
        <w:spacing w:after="0" w:line="255" w:lineRule="auto"/>
        <w:rPr>
          <w:sz w:val="20"/>
          <w:szCs w:val="20"/>
          <w:color w:val="auto"/>
        </w:rPr>
      </w:pPr>
      <w:r>
        <w:rPr>
          <w:rFonts w:ascii="Arial" w:cs="Arial" w:eastAsia="Arial" w:hAnsi="Arial"/>
          <w:sz w:val="18"/>
          <w:szCs w:val="18"/>
          <w:color w:val="auto"/>
        </w:rPr>
        <w:t>In August 2018, the SEC issued a final rule amending certain disclosure requirements deemed by the commission to be redundant, duplicative, overlapping, outdated or superseded. The rule also added requirements to disclose the changes in the caption of stockholders’ equity for the current and comparative year-to-date periods, with subtotals for each interim period. The Company believes that adopting the guidance will result in the addition of an unaudited Condensed Statement of Equity for each quarterly filing as a quarter to date equity rollforward is now required for the current and comparable period. The amended disclosure requirements are effective the first quarter beginning after the effective date of the rule. The Company will adopt the rule in the first quarter of 2019.</w:t>
      </w:r>
    </w:p>
    <w:p>
      <w:pPr>
        <w:spacing w:after="0" w:line="166"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the Company’s cinema advertising and entertainment pre-show. The Company also sells advertising through the Lobby Entertainment Network (“LEN”), a series of strategically-placed screens located in movie theater lobbies, as well as other forms of advertising and promotions in theater lobbies. In addition, the Company sells online and mobile advertising through the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digital product. The Company also has a long-term agreement to exhibit the advertising of the founding members’ beverage suppliers.</w:t>
      </w:r>
    </w:p>
    <w:p>
      <w:pPr>
        <w:spacing w:after="0" w:line="8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National advertising, including advertising under the beverage concessionaire and public service announcements ("PSA") agreements, is sold on a cost per thousand (“CPM”) basis. The Company recognizes national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they make commitments to buy a portion of the Company’s advertising inventory at a specified CPM. The Company recognizes revenue for the content segments ratably over time as the content segments air. Local and regional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6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Customer contracts often include multiple advertising services to reach the movie 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4"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Revenues for advertising barter transactions are recognized when advertising is provided, and products and services received are charged to expense when used.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in the Condensed Balance Sheets. As of September 27, 2018 and December 28, 2017, the Company had a make-good provision of $3.2 million and $5.5 million, respectively.</w:t>
      </w:r>
    </w:p>
    <w:p>
      <w:pPr>
        <w:spacing w:after="0" w:line="71" w:lineRule="exact"/>
        <w:rPr>
          <w:sz w:val="20"/>
          <w:szCs w:val="20"/>
          <w:color w:val="auto"/>
        </w:rPr>
      </w:pPr>
    </w:p>
    <w:p>
      <w:pPr>
        <w:ind w:right="120" w:firstLine="540"/>
        <w:spacing w:after="0" w:line="257"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0" w:lineRule="exact"/>
        <w:rPr>
          <w:sz w:val="20"/>
          <w:szCs w:val="20"/>
          <w:color w:val="auto"/>
        </w:rPr>
      </w:pPr>
    </w:p>
    <w:p>
      <w:pPr>
        <w:ind w:right="220" w:firstLine="540"/>
        <w:spacing w:after="0" w:line="288" w:lineRule="auto"/>
        <w:rPr>
          <w:sz w:val="20"/>
          <w:szCs w:val="20"/>
          <w:color w:val="auto"/>
        </w:rPr>
      </w:pPr>
      <w:r>
        <w:rPr>
          <w:rFonts w:ascii="Arial" w:cs="Arial" w:eastAsia="Arial" w:hAnsi="Arial"/>
          <w:sz w:val="16"/>
          <w:szCs w:val="16"/>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 of September 27, 2018, was $52.6 million, $9.7 million of which is expected to be recognized in 2018 and $42.9 million is expected to be recognized in</w:t>
      </w:r>
    </w:p>
    <w:p>
      <w:pPr>
        <w:ind w:right="320"/>
        <w:spacing w:after="0" w:line="255" w:lineRule="auto"/>
        <w:rPr>
          <w:sz w:val="20"/>
          <w:szCs w:val="20"/>
          <w:color w:val="auto"/>
        </w:rPr>
      </w:pPr>
      <w:r>
        <w:rPr>
          <w:rFonts w:ascii="Arial" w:cs="Arial" w:eastAsia="Arial" w:hAnsi="Arial"/>
          <w:sz w:val="18"/>
          <w:szCs w:val="18"/>
          <w:color w:val="auto"/>
        </w:rPr>
        <w:t>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420" w:firstLine="540"/>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revenue from contracts with customers for the three and nine months ended September 27, 2018 and September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6"/>
              </w:rPr>
              <w:t>September 27, 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28, 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September 27, 2018</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September 28, 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9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194.9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44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67.8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285.4</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6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80" w:type="dxa"/>
            <w:vAlign w:val="bottom"/>
            <w:gridSpan w:val="7"/>
          </w:tcPr>
          <w:p>
            <w:pPr>
              <w:ind w:left="540"/>
              <w:spacing w:after="0"/>
              <w:rPr>
                <w:sz w:val="20"/>
                <w:szCs w:val="20"/>
                <w:color w:val="auto"/>
              </w:rPr>
            </w:pPr>
            <w:r>
              <w:rPr>
                <w:rFonts w:ascii="Arial" w:cs="Arial" w:eastAsia="Arial" w:hAnsi="Arial"/>
                <w:sz w:val="18"/>
                <w:szCs w:val="18"/>
                <w:color w:val="auto"/>
                <w:w w:val="91"/>
              </w:rPr>
              <w:t>The changes in deferred revenue for the nine months ended September 27, 2018 were as follows (in millions):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27, 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Performance obligations satisfied</w:t>
            </w: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ind w:left="30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contract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540"/>
        <w:spacing w:after="0" w:line="277" w:lineRule="auto"/>
        <w:rPr>
          <w:sz w:val="20"/>
          <w:szCs w:val="20"/>
          <w:color w:val="auto"/>
        </w:rPr>
      </w:pPr>
      <w:r>
        <w:rPr>
          <w:rFonts w:ascii="Arial" w:cs="Arial" w:eastAsia="Arial" w:hAnsi="Arial"/>
          <w:sz w:val="18"/>
          <w:szCs w:val="18"/>
          <w:color w:val="auto"/>
        </w:rPr>
        <w:t>Unbilled accounts receivable is classified as a current asset as it is expected to be billed within the next twelve months. As of September 27, 2018 and December 28, 2017, the Company had $6.4 million and $10.6 million in unbilled accounts receivable,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7" w:lineRule="exact"/>
        <w:rPr>
          <w:sz w:val="20"/>
          <w:szCs w:val="20"/>
          <w:color w:val="auto"/>
        </w:rPr>
      </w:pPr>
    </w:p>
    <w:p>
      <w:pPr>
        <w:ind w:right="480" w:firstLine="540"/>
        <w:spacing w:after="0" w:line="277"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sales and marketing expenses in the Condensed Statement of Income.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 does not disclose the value of unsatisfied performance obligations for contracts with an original expected length of one year or 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103" w:lineRule="exact"/>
        <w:rPr>
          <w:sz w:val="20"/>
          <w:szCs w:val="20"/>
          <w:color w:val="auto"/>
        </w:rPr>
      </w:pPr>
    </w:p>
    <w:p>
      <w:pPr>
        <w:ind w:right="180" w:firstLine="540"/>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160" w:firstLine="540"/>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 In accordance with the Common Unit Adjustment Agreement with the founding members, on an annual basis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firstLine="540"/>
        <w:spacing w:after="0" w:line="259" w:lineRule="auto"/>
        <w:rPr>
          <w:sz w:val="20"/>
          <w:szCs w:val="20"/>
          <w:color w:val="auto"/>
        </w:rPr>
      </w:pPr>
      <w:r>
        <w:rPr>
          <w:rFonts w:ascii="Arial" w:cs="Arial" w:eastAsia="Arial" w:hAnsi="Arial"/>
          <w:sz w:val="18"/>
          <w:szCs w:val="18"/>
          <w:color w:val="auto"/>
        </w:rPr>
        <w:t>During the first quarter of 2018, the Company issued 2,821,710 (3,736,860 issued, net of 915,150 returned) common membership units to the founding members for the rights to exclusive access to the theater screens and attendees added, net of dispositions by the founding members to the Company’s network during the 2017 fiscal year and NCM LLC recorded a net intangible asset of $15.9 million during the first quarter of 2018 as a result of the Common Unit Adjustment.</w:t>
      </w:r>
    </w:p>
    <w:p>
      <w:pPr>
        <w:spacing w:after="0" w:line="79" w:lineRule="exact"/>
        <w:rPr>
          <w:sz w:val="20"/>
          <w:szCs w:val="20"/>
          <w:color w:val="auto"/>
        </w:rPr>
      </w:pPr>
    </w:p>
    <w:p>
      <w:pPr>
        <w:ind w:right="20" w:firstLine="540"/>
        <w:spacing w:after="0" w:line="268" w:lineRule="auto"/>
        <w:rPr>
          <w:sz w:val="20"/>
          <w:szCs w:val="20"/>
          <w:color w:val="auto"/>
        </w:rPr>
      </w:pPr>
      <w:r>
        <w:rPr>
          <w:rFonts w:ascii="Arial" w:cs="Arial" w:eastAsia="Arial" w:hAnsi="Arial"/>
          <w:sz w:val="17"/>
          <w:szCs w:val="17"/>
          <w:color w:val="auto"/>
        </w:rPr>
        <w:t>During the first quarter of 2017, the Company issued 2,351,029 common membership units to the founding members for the rights to exclusive access to the theater screens and attendees added, net of dispositions by the founding members to the Company’s network during the 2016 fiscal year. Also during the first quarter of 2017, NCM, Inc. and NCM LLC entered into a binding Memorandum of Understanding (“MOU”) with AMC to effectuate aspects of a final judgment (the “Final Judgment”) entered into by the Department of Justice (the “DOJ”) in connection with AMC’s acquisition of Carmike Cinemas, Inc. (“Carmike”). Pursuant to the MOU, the Company issued 18,425,423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common membership units in respect of such theaters. The 4,657,673 common membership units were comprised of (i) 2,850,453 common membership units pursuant to the adjustment for divested theaters in the Common Unit Adjustment Agreement and (ii) an additional 1,807,220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the Company and Cinemark entered into a waiver of certain rights under its ESA. The Company recorded a net intangible asset of $201.8 million during the first quarter of 2017 related to these transactions.</w:t>
      </w:r>
    </w:p>
    <w:p>
      <w:pPr>
        <w:spacing w:after="0" w:line="77" w:lineRule="exact"/>
        <w:rPr>
          <w:sz w:val="20"/>
          <w:szCs w:val="20"/>
          <w:color w:val="auto"/>
        </w:rPr>
      </w:pPr>
    </w:p>
    <w:p>
      <w:pPr>
        <w:ind w:right="20" w:firstLine="540"/>
        <w:spacing w:after="0" w:line="287"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the Company to payments related to the founding members’ on-screen advertising commitments under their beverage concessionaire agreements for encumbered theaters. These payments are also accounted for as a reduction to the intangible asset. During the three months ended September 27, 2018 and September 28, 2017 and the nine months ended September 27, 2018 and September 28, 2017, the Company recorded a reduction to net intangible assets of $5.5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million, $6.9 million, $13.3 million and $11.6 million respectively, related to integration and other encumbered theater payments. These payments received from AMC related to their acquisitions of theaters from Carmike and Rave Cinemas and from Cinemark related primarily to their acquisition of theaters from Rave Cinemas. During the three months ended September 27, 2018 and September 28, 2017 and the nine months ended September 27, 2018 and September 28, 2017, AMC and Cinemark paid a total of $5.6 million, $4.6 million, $17.2 million and $6.1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b w:val="1"/>
          <w:bCs w:val="1"/>
          <w:i w:val="1"/>
          <w:iCs w:val="1"/>
          <w:color w:val="auto"/>
        </w:rPr>
        <w:t>Founding Member and Managing Member Transactions</w:t>
      </w:r>
      <w:r>
        <w:rPr>
          <w:rFonts w:ascii="Arial" w:cs="Arial" w:eastAsia="Arial" w:hAnsi="Arial"/>
          <w:sz w:val="18"/>
          <w:szCs w:val="18"/>
          <w:i w:val="1"/>
          <w:iCs w:val="1"/>
          <w:color w:val="auto"/>
        </w:rPr>
        <w:t>—</w:t>
      </w:r>
      <w:r>
        <w:rPr>
          <w:rFonts w:ascii="Arial" w:cs="Arial" w:eastAsia="Arial" w:hAnsi="Arial"/>
          <w:sz w:val="18"/>
          <w:szCs w:val="18"/>
          <w:color w:val="auto"/>
        </w:rPr>
        <w:t>In connection with NCM, Inc.’s initial public offering (“IPO”), the Company entered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several agreements to define and regulate the relationships among NCM LLC, NCM, Inc. and the founding members which are outlined below. Following the sale of 100.0% of AMC's remaining NCM LLC membership units to Regal and Cinemark, AMC remains a party to the ESA, Common Unit Adjustment Agreement, and certain other original agreements, and AMC will continue to participate in the annual Common Unit Adjustment, receive theater access fees, and pay beverage revenue, among other things. AMC is not currently a member under the terms of the NCM LLC Operating Agreement and will not receive available cash distributions or allocation of earnings and losses in NCM LLC, unless it receives NCM LLC membership units pursuant to a Common Unit Adjustment. Further, the sale does not impact future integration payments and other encumbered theater payments owed to NCM LLC by AMC. AMC is considered a related party through the divestiture date (July 5, 2018) and related party transactions with AMC through this period are included within the disclosures below.</w:t>
      </w:r>
    </w:p>
    <w:p>
      <w:pPr>
        <w:spacing w:after="0" w:line="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agreements with the founding members are as follows:</w:t>
      </w:r>
    </w:p>
    <w:p>
      <w:pPr>
        <w:spacing w:after="0" w:line="113" w:lineRule="exact"/>
        <w:rPr>
          <w:sz w:val="20"/>
          <w:szCs w:val="20"/>
          <w:color w:val="auto"/>
        </w:rPr>
      </w:pPr>
    </w:p>
    <w:p>
      <w:pPr>
        <w:ind w:left="620" w:hanging="315"/>
        <w:spacing w:after="0" w:line="285"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ESAs</w:t>
      </w:r>
      <w:r>
        <w:rPr>
          <w:rFonts w:ascii="Arial" w:cs="Arial" w:eastAsia="Arial" w:hAnsi="Arial"/>
          <w:sz w:val="16"/>
          <w:szCs w:val="16"/>
          <w:color w:val="auto"/>
        </w:rPr>
        <w:t>. Under the ESAs, NCM LLC is the exclusive provider within the United States of advertising services in the founding members’ theaters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use of the LEN and rights to sell and display certain lobby promotions. Further, 30 to 60 seconds of advertising included in the</w:t>
      </w:r>
      <w:r>
        <w:rPr>
          <w:rFonts w:ascii="Arial" w:cs="Arial" w:eastAsia="Arial" w:hAnsi="Arial"/>
          <w:sz w:val="16"/>
          <w:szCs w:val="16"/>
          <w:i w:val="1"/>
          <w:iCs w:val="1"/>
          <w:color w:val="auto"/>
        </w:rPr>
        <w:t xml:space="preserve"> Noovie </w:t>
      </w:r>
      <w:r>
        <w:rPr>
          <w:rFonts w:ascii="Arial" w:cs="Arial" w:eastAsia="Arial" w:hAnsi="Arial"/>
          <w:sz w:val="16"/>
          <w:szCs w:val="16"/>
          <w:color w:val="auto"/>
        </w:rPr>
        <w:t>pre-show is sold to the founding members to satisfy the founding members’ on-screen advertising commitments under their beverage</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1" w:lineRule="exact"/>
        <w:rPr>
          <w:rFonts w:ascii="Arial" w:cs="Arial" w:eastAsia="Arial" w:hAnsi="Arial"/>
          <w:sz w:val="16"/>
          <w:szCs w:val="16"/>
          <w:color w:val="auto"/>
        </w:rPr>
      </w:pPr>
    </w:p>
    <w:p>
      <w:pPr>
        <w:ind w:left="620" w:right="500" w:hanging="315"/>
        <w:spacing w:after="0" w:line="250"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the Company’s network.</w:t>
      </w:r>
    </w:p>
    <w:p>
      <w:pPr>
        <w:spacing w:after="0" w:line="1" w:lineRule="exact"/>
        <w:rPr>
          <w:rFonts w:ascii="Arial" w:cs="Arial" w:eastAsia="Arial" w:hAnsi="Arial"/>
          <w:sz w:val="18"/>
          <w:szCs w:val="18"/>
          <w:color w:val="auto"/>
        </w:rPr>
      </w:pPr>
    </w:p>
    <w:p>
      <w:pPr>
        <w:ind w:left="620" w:right="20" w:hanging="315"/>
        <w:spacing w:after="0" w:line="273" w:lineRule="auto"/>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Software License Agreement. </w:t>
      </w:r>
      <w:r>
        <w:rPr>
          <w:rFonts w:ascii="Arial" w:cs="Arial" w:eastAsia="Arial" w:hAnsi="Arial"/>
          <w:sz w:val="17"/>
          <w:szCs w:val="17"/>
          <w:color w:val="auto"/>
        </w:rPr>
        <w:t>At the date of NCM, Inc.’s IPO, NCM LLC was granted a perpetual, royalty-free license from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summaries of the transactions between the Company and the founding members (in millions):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Included in the Condensed Statements of Income: </w:t>
      </w:r>
      <w:r>
        <w:rPr>
          <w:rFonts w:ascii="Arial" w:cs="Arial" w:eastAsia="Arial" w:hAnsi="Arial"/>
          <w:sz w:val="16"/>
          <w:szCs w:val="16"/>
          <w:b w:val="1"/>
          <w:bCs w:val="1"/>
          <w:i w:val="1"/>
          <w:iCs w:val="1"/>
          <w:color w:val="auto"/>
        </w:rPr>
        <w:t>(1)</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Revenue:</w:t>
      </w:r>
    </w:p>
    <w:p>
      <w:pPr>
        <w:spacing w:after="0" w:line="63" w:lineRule="exact"/>
        <w:rPr>
          <w:sz w:val="20"/>
          <w:szCs w:val="20"/>
          <w:color w:val="auto"/>
        </w:rPr>
      </w:pPr>
    </w:p>
    <w:p>
      <w:pPr>
        <w:ind w:left="540" w:right="1180" w:hanging="134"/>
        <w:spacing w:after="0" w:line="277" w:lineRule="auto"/>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(2)</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Operating expenses: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September 27, 2018</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September 28, 2017</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September 27, 2018</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September 28,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-8255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1040" w:val="left"/>
          <w:tab w:leader="none" w:pos="1500" w:val="left"/>
          <w:tab w:leader="none" w:pos="2500" w:val="left"/>
          <w:tab w:leader="none" w:pos="2980" w:val="left"/>
          <w:tab w:leader="none" w:pos="3880" w:val="left"/>
          <w:tab w:leader="none" w:pos="4440" w:val="left"/>
          <w:tab w:leader="none" w:pos="5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w:t>
        <w:tab/>
        <w:t>$</w:t>
      </w:r>
      <w:r>
        <w:rPr>
          <w:sz w:val="20"/>
          <w:szCs w:val="20"/>
          <w:color w:val="auto"/>
        </w:rPr>
        <w:tab/>
      </w:r>
      <w:r>
        <w:rPr>
          <w:rFonts w:ascii="Arial" w:cs="Arial" w:eastAsia="Arial" w:hAnsi="Arial"/>
          <w:sz w:val="18"/>
          <w:szCs w:val="18"/>
          <w:color w:val="auto"/>
        </w:rPr>
        <w:t>6.7</w:t>
        <w:tab/>
        <w:t>$</w:t>
      </w:r>
      <w:r>
        <w:rPr>
          <w:sz w:val="20"/>
          <w:szCs w:val="20"/>
          <w:color w:val="auto"/>
        </w:rPr>
        <w:tab/>
      </w:r>
      <w:r>
        <w:rPr>
          <w:rFonts w:ascii="Arial" w:cs="Arial" w:eastAsia="Arial" w:hAnsi="Arial"/>
          <w:sz w:val="18"/>
          <w:szCs w:val="18"/>
          <w:color w:val="auto"/>
        </w:rPr>
        <w:t>21.8</w:t>
        <w:tab/>
        <w:t>$</w:t>
      </w:r>
      <w:r>
        <w:rPr>
          <w:sz w:val="20"/>
          <w:szCs w:val="20"/>
          <w:color w:val="auto"/>
        </w:rPr>
        <w:tab/>
      </w: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4900" w:space="720"/>
            <w:col w:w="58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(3)</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13.4</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18.1</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55.5</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
        </w:trPr>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2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28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2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49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(4)</w:t>
            </w:r>
          </w:p>
        </w:tc>
        <w:tc>
          <w:tcPr>
            <w:tcW w:w="22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0.9</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29"/>
        </w:trPr>
        <w:tc>
          <w:tcPr>
            <w:tcW w:w="280" w:type="dxa"/>
            <w:vAlign w:val="bottom"/>
          </w:tcPr>
          <w:p>
            <w:pPr>
              <w:spacing w:after="0"/>
              <w:rPr>
                <w:sz w:val="19"/>
                <w:szCs w:val="19"/>
                <w:color w:val="auto"/>
              </w:rPr>
            </w:pPr>
          </w:p>
        </w:tc>
        <w:tc>
          <w:tcPr>
            <w:tcW w:w="4940" w:type="dxa"/>
            <w:vAlign w:val="bottom"/>
            <w:gridSpan w:val="2"/>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products and rental of theater space (included</w:t>
            </w: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 xml:space="preserve">in advertising operating costs) </w:t>
            </w:r>
            <w:r>
              <w:rPr>
                <w:rFonts w:ascii="Arial" w:cs="Arial" w:eastAsia="Arial" w:hAnsi="Arial"/>
                <w:sz w:val="18"/>
                <w:szCs w:val="18"/>
                <w:i w:val="1"/>
                <w:iCs w:val="1"/>
                <w:color w:val="auto"/>
              </w:rPr>
              <w:t>(4)</w:t>
            </w:r>
          </w:p>
        </w:tc>
        <w:tc>
          <w:tcPr>
            <w:tcW w:w="226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4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490"/>
              <w:spacing w:after="0"/>
              <w:rPr>
                <w:sz w:val="20"/>
                <w:szCs w:val="20"/>
                <w:color w:val="auto"/>
              </w:rPr>
            </w:pPr>
            <w:r>
              <w:rPr>
                <w:rFonts w:ascii="Arial" w:cs="Arial" w:eastAsia="Arial" w:hAnsi="Arial"/>
                <w:sz w:val="18"/>
                <w:szCs w:val="18"/>
                <w:color w:val="auto"/>
              </w:rPr>
              <w:t>0.1</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(5)</w:t>
            </w:r>
          </w:p>
        </w:tc>
        <w:tc>
          <w:tcPr>
            <w:tcW w:w="22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2.9</w:t>
            </w:r>
          </w:p>
        </w:tc>
        <w:tc>
          <w:tcPr>
            <w:tcW w:w="14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3.4</w:t>
            </w:r>
          </w:p>
        </w:tc>
        <w:tc>
          <w:tcPr>
            <w:tcW w:w="14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11.5</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03"/>
        </w:trPr>
        <w:tc>
          <w:tcPr>
            <w:tcW w:w="280" w:type="dxa"/>
            <w:vAlign w:val="bottom"/>
          </w:tcPr>
          <w:p>
            <w:pPr>
              <w:spacing w:after="0"/>
              <w:rPr>
                <w:sz w:val="17"/>
                <w:szCs w:val="17"/>
                <w:color w:val="auto"/>
              </w:rPr>
            </w:pPr>
          </w:p>
        </w:tc>
        <w:tc>
          <w:tcPr>
            <w:tcW w:w="4940" w:type="dxa"/>
            <w:vAlign w:val="bottom"/>
            <w:gridSpan w:val="2"/>
          </w:tcPr>
          <w:p>
            <w:pPr>
              <w:spacing w:after="0" w:line="202" w:lineRule="exact"/>
              <w:rPr>
                <w:sz w:val="20"/>
                <w:szCs w:val="20"/>
                <w:color w:val="auto"/>
              </w:rPr>
            </w:pPr>
            <w:r>
              <w:rPr>
                <w:rFonts w:ascii="Arial" w:cs="Arial" w:eastAsia="Arial" w:hAnsi="Arial"/>
                <w:sz w:val="18"/>
                <w:szCs w:val="18"/>
                <w:color w:val="auto"/>
              </w:rPr>
              <w:t>Non-operating expenses:</w:t>
            </w: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28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31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29"/>
        </w:trPr>
        <w:tc>
          <w:tcPr>
            <w:tcW w:w="28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2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8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(6)</w:t>
            </w:r>
          </w:p>
        </w:tc>
        <w:tc>
          <w:tcPr>
            <w:tcW w:w="22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0.1</w:t>
            </w: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4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2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20" w:right="180" w:hanging="315"/>
        <w:spacing w:after="0" w:line="258"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within the table above only include related party activity with AMC for the first six months of 2018.</w:t>
      </w:r>
    </w:p>
    <w:p>
      <w:pPr>
        <w:spacing w:after="0" w:line="1" w:lineRule="exact"/>
        <w:rPr>
          <w:rFonts w:ascii="Arial" w:cs="Arial" w:eastAsia="Arial" w:hAnsi="Arial"/>
          <w:sz w:val="18"/>
          <w:szCs w:val="18"/>
          <w:i w:val="1"/>
          <w:iCs w:val="1"/>
          <w:color w:val="auto"/>
        </w:rPr>
      </w:pPr>
    </w:p>
    <w:p>
      <w:pPr>
        <w:ind w:left="620" w:right="100" w:hanging="315"/>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For the three and nine months ended September 27, 2018 and September 28, 2017,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seconds equivalent CPM rate specified by the ESA.</w:t>
      </w:r>
    </w:p>
    <w:p>
      <w:pPr>
        <w:spacing w:after="0" w:line="1" w:lineRule="exact"/>
        <w:rPr>
          <w:rFonts w:ascii="Arial" w:cs="Arial" w:eastAsia="Arial" w:hAnsi="Arial"/>
          <w:sz w:val="18"/>
          <w:szCs w:val="18"/>
          <w:i w:val="1"/>
          <w:iCs w:val="1"/>
          <w:color w:val="auto"/>
        </w:rPr>
      </w:pPr>
    </w:p>
    <w:p>
      <w:pPr>
        <w:ind w:left="620" w:hanging="315"/>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620" w:hanging="315"/>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620" w:right="160" w:hanging="315"/>
        <w:spacing w:after="0" w:line="281"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Pursuant to the Management Services Agreement between NCM, Inc. and NCM LLC, NCM, Inc. provides certain specific management services to NCM LLC, including the services of the Chief Executive Officer, President, Chief Financial Officer, Executive Vice President, Chief Revenue Officer and Senior Vice President,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6"/>
          <w:szCs w:val="16"/>
          <w:i w:val="1"/>
          <w:iCs w:val="1"/>
          <w:color w:val="auto"/>
        </w:rPr>
      </w:pPr>
    </w:p>
    <w:p>
      <w:pPr>
        <w:ind w:left="620" w:right="280" w:hanging="315"/>
        <w:spacing w:after="0" w:line="253"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Included in the Condensed Balance Sheets: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27,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2FA"/>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1"/>
              </w:rPr>
              <w:t>December 28, 2017</w:t>
            </w:r>
          </w:p>
        </w:tc>
      </w:tr>
      <w:tr>
        <w:trPr>
          <w:trHeight w:val="228"/>
        </w:trPr>
        <w:tc>
          <w:tcPr>
            <w:tcW w:w="8320" w:type="dxa"/>
            <w:vAlign w:val="bottom"/>
            <w:shd w:val="clear" w:color="auto" w:fill="CFF2FA"/>
          </w:tcPr>
          <w:p>
            <w:pPr>
              <w:ind w:left="280"/>
              <w:spacing w:after="0"/>
              <w:rPr>
                <w:sz w:val="20"/>
                <w:szCs w:val="20"/>
                <w:color w:val="auto"/>
              </w:rPr>
            </w:pPr>
            <w:r>
              <w:rPr>
                <w:rFonts w:ascii="Arial" w:cs="Arial" w:eastAsia="Arial" w:hAnsi="Arial"/>
                <w:sz w:val="18"/>
                <w:szCs w:val="18"/>
                <w:color w:val="auto"/>
              </w:rPr>
              <w:t>Purchase of movie tickets and concession products</w:t>
            </w:r>
          </w:p>
        </w:tc>
        <w:tc>
          <w:tcPr>
            <w:tcW w:w="140" w:type="dxa"/>
            <w:vAlign w:val="bottom"/>
            <w:shd w:val="clear" w:color="auto" w:fill="CFF2FA"/>
          </w:tcPr>
          <w:p>
            <w:pPr>
              <w:spacing w:after="0"/>
              <w:rPr>
                <w:sz w:val="19"/>
                <w:szCs w:val="19"/>
                <w:color w:val="auto"/>
              </w:rPr>
            </w:pPr>
          </w:p>
        </w:tc>
        <w:tc>
          <w:tcPr>
            <w:tcW w:w="126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340" w:type="dxa"/>
            <w:vAlign w:val="bottom"/>
            <w:shd w:val="clear" w:color="auto" w:fill="CFF2FA"/>
          </w:tcPr>
          <w:p>
            <w:pPr>
              <w:spacing w:after="0"/>
              <w:rPr>
                <w:sz w:val="19"/>
                <w:szCs w:val="19"/>
                <w:color w:val="auto"/>
              </w:rPr>
            </w:pPr>
          </w:p>
        </w:tc>
      </w:tr>
      <w:tr>
        <w:trPr>
          <w:trHeight w:val="237"/>
        </w:trPr>
        <w:tc>
          <w:tcPr>
            <w:tcW w:w="8320" w:type="dxa"/>
            <w:vAlign w:val="bottom"/>
            <w:tcBorders>
              <w:bottom w:val="single" w:sz="8" w:color="CFF2FA"/>
            </w:tcBorders>
            <w:shd w:val="clear" w:color="auto" w:fill="CFF2FA"/>
          </w:tcPr>
          <w:p>
            <w:pPr>
              <w:ind w:left="420"/>
              <w:spacing w:after="0"/>
              <w:rPr>
                <w:sz w:val="20"/>
                <w:szCs w:val="20"/>
                <w:color w:val="auto"/>
              </w:rPr>
            </w:pPr>
            <w:r>
              <w:rPr>
                <w:rFonts w:ascii="Arial" w:cs="Arial" w:eastAsia="Arial" w:hAnsi="Arial"/>
                <w:sz w:val="18"/>
                <w:szCs w:val="18"/>
                <w:color w:val="auto"/>
              </w:rPr>
              <w:t>(included in prepaid expenses)</w:t>
            </w:r>
          </w:p>
        </w:tc>
        <w:tc>
          <w:tcPr>
            <w:tcW w:w="14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FF2FA"/>
            </w:tcBorders>
            <w:gridSpan w:val="3"/>
            <w:shd w:val="clear" w:color="auto" w:fill="CFF2FA"/>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 xml:space="preserve">Current portion of notes receivable - related parties </w:t>
            </w:r>
            <w:r>
              <w:rPr>
                <w:rFonts w:ascii="Arial" w:cs="Arial" w:eastAsia="Arial" w:hAnsi="Arial"/>
                <w:sz w:val="18"/>
                <w:szCs w:val="18"/>
                <w:i w:val="1"/>
                <w:iCs w:val="1"/>
                <w:color w:val="auto"/>
              </w:rPr>
              <w:t>(1) (2)</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4.2</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FF2FA"/>
            </w:tcBorders>
            <w:shd w:val="clear" w:color="auto" w:fill="CFF2FA"/>
          </w:tcPr>
          <w:p>
            <w:pPr>
              <w:ind w:left="280"/>
              <w:spacing w:after="0"/>
              <w:rPr>
                <w:sz w:val="20"/>
                <w:szCs w:val="20"/>
                <w:color w:val="auto"/>
              </w:rPr>
            </w:pPr>
            <w:r>
              <w:rPr>
                <w:rFonts w:ascii="Arial" w:cs="Arial" w:eastAsia="Arial" w:hAnsi="Arial"/>
                <w:sz w:val="18"/>
                <w:szCs w:val="18"/>
                <w:color w:val="auto"/>
              </w:rPr>
              <w:t xml:space="preserve">Long-term portion of notes receivable - related parties </w:t>
            </w:r>
            <w:r>
              <w:rPr>
                <w:rFonts w:ascii="Arial" w:cs="Arial" w:eastAsia="Arial" w:hAnsi="Arial"/>
                <w:sz w:val="18"/>
                <w:szCs w:val="18"/>
                <w:i w:val="1"/>
                <w:iCs w:val="1"/>
                <w:color w:val="auto"/>
              </w:rPr>
              <w:t>(1)(2)</w:t>
            </w:r>
          </w:p>
        </w:tc>
        <w:tc>
          <w:tcPr>
            <w:tcW w:w="140" w:type="dxa"/>
            <w:vAlign w:val="bottom"/>
            <w:tcBorders>
              <w:bottom w:val="single" w:sz="8" w:color="CFF2FA"/>
            </w:tcBorders>
            <w:shd w:val="clear" w:color="auto" w:fill="CFF2FA"/>
          </w:tcPr>
          <w:p>
            <w:pPr>
              <w:spacing w:after="0"/>
              <w:rPr>
                <w:sz w:val="21"/>
                <w:szCs w:val="21"/>
                <w:color w:val="auto"/>
              </w:rPr>
            </w:pPr>
          </w:p>
        </w:tc>
        <w:tc>
          <w:tcPr>
            <w:tcW w:w="126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2FA"/>
            </w:tcBorders>
            <w:shd w:val="clear" w:color="auto" w:fill="CFF2FA"/>
          </w:tcPr>
          <w:p>
            <w:pPr>
              <w:spacing w:after="0"/>
              <w:rPr>
                <w:sz w:val="21"/>
                <w:szCs w:val="21"/>
                <w:color w:val="auto"/>
              </w:rPr>
            </w:pPr>
          </w:p>
        </w:tc>
        <w:tc>
          <w:tcPr>
            <w:tcW w:w="100" w:type="dxa"/>
            <w:vAlign w:val="bottom"/>
            <w:tcBorders>
              <w:bottom w:val="single" w:sz="8" w:color="CFF2FA"/>
            </w:tcBorders>
            <w:shd w:val="clear" w:color="auto" w:fill="CFF2FA"/>
          </w:tcPr>
          <w:p>
            <w:pPr>
              <w:spacing w:after="0"/>
              <w:rPr>
                <w:sz w:val="21"/>
                <w:szCs w:val="21"/>
                <w:color w:val="auto"/>
              </w:rPr>
            </w:pPr>
          </w:p>
        </w:tc>
        <w:tc>
          <w:tcPr>
            <w:tcW w:w="140" w:type="dxa"/>
            <w:vAlign w:val="bottom"/>
            <w:tcBorders>
              <w:bottom w:val="single" w:sz="8" w:color="CFF2FA"/>
            </w:tcBorders>
            <w:shd w:val="clear" w:color="auto" w:fill="CFF2FA"/>
          </w:tcPr>
          <w:p>
            <w:pPr>
              <w:spacing w:after="0"/>
              <w:rPr>
                <w:sz w:val="21"/>
                <w:szCs w:val="21"/>
                <w:color w:val="auto"/>
              </w:rPr>
            </w:pP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4.1</w:t>
            </w:r>
          </w:p>
        </w:tc>
      </w:tr>
      <w:tr>
        <w:trPr>
          <w:trHeight w:val="229"/>
        </w:trPr>
        <w:tc>
          <w:tcPr>
            <w:tcW w:w="8320" w:type="dxa"/>
            <w:vAlign w:val="bottom"/>
          </w:tcPr>
          <w:p>
            <w:pPr>
              <w:ind w:left="280"/>
              <w:spacing w:after="0"/>
              <w:rPr>
                <w:sz w:val="20"/>
                <w:szCs w:val="20"/>
                <w:color w:val="auto"/>
              </w:rPr>
            </w:pPr>
            <w:r>
              <w:rPr>
                <w:rFonts w:ascii="Arial" w:cs="Arial" w:eastAsia="Arial" w:hAnsi="Arial"/>
                <w:sz w:val="18"/>
                <w:szCs w:val="18"/>
                <w:color w:val="auto"/>
              </w:rPr>
              <w:t>Interest receivable on notes receivable (included in</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(1)(2)</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FF2FA"/>
            </w:tcBorders>
            <w:shd w:val="clear" w:color="auto" w:fill="CFF2FA"/>
          </w:tcPr>
          <w:p>
            <w:pPr>
              <w:ind w:left="28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(3)</w:t>
            </w:r>
          </w:p>
        </w:tc>
        <w:tc>
          <w:tcPr>
            <w:tcW w:w="140" w:type="dxa"/>
            <w:vAlign w:val="bottom"/>
            <w:tcBorders>
              <w:bottom w:val="single" w:sz="8" w:color="CFF2FA"/>
            </w:tcBorders>
            <w:shd w:val="clear" w:color="auto" w:fill="CFF2FA"/>
          </w:tcPr>
          <w:p>
            <w:pPr>
              <w:spacing w:after="0"/>
              <w:rPr>
                <w:sz w:val="21"/>
                <w:szCs w:val="21"/>
                <w:color w:val="auto"/>
              </w:rPr>
            </w:pPr>
          </w:p>
        </w:tc>
        <w:tc>
          <w:tcPr>
            <w:tcW w:w="1260" w:type="dxa"/>
            <w:vAlign w:val="bottom"/>
            <w:tcBorders>
              <w:bottom w:val="single" w:sz="8" w:color="CFF2FA"/>
            </w:tcBorders>
            <w:shd w:val="clear" w:color="auto" w:fill="CFF2FA"/>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2FA"/>
            </w:tcBorders>
            <w:shd w:val="clear" w:color="auto" w:fill="CFF2FA"/>
          </w:tcPr>
          <w:p>
            <w:pPr>
              <w:spacing w:after="0"/>
              <w:rPr>
                <w:sz w:val="21"/>
                <w:szCs w:val="21"/>
                <w:color w:val="auto"/>
              </w:rPr>
            </w:pPr>
          </w:p>
        </w:tc>
        <w:tc>
          <w:tcPr>
            <w:tcW w:w="100" w:type="dxa"/>
            <w:vAlign w:val="bottom"/>
            <w:tcBorders>
              <w:bottom w:val="single" w:sz="8" w:color="CFF2FA"/>
            </w:tcBorders>
            <w:shd w:val="clear" w:color="auto" w:fill="CFF2FA"/>
          </w:tcPr>
          <w:p>
            <w:pPr>
              <w:spacing w:after="0"/>
              <w:rPr>
                <w:sz w:val="21"/>
                <w:szCs w:val="21"/>
                <w:color w:val="auto"/>
              </w:rPr>
            </w:pPr>
          </w:p>
        </w:tc>
        <w:tc>
          <w:tcPr>
            <w:tcW w:w="140" w:type="dxa"/>
            <w:vAlign w:val="bottom"/>
            <w:tcBorders>
              <w:bottom w:val="single" w:sz="8" w:color="CFF2FA"/>
            </w:tcBorders>
            <w:shd w:val="clear" w:color="auto" w:fill="CFF2FA"/>
          </w:tcPr>
          <w:p>
            <w:pPr>
              <w:spacing w:after="0"/>
              <w:rPr>
                <w:sz w:val="21"/>
                <w:szCs w:val="21"/>
                <w:color w:val="auto"/>
              </w:rPr>
            </w:pPr>
          </w:p>
        </w:tc>
        <w:tc>
          <w:tcPr>
            <w:tcW w:w="1340" w:type="dxa"/>
            <w:vAlign w:val="bottom"/>
            <w:tcBorders>
              <w:bottom w:val="single" w:sz="8" w:color="CFF2FA"/>
            </w:tcBorders>
            <w:shd w:val="clear" w:color="auto" w:fill="CFF2FA"/>
          </w:tcPr>
          <w:p>
            <w:pPr>
              <w:jc w:val="right"/>
              <w:ind w:right="33"/>
              <w:spacing w:after="0"/>
              <w:rPr>
                <w:sz w:val="20"/>
                <w:szCs w:val="20"/>
                <w:color w:val="auto"/>
              </w:rPr>
            </w:pPr>
            <w:r>
              <w:rPr>
                <w:rFonts w:ascii="Arial" w:cs="Arial" w:eastAsia="Arial" w:hAnsi="Arial"/>
                <w:sz w:val="18"/>
                <w:szCs w:val="18"/>
                <w:color w:val="auto"/>
              </w:rPr>
              <w:t>0.8</w:t>
            </w:r>
          </w:p>
        </w:tc>
      </w:tr>
      <w:tr>
        <w:trPr>
          <w:trHeight w:val="229"/>
        </w:trPr>
        <w:tc>
          <w:tcPr>
            <w:tcW w:w="8320" w:type="dxa"/>
            <w:vAlign w:val="bottom"/>
          </w:tcPr>
          <w:p>
            <w:pPr>
              <w:ind w:left="280"/>
              <w:spacing w:after="0"/>
              <w:rPr>
                <w:sz w:val="20"/>
                <w:szCs w:val="20"/>
                <w:color w:val="auto"/>
              </w:rPr>
            </w:pPr>
            <w:r>
              <w:rPr>
                <w:rFonts w:ascii="Arial" w:cs="Arial" w:eastAsia="Arial" w:hAnsi="Arial"/>
                <w:sz w:val="18"/>
                <w:szCs w:val="18"/>
                <w:color w:val="auto"/>
              </w:rPr>
              <w:t>Common unit adjustments, net of amortization and integration</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20" w:type="dxa"/>
            <w:vAlign w:val="bottom"/>
          </w:tcPr>
          <w:p>
            <w:pPr>
              <w:ind w:left="42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(4)</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687.1</w:t>
            </w:r>
          </w:p>
        </w:tc>
      </w:tr>
    </w:tbl>
    <w:p>
      <w:pPr>
        <w:spacing w:after="0" w:line="134" w:lineRule="exact"/>
        <w:rPr>
          <w:sz w:val="20"/>
          <w:szCs w:val="20"/>
          <w:color w:val="auto"/>
        </w:rPr>
      </w:pPr>
    </w:p>
    <w:p>
      <w:pPr>
        <w:ind w:left="620" w:right="380" w:hanging="315"/>
        <w:spacing w:after="0" w:line="258" w:lineRule="auto"/>
        <w:tabs>
          <w:tab w:leader="none" w:pos="6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AMC is no longer considered a related party as of July 5, 2018, as described further above. As such, the figures as of September 27, 2018 do not include AMC and the figures as of December 28, 2017 do include AMC.</w:t>
      </w:r>
    </w:p>
    <w:p>
      <w:pPr>
        <w:spacing w:after="0" w:line="1" w:lineRule="exact"/>
        <w:rPr>
          <w:rFonts w:ascii="Arial" w:cs="Arial" w:eastAsia="Arial" w:hAnsi="Arial"/>
          <w:sz w:val="18"/>
          <w:szCs w:val="18"/>
          <w:i w:val="1"/>
          <w:iCs w:val="1"/>
          <w:color w:val="auto"/>
        </w:rPr>
      </w:pPr>
    </w:p>
    <w:p>
      <w:pPr>
        <w:ind w:left="620" w:hanging="315"/>
        <w:spacing w:after="0"/>
        <w:tabs>
          <w:tab w:leader="none" w:pos="6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9" w:lineRule="exact"/>
        <w:rPr>
          <w:rFonts w:ascii="Arial" w:cs="Arial" w:eastAsia="Arial" w:hAnsi="Arial"/>
          <w:sz w:val="18"/>
          <w:szCs w:val="18"/>
          <w:i w:val="1"/>
          <w:iCs w:val="1"/>
          <w:color w:val="auto"/>
        </w:rPr>
      </w:pPr>
    </w:p>
    <w:p>
      <w:pPr>
        <w:ind w:left="620" w:right="260" w:hanging="315"/>
        <w:spacing w:after="0" w:line="281" w:lineRule="auto"/>
        <w:tabs>
          <w:tab w:leader="none" w:pos="62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2" w:lineRule="exact"/>
        <w:rPr>
          <w:rFonts w:ascii="Arial" w:cs="Arial" w:eastAsia="Arial" w:hAnsi="Arial"/>
          <w:sz w:val="16"/>
          <w:szCs w:val="16"/>
          <w:i w:val="1"/>
          <w:iCs w:val="1"/>
          <w:color w:val="auto"/>
        </w:rPr>
      </w:pPr>
    </w:p>
    <w:p>
      <w:pPr>
        <w:ind w:left="620" w:hanging="315"/>
        <w:spacing w:after="0"/>
        <w:tabs>
          <w:tab w:leader="none" w:pos="62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3—Intangible Assets for further information on common unit adjustments and integration payments.</w:t>
      </w:r>
    </w:p>
    <w:p>
      <w:pPr>
        <w:spacing w:after="0" w:line="103" w:lineRule="exact"/>
        <w:rPr>
          <w:sz w:val="20"/>
          <w:szCs w:val="20"/>
          <w:color w:val="auto"/>
        </w:rPr>
      </w:pPr>
    </w:p>
    <w:p>
      <w:pPr>
        <w:ind w:right="160" w:firstLine="540"/>
        <w:spacing w:after="0" w:line="259" w:lineRule="auto"/>
        <w:rPr>
          <w:sz w:val="20"/>
          <w:szCs w:val="20"/>
          <w:color w:val="auto"/>
        </w:rPr>
      </w:pPr>
      <w:r>
        <w:rPr>
          <w:rFonts w:ascii="Arial" w:cs="Arial" w:eastAsia="Arial" w:hAnsi="Arial"/>
          <w:sz w:val="18"/>
          <w:szCs w:val="18"/>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and nine months ended September 27, 2018 and September 28, 2017 were as follows (in millions):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4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September 27, 2018</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28, 2017</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September 27, 2018</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September 28, 2017</w:t>
            </w:r>
          </w:p>
        </w:tc>
      </w:tr>
      <w:tr>
        <w:trPr>
          <w:trHeight w:val="25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AMC</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16.3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Cinemark</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15.6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Regal</w:t>
            </w:r>
          </w:p>
        </w:tc>
        <w:tc>
          <w:tcPr>
            <w:tcW w:w="1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15.5</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founding members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27.2</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44.4</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47.4</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NCM, Inc.</w:t>
            </w:r>
          </w:p>
        </w:tc>
        <w:tc>
          <w:tcPr>
            <w:tcW w:w="140" w:type="dxa"/>
            <w:vAlign w:val="bottom"/>
            <w:tcBorders>
              <w:bottom w:val="single" w:sz="8" w:color="CFF0FC"/>
            </w:tcBorders>
            <w:shd w:val="clear" w:color="auto" w:fill="CFF0FC"/>
          </w:tcPr>
          <w:p>
            <w:pPr>
              <w:spacing w:after="0"/>
              <w:rPr>
                <w:sz w:val="23"/>
                <w:szCs w:val="23"/>
                <w:color w:val="auto"/>
              </w:rPr>
            </w:pPr>
          </w:p>
        </w:tc>
        <w:tc>
          <w:tcPr>
            <w:tcW w:w="13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42.5</w:t>
            </w:r>
          </w:p>
        </w:tc>
        <w:tc>
          <w:tcPr>
            <w:tcW w:w="22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39.0</w:t>
            </w:r>
          </w:p>
        </w:tc>
      </w:tr>
      <w:tr>
        <w:trPr>
          <w:trHeight w:val="257"/>
        </w:trPr>
        <w:tc>
          <w:tcPr>
            <w:tcW w:w="5140" w:type="dxa"/>
            <w:vAlign w:val="bottom"/>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53.1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86.9</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86.4</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540"/>
        <w:spacing w:after="0" w:line="272" w:lineRule="auto"/>
        <w:rPr>
          <w:sz w:val="20"/>
          <w:szCs w:val="20"/>
          <w:color w:val="auto"/>
        </w:rPr>
      </w:pPr>
      <w:r>
        <w:rPr>
          <w:rFonts w:ascii="Arial" w:cs="Arial" w:eastAsia="Arial" w:hAnsi="Arial"/>
          <w:sz w:val="17"/>
          <w:szCs w:val="17"/>
          <w:color w:val="auto"/>
        </w:rPr>
        <w:t>The mandatory distributions of available cash by the Company to its founding members for the three months ended September 27, 2018 of $19.1 million is included in amounts due to founding members, net on the unaudited Condensed Balance Sheets as of September 27, 2018 and will be made in the fourth quarter of 2018. The amount presented within the tables for the distribution payable to AMC for the nine months ended September 27, 2018 represents only the distribution for the three months ended March 29, 2018 to AMC. AMC’s distribution for the three months ended June 28, 2018 was paid to Cinemark and Regal to accommodate agreements between AMC and each of Cinemark and Regal, and AMC did not receive a distribution following the divestiture date, July 5, 2018. Further, there was no distribution to AMC for the three months ended September 27, 2018 as they had no ownership in the period. The mandatory distributions to NCM, Inc. are eliminated in consolidation.</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September 27, 2018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AMC</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Cinemark</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Regal</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15"/>
        </w:trPr>
        <w:tc>
          <w:tcPr>
            <w:tcW w:w="5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0"/>
              </w:rPr>
              <w:t>Theater access fees, net of beverage revenues and other encumbered</w:t>
            </w:r>
          </w:p>
        </w:tc>
        <w:tc>
          <w:tcPr>
            <w:tcW w:w="10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7"/>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theater payments</w:t>
            </w:r>
          </w:p>
        </w:tc>
        <w:tc>
          <w:tcPr>
            <w:tcW w:w="1020" w:type="dxa"/>
            <w:vAlign w:val="bottom"/>
            <w:tcBorders>
              <w:bottom w:val="single" w:sz="8" w:color="CFF0FC"/>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3.6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102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19.1</w:t>
            </w:r>
          </w:p>
        </w:tc>
      </w:tr>
      <w:tr>
        <w:trPr>
          <w:trHeight w:val="27"/>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10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Cost and other reimbursement</w:t>
            </w:r>
          </w:p>
        </w:tc>
        <w:tc>
          <w:tcPr>
            <w:tcW w:w="10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140" w:type="dxa"/>
            <w:vAlign w:val="bottom"/>
            <w:tcBorders>
              <w:bottom w:val="single" w:sz="8" w:color="CFF0F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amounts due (from) to founding members, net</w:t>
            </w:r>
          </w:p>
        </w:tc>
        <w:tc>
          <w:tcPr>
            <w:tcW w:w="1020" w:type="dxa"/>
            <w:vAlign w:val="bottom"/>
            <w:tcBorders>
              <w:bottom w:val="single" w:sz="8" w:color="CFF0FC"/>
            </w:tcBorders>
            <w:shd w:val="clear" w:color="auto" w:fill="CFF0FC"/>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85"/>
              </w:rPr>
              <w:t>10.0</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17.5</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founding members, net as of December 28, 2017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AMC</w:t>
            </w:r>
          </w:p>
        </w:tc>
        <w:tc>
          <w:tcPr>
            <w:tcW w:w="42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120" w:type="dxa"/>
            <w:vAlign w:val="bottom"/>
          </w:tcPr>
          <w:p>
            <w:pPr>
              <w:spacing w:after="0"/>
              <w:rPr>
                <w:sz w:val="16"/>
                <w:szCs w:val="16"/>
                <w:color w:val="auto"/>
              </w:rPr>
            </w:pPr>
          </w:p>
        </w:tc>
        <w:tc>
          <w:tcPr>
            <w:tcW w:w="1260" w:type="dxa"/>
            <w:vAlign w:val="bottom"/>
          </w:tcPr>
          <w:p>
            <w:pPr>
              <w:jc w:val="right"/>
              <w:ind w:right="374"/>
              <w:spacing w:after="0"/>
              <w:rPr>
                <w:sz w:val="20"/>
                <w:szCs w:val="20"/>
                <w:color w:val="auto"/>
              </w:rPr>
            </w:pPr>
            <w:r>
              <w:rPr>
                <w:rFonts w:ascii="Arial" w:cs="Arial" w:eastAsia="Arial" w:hAnsi="Arial"/>
                <w:sz w:val="14"/>
                <w:szCs w:val="14"/>
                <w:b w:val="1"/>
                <w:bCs w:val="1"/>
                <w:color w:val="auto"/>
              </w:rPr>
              <w:t>Regal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15"/>
        </w:trPr>
        <w:tc>
          <w:tcPr>
            <w:tcW w:w="514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0"/>
              </w:rPr>
              <w:t>Theater access fees, net of beverage revenues and other encumbered</w:t>
            </w:r>
          </w:p>
        </w:tc>
        <w:tc>
          <w:tcPr>
            <w:tcW w:w="3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37"/>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theater payments</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37.6</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3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32.7</w:t>
            </w:r>
          </w:p>
        </w:tc>
      </w:tr>
      <w:tr>
        <w:trPr>
          <w:trHeight w:val="27"/>
        </w:trPr>
        <w:tc>
          <w:tcPr>
            <w:tcW w:w="51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5"/>
        </w:trPr>
        <w:tc>
          <w:tcPr>
            <w:tcW w:w="7180" w:type="dxa"/>
            <w:vAlign w:val="bottom"/>
            <w:gridSpan w:val="5"/>
          </w:tcPr>
          <w:p>
            <w:pPr>
              <w:ind w:left="540"/>
              <w:spacing w:after="0"/>
              <w:rPr>
                <w:sz w:val="20"/>
                <w:szCs w:val="20"/>
                <w:color w:val="auto"/>
              </w:rPr>
            </w:pPr>
            <w:r>
              <w:rPr>
                <w:rFonts w:ascii="Arial" w:cs="Arial" w:eastAsia="Arial" w:hAnsi="Arial"/>
                <w:sz w:val="18"/>
                <w:szCs w:val="18"/>
                <w:color w:val="auto"/>
                <w:w w:val="92"/>
              </w:rPr>
              <w:t>Amounts due to/from managing member, net were comprised of the following (in millions):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9"/>
        </w:trPr>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24"/>
                <w:szCs w:val="24"/>
                <w:color w:val="auto"/>
              </w:rPr>
            </w:pPr>
          </w:p>
        </w:tc>
      </w:tr>
      <w:tr>
        <w:trPr>
          <w:trHeight w:val="264"/>
        </w:trPr>
        <w:tc>
          <w:tcPr>
            <w:tcW w:w="5140" w:type="dxa"/>
            <w:vAlign w:val="bottom"/>
            <w:tcBorders>
              <w:bottom w:val="single" w:sz="8" w:color="CFF0FC"/>
            </w:tcBorders>
          </w:tcPr>
          <w:p>
            <w:pPr>
              <w:spacing w:after="0"/>
              <w:rPr>
                <w:sz w:val="22"/>
                <w:szCs w:val="22"/>
                <w:color w:val="auto"/>
              </w:rPr>
            </w:pPr>
          </w:p>
        </w:tc>
        <w:tc>
          <w:tcPr>
            <w:tcW w:w="36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27,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51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Distributions payable to managing member</w:t>
            </w:r>
          </w:p>
        </w:tc>
        <w:tc>
          <w:tcPr>
            <w:tcW w:w="36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36.9</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Cost and other reimbursement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1.4</w:t>
            </w:r>
          </w:p>
        </w:tc>
      </w:tr>
      <w:tr>
        <w:trPr>
          <w:trHeight w:val="27"/>
        </w:trPr>
        <w:tc>
          <w:tcPr>
            <w:tcW w:w="5140" w:type="dxa"/>
            <w:vAlign w:val="bottom"/>
            <w:tcBorders>
              <w:bottom w:val="single" w:sz="8" w:color="CFF0FC"/>
            </w:tcBorders>
          </w:tcPr>
          <w:p>
            <w:pPr>
              <w:spacing w:after="0"/>
              <w:rPr>
                <w:sz w:val="2"/>
                <w:szCs w:val="2"/>
                <w:color w:val="auto"/>
              </w:rPr>
            </w:pPr>
          </w:p>
        </w:tc>
        <w:tc>
          <w:tcPr>
            <w:tcW w:w="360" w:type="dxa"/>
            <w:vAlign w:val="bottom"/>
            <w:tcBorders>
              <w:bottom w:val="single" w:sz="8" w:color="CFF0FC"/>
            </w:tcBorders>
          </w:tcPr>
          <w:p>
            <w:pPr>
              <w:spacing w:after="0"/>
              <w:rPr>
                <w:sz w:val="2"/>
                <w:szCs w:val="2"/>
                <w:color w:val="auto"/>
              </w:rPr>
            </w:pPr>
          </w:p>
        </w:tc>
        <w:tc>
          <w:tcPr>
            <w:tcW w:w="11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CFF0FC"/>
            </w:tcBorders>
          </w:tcPr>
          <w:p>
            <w:pPr>
              <w:spacing w:after="0"/>
              <w:rPr>
                <w:sz w:val="2"/>
                <w:szCs w:val="2"/>
                <w:color w:val="auto"/>
              </w:rPr>
            </w:pPr>
          </w:p>
        </w:tc>
        <w:tc>
          <w:tcPr>
            <w:tcW w:w="10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 net</w:t>
            </w:r>
          </w:p>
        </w:tc>
        <w:tc>
          <w:tcPr>
            <w:tcW w:w="3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38.3</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color w:val="auto"/>
        </w:rPr>
        <w:t>During the nine months ended September 27, 2018 and September 28, 2017, AMC received cash dividends of approximately $0.4 million and $0.1 million, respectively, on its shares of NCM, Inc. common stock held at that time.</w:t>
      </w:r>
    </w:p>
    <w:p>
      <w:pPr>
        <w:spacing w:after="0" w:line="62" w:lineRule="exact"/>
        <w:rPr>
          <w:sz w:val="20"/>
          <w:szCs w:val="20"/>
          <w:color w:val="auto"/>
        </w:rPr>
      </w:pPr>
    </w:p>
    <w:p>
      <w:pPr>
        <w:ind w:firstLine="540"/>
        <w:spacing w:after="0" w:line="268"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the Company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$1.1 million and $1.0 million as of September 27, 2018 and December 28, 2017, respectively. Equity in earnings from AC JV, LLC for the three months ended September 27, 2018 and September 28, 2017 and the nine months ended September 27, 2018 and September 28, 2017, were $0.0 million, $0.0 million, $0.1 million and $0.1 million, respectively, and is included in non-operating expenses in the unaudited Condensed Statements of Income. NCM LLC also received fees from AC JV, LLC of $0.1 million, $0.1 million, $0.2 million, and $0.2 million in the three months ended September 27, 2018 and September 28, 2017 and the nine months ended September 27, 2018 and September 28, 2017 related to the transition services agreement with AC JV whereby the Company provides certain corporate overhead or creative services or use of facilities in exchange for a fee. These fees received by NCM LLC are included as an offset to network costs in the unaudited Condensed Consolidated Statements of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September 27, 2018 and December 28, 2017 and the significant terms of its borrowing arrangements (in millions):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Outstanding Balance as of</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1"/>
              </w:rPr>
              <w:t>September 27, 2018</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28, 2017</w:t>
            </w:r>
          </w:p>
        </w:tc>
        <w:tc>
          <w:tcPr>
            <w:tcW w:w="100" w:type="dxa"/>
            <w:vAlign w:val="bottom"/>
          </w:tcPr>
          <w:p>
            <w:pPr>
              <w:spacing w:after="0"/>
              <w:rPr>
                <w:sz w:val="12"/>
                <w:szCs w:val="12"/>
                <w:color w:val="auto"/>
              </w:rPr>
            </w:pPr>
          </w:p>
        </w:tc>
        <w:tc>
          <w:tcPr>
            <w:tcW w:w="27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Maturity</w:t>
            </w:r>
          </w:p>
        </w:tc>
        <w:tc>
          <w:tcPr>
            <w:tcW w:w="980" w:type="dxa"/>
            <w:vAlign w:val="bottom"/>
          </w:tcPr>
          <w:p>
            <w:pPr>
              <w:jc w:val="right"/>
              <w:ind w:right="176"/>
              <w:spacing w:after="0" w:line="139" w:lineRule="exact"/>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 due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April 15, 2022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Revolving credit facility</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 xml:space="preserve">June 20, 2023 </w:t>
            </w:r>
            <w:r>
              <w:rPr>
                <w:rFonts w:ascii="Arial" w:cs="Arial" w:eastAsia="Arial" w:hAnsi="Arial"/>
                <w:sz w:val="18"/>
                <w:szCs w:val="18"/>
                <w:i w:val="1"/>
                <w:iCs w:val="1"/>
                <w:color w:val="auto"/>
                <w:w w:val="89"/>
              </w:rPr>
              <w:t>(1)</w:t>
            </w:r>
          </w:p>
        </w:tc>
        <w:tc>
          <w:tcPr>
            <w:tcW w:w="980" w:type="dxa"/>
            <w:vAlign w:val="bottom"/>
          </w:tcPr>
          <w:p>
            <w:pPr>
              <w:jc w:val="right"/>
              <w:ind w:right="36"/>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 xml:space="preserve">June 20, 2025 </w:t>
            </w:r>
            <w:r>
              <w:rPr>
                <w:rFonts w:ascii="Arial" w:cs="Arial" w:eastAsia="Arial" w:hAnsi="Arial"/>
                <w:sz w:val="18"/>
                <w:szCs w:val="18"/>
                <w:i w:val="1"/>
                <w:iCs w:val="1"/>
                <w:color w:val="auto"/>
                <w:w w:val="89"/>
              </w:rPr>
              <w:t>(1)</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i w:val="1"/>
                <w:iCs w:val="1"/>
                <w:color w:val="auto"/>
              </w:rPr>
              <w:t>(2)</w:t>
            </w:r>
          </w:p>
        </w:tc>
        <w:tc>
          <w:tcPr>
            <w:tcW w:w="0" w:type="dxa"/>
            <w:vAlign w:val="bottom"/>
          </w:tcPr>
          <w:p>
            <w:pPr>
              <w:spacing w:after="0"/>
              <w:rPr>
                <w:sz w:val="1"/>
                <w:szCs w:val="1"/>
                <w:color w:val="auto"/>
              </w:rPr>
            </w:pPr>
          </w:p>
        </w:tc>
      </w:tr>
      <w:tr>
        <w:trPr>
          <w:trHeight w:val="243"/>
        </w:trPr>
        <w:tc>
          <w:tcPr>
            <w:tcW w:w="4560" w:type="dxa"/>
            <w:vAlign w:val="bottom"/>
            <w:gridSpan w:val="2"/>
          </w:tcPr>
          <w:p>
            <w:pPr>
              <w:ind w:left="40"/>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August 15, 2026</w:t>
            </w:r>
          </w:p>
        </w:tc>
        <w:tc>
          <w:tcPr>
            <w:tcW w:w="980" w:type="dxa"/>
            <w:vAlign w:val="bottom"/>
          </w:tcPr>
          <w:p>
            <w:pPr>
              <w:jc w:val="right"/>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932.0</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60" w:type="dxa"/>
            <w:vAlign w:val="bottom"/>
            <w:gridSpan w:val="2"/>
          </w:tcPr>
          <w:p>
            <w:pPr>
              <w:ind w:left="160"/>
              <w:spacing w:after="0"/>
              <w:rPr>
                <w:sz w:val="20"/>
                <w:szCs w:val="20"/>
                <w:color w:val="auto"/>
              </w:rPr>
            </w:pPr>
            <w:r>
              <w:rPr>
                <w:rFonts w:ascii="Arial" w:cs="Arial" w:eastAsia="Arial" w:hAnsi="Arial"/>
                <w:sz w:val="18"/>
                <w:szCs w:val="18"/>
                <w:color w:val="auto"/>
              </w:rPr>
              <w:t>Less: debt issuance costs related to term</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tcPr>
          <w:p>
            <w:pPr>
              <w:ind w:left="300"/>
              <w:spacing w:after="0"/>
              <w:rPr>
                <w:sz w:val="20"/>
                <w:szCs w:val="20"/>
                <w:color w:val="auto"/>
              </w:rPr>
            </w:pPr>
            <w:r>
              <w:rPr>
                <w:rFonts w:ascii="Arial" w:cs="Arial" w:eastAsia="Arial" w:hAnsi="Arial"/>
                <w:sz w:val="18"/>
                <w:szCs w:val="18"/>
                <w:color w:val="auto"/>
              </w:rPr>
              <w:t>loans and senior notes</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 net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923.3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Less: current portion of debt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923.3</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spacing w:after="0"/>
        <w:rPr>
          <w:sz w:val="20"/>
          <w:szCs w:val="20"/>
          <w:color w:val="auto"/>
        </w:rPr>
      </w:pPr>
      <w:r>
        <w:rPr>
          <w:rFonts w:ascii="Arial" w:cs="Arial" w:eastAsia="Arial" w:hAnsi="Arial"/>
          <w:sz w:val="18"/>
          <w:szCs w:val="18"/>
          <w:color w:val="auto"/>
        </w:rPr>
        <w:t>___________________________________________________</w:t>
      </w:r>
    </w:p>
    <w:p>
      <w:pPr>
        <w:spacing w:after="0" w:line="22" w:lineRule="exact"/>
        <w:rPr>
          <w:sz w:val="20"/>
          <w:szCs w:val="20"/>
          <w:color w:val="auto"/>
        </w:rPr>
      </w:pPr>
    </w:p>
    <w:p>
      <w:pPr>
        <w:ind w:left="620" w:right="140" w:hanging="315"/>
        <w:spacing w:after="0" w:line="254" w:lineRule="auto"/>
        <w:tabs>
          <w:tab w:leader="none" w:pos="6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maturity dates for the revolving credit facility and term loan are contingent upon the refinancing of the senior secured notes due in 2022 on or prior to October 30, 2021. If the Senior Secured Notes are not refinanced on or prior to October 30, 2021, then the revolving credit facility and term loan will instead mature on December 30, 2021. The maturity dates for the revolving credit facility and term loan as of December 28, 2017 are described below.</w:t>
      </w:r>
    </w:p>
    <w:p>
      <w:pPr>
        <w:spacing w:after="0" w:line="2" w:lineRule="exact"/>
        <w:rPr>
          <w:rFonts w:ascii="Arial" w:cs="Arial" w:eastAsia="Arial" w:hAnsi="Arial"/>
          <w:sz w:val="18"/>
          <w:szCs w:val="18"/>
          <w:i w:val="1"/>
          <w:iCs w:val="1"/>
          <w:color w:val="auto"/>
        </w:rPr>
      </w:pPr>
    </w:p>
    <w:p>
      <w:pPr>
        <w:ind w:left="620" w:hanging="315"/>
        <w:spacing w:after="0"/>
        <w:tabs>
          <w:tab w:leader="none" w:pos="6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319" w:lineRule="exact"/>
        <w:rPr>
          <w:sz w:val="20"/>
          <w:szCs w:val="20"/>
          <w:color w:val="auto"/>
        </w:rPr>
      </w:pPr>
    </w:p>
    <w:p>
      <w:pPr>
        <w:ind w:right="40" w:firstLine="540"/>
        <w:spacing w:after="0" w:line="272" w:lineRule="auto"/>
        <w:rPr>
          <w:sz w:val="20"/>
          <w:szCs w:val="20"/>
          <w:color w:val="auto"/>
        </w:rPr>
      </w:pPr>
      <w:r>
        <w:rPr>
          <w:rFonts w:ascii="Arial" w:cs="Arial" w:eastAsia="Arial" w:hAnsi="Arial"/>
          <w:sz w:val="17"/>
          <w:szCs w:val="17"/>
          <w:b w:val="1"/>
          <w:bCs w:val="1"/>
          <w:i w:val="1"/>
          <w:iCs w:val="1"/>
          <w:color w:val="auto"/>
        </w:rPr>
        <w:t>Senior Secured Credit Facility</w:t>
      </w:r>
      <w:r>
        <w:rPr>
          <w:rFonts w:ascii="Arial" w:cs="Arial" w:eastAsia="Arial" w:hAnsi="Arial"/>
          <w:sz w:val="17"/>
          <w:szCs w:val="17"/>
          <w:color w:val="auto"/>
        </w:rPr>
        <w:t>— On June 20, 2018, the Company entered into a credit agreement to replace the Company's senior secured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dated as of February 13, 2007, as amended (the "previous facility"). Consistent with the structure of the previous facility, the agreement consists of a term loan facility and a revolving credit facility. As of September 27, 2018, the Company’s senior secured credit facility consisted of a $175.0 million revolving credit facility and a $269.4 million term loan. The obligations under the senior secured credit facility are secured by a lien on substantially all of the assets of NCM LLC. During the second quarter of 2018, the Company capitalized approximately $6.5 million of debt issuance costs related to the new revolving credit facility and the term loan. The Company also recognized $1.2 million in non-operating loss related to the write-off of capitalized debt issuance costs related to the previous facility and recognition of debt issuance costs that did not qualify for capitalization.</w:t>
      </w:r>
    </w:p>
    <w:p>
      <w:pPr>
        <w:spacing w:after="0" w:line="70"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the Company’s total borrowings is available, subject to certain conditions,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purposes of the Company in the ordinary course of business and for other transactions permitted under the senior secured credit facility, and a portion is available for letters of credit. As of September 27, 2018, the Company’s total availability under the $175.0 million revolving credit facility was $156.2 million, net of $14.0 million outstanding and $4.8 million in letters of credit. The unused line fee is 0.50% per annum, which is consistent with the previous facility. Borrowings under the revolving credit facility bear interest at the Company’s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the Company (the ratio of secured funded debt less unrestricted cash and cash equivalents of up to $100.0 million, divided by Adjusted OIBDA). The revolving credit facility will mature on June 20, 2023 contingent upon the refinancing of the Company's Notes due 2022 (defined below, see "Senior Secured Notes due 2022") on or prior to October 30, 2021. If the Notes due 2022 are not refinanced on or prior to October 30, 2021, then the revolving credit facility will instead mature on December 30, 2021.</w:t>
      </w:r>
    </w:p>
    <w:p>
      <w:pPr>
        <w:spacing w:after="0" w:line="65" w:lineRule="exact"/>
        <w:rPr>
          <w:sz w:val="20"/>
          <w:szCs w:val="20"/>
          <w:color w:val="auto"/>
        </w:rPr>
      </w:pPr>
    </w:p>
    <w:p>
      <w:pPr>
        <w:ind w:right="140" w:firstLine="540"/>
        <w:spacing w:after="0" w:line="255"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rate increased from LIBOR index plus 2.75% or the base rate plus 1.75%. The weighted-average interest rate on the term loans as of September 27, 2018 was 5.2%. The term loan amortizes at a rate equal to 1.00% annually, to be paid in equal quarterly installments. As of September 27, 2018, the Company has paid principal of $0.6 million, reducing the outstanding balance to $269.4 million. The term loan will mature on June 20, 2025 contingent upon the refinancing of the Notes due 2022 on or prior to October 30, 2021. If the Notes due 2022 are not refinanced on or prior to October 30, 2021, then the term loan will instead mature on December 30, 2021.</w:t>
      </w:r>
    </w:p>
    <w:p>
      <w:pPr>
        <w:spacing w:after="0" w:line="85"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The senior secured credit facility contains a number of covenants and various financial ratio requirements, including, (i) a consolidated net total leverage ratio covenant of 6.25 times for each quarterly period (commencing with the quarterly period ending September 30, 2018) and (ii) with respect to the revolving credit facility, maintaining a consolidated net senior secured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leverage ratio of equal to or less than 4.50 times on a quarterly basis for each quarterly period (beginning with the quarterly period ending September 30, 2018)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September 27, 2018, the Company’s consolidated net senior secured leverage ratio was 2.9 times (versus the dividend payment restriction of 5.50 times and the covenant of 4.50 times) the Company's consolidated net total leverage ratio was 4.0 times (versus the covenant of 6.25 times).</w:t>
      </w:r>
    </w:p>
    <w:p>
      <w:pPr>
        <w:spacing w:after="0" w:line="70" w:lineRule="exact"/>
        <w:rPr>
          <w:sz w:val="20"/>
          <w:szCs w:val="20"/>
          <w:color w:val="auto"/>
        </w:rPr>
      </w:pPr>
    </w:p>
    <w:p>
      <w:pPr>
        <w:ind w:firstLine="540"/>
        <w:spacing w:after="0" w:line="297" w:lineRule="auto"/>
        <w:rPr>
          <w:sz w:val="20"/>
          <w:szCs w:val="20"/>
          <w:color w:val="auto"/>
        </w:rPr>
      </w:pPr>
      <w:r>
        <w:rPr>
          <w:rFonts w:ascii="Arial" w:cs="Arial" w:eastAsia="Arial" w:hAnsi="Arial"/>
          <w:sz w:val="16"/>
          <w:szCs w:val="16"/>
          <w:b w:val="1"/>
          <w:bCs w:val="1"/>
          <w:i w:val="1"/>
          <w:iCs w:val="1"/>
          <w:color w:val="auto"/>
        </w:rPr>
        <w:t>Senior Secured Notes due 2022</w:t>
      </w:r>
      <w:r>
        <w:rPr>
          <w:rFonts w:ascii="Arial" w:cs="Arial" w:eastAsia="Arial" w:hAnsi="Arial"/>
          <w:sz w:val="16"/>
          <w:szCs w:val="16"/>
          <w:color w:val="auto"/>
        </w:rPr>
        <w:t>—On April 27, 2012, the Company completed a private placement of $400.0 million in aggregate principal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were issued at 100% of the face amount thereof and are senior secured obligations of the Company, rank the same as the Company’s senior secured credit facility, subject to certain exceptions, and share in the same collateral that secures the Company’s obligations under the senior secured credit facility.</w:t>
      </w:r>
    </w:p>
    <w:p>
      <w:pPr>
        <w:spacing w:after="0" w:line="50" w:lineRule="exact"/>
        <w:rPr>
          <w:sz w:val="20"/>
          <w:szCs w:val="20"/>
          <w:color w:val="auto"/>
        </w:rPr>
      </w:pPr>
    </w:p>
    <w:p>
      <w:pPr>
        <w:ind w:right="180" w:firstLine="540"/>
        <w:spacing w:after="0" w:line="283"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the Company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the Company. During September 2018, the Company repurchased and canceled a total of $7.7 million of the Notes due 2026, reducing the principal amount to $242.3 million as of September 27, 2018. This repurchase was treated as a partial debt extinguishment and resulted in the realization of a non-operating gain, net of written off debt issuance costs, of $0.3 million during the three and nine months ended September 27, 2018. The Notes due 2026 will be effectively subordinated to all existing and future secured debt, including the Notes due 2022, its senior secured credit facility and any future asset backed loan facility. The Notes due 2026 rank equally in right of payment with all of the Company’s existing and future senior indebtedness, including the Notes due 2022, the Company’s existing senior secured credit facility, and any future asset backed loan facility, in each case, without giving effect to collateral arrangements.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03" w:lineRule="exact"/>
        <w:rPr>
          <w:sz w:val="20"/>
          <w:szCs w:val="20"/>
          <w:color w:val="auto"/>
        </w:rPr>
      </w:pPr>
    </w:p>
    <w:p>
      <w:pPr>
        <w:ind w:right="20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62" w:lineRule="exact"/>
        <w:rPr>
          <w:sz w:val="20"/>
          <w:szCs w:val="20"/>
          <w:color w:val="auto"/>
        </w:rPr>
      </w:pPr>
    </w:p>
    <w:p>
      <w:pPr>
        <w:ind w:right="60" w:firstLine="540"/>
        <w:spacing w:after="0" w:line="270"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September 27, 2018, the maximum potential amount of future payments the Company could be required to make pursuant to the minimum revenue guarantees is $76.7 million over the remaining terms of the network affiliate agreements. These minimum guarantees relate to various affiliate agreements ranging in term from one to twenty years, prior to any renewal periods of which some are at the option of the Company. During the three and nine months ended September 27, 2018, the Company paid $0.7 million related to these minimum guarantees. The Company made no payments during the three and nine months ended September 28, 2017. Additionally, the Company has accrued $0.3 million and $0.0 million related to affiliate agreements with guaranteed minimums in excess of the revenue share agreement as of September 27, 2018 and December 28, 2017, respectively.</w:t>
      </w:r>
    </w:p>
    <w:p>
      <w:pPr>
        <w:spacing w:after="0" w:line="70" w:lineRule="exact"/>
        <w:rPr>
          <w:sz w:val="20"/>
          <w:szCs w:val="20"/>
          <w:color w:val="auto"/>
        </w:rPr>
      </w:pPr>
    </w:p>
    <w:p>
      <w:pPr>
        <w:ind w:right="40" w:firstLine="540"/>
        <w:spacing w:after="0" w:line="267"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last occurring in fiscal year 2017, and the payment per digital screen and for digital cinema equipment increasing annually by 5%. The theater access fee paid in the aggregate to all founding members cannot be less than 12% of NCM LLC’s aggregate advertising revenue (as defined in the ESA), or it will be adjusted upward to reach this minimum payment. As of September 27, 2018 and December 28, 2017, the Company had no liabilities recorded for the minimum payment, as the theater access fee was in excess of the minimum.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03" w:lineRule="exact"/>
        <w:rPr>
          <w:sz w:val="20"/>
          <w:szCs w:val="20"/>
          <w:color w:val="auto"/>
        </w:rPr>
      </w:pPr>
    </w:p>
    <w:p>
      <w:pPr>
        <w:ind w:right="160" w:firstLine="540"/>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prioritizes the inputs used to measure fair value into three levels and bases the categorization within the hierarchy upon the lowest level of input that is available and significant to the fair value measurement:</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right="20" w:firstLine="54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right="340" w:firstLine="5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 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other investments, notes receivable and borrowings.</w:t>
      </w:r>
    </w:p>
    <w:p>
      <w:pPr>
        <w:spacing w:after="0" w:line="73" w:lineRule="exact"/>
        <w:rPr>
          <w:sz w:val="20"/>
          <w:szCs w:val="20"/>
          <w:color w:val="auto"/>
        </w:rPr>
      </w:pPr>
    </w:p>
    <w:p>
      <w:pPr>
        <w:ind w:right="200" w:firstLine="540"/>
        <w:spacing w:after="0" w:line="257"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As of</w:t>
            </w:r>
          </w:p>
        </w:tc>
        <w:tc>
          <w:tcPr>
            <w:tcW w:w="134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27, 2018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December 28, 2017</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2.5</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Refer to Note 4—Related Party Transactions. This investment is accounted for utilizing the equity method.</w:t>
      </w:r>
    </w:p>
    <w:p>
      <w:pPr>
        <w:spacing w:after="0" w:line="23"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are accounted for at adjusted cost in accordance with the practicability exception under ASU 2016-1 and represent an ownership of less than 20%. The Company does not exert significant influence on these companies’ operating or financial activities.</w:t>
      </w:r>
    </w:p>
    <w:p>
      <w:pPr>
        <w:spacing w:after="0" w:line="82" w:lineRule="exact"/>
        <w:rPr>
          <w:sz w:val="20"/>
          <w:szCs w:val="20"/>
          <w:color w:val="auto"/>
        </w:rPr>
      </w:pPr>
    </w:p>
    <w:p>
      <w:pPr>
        <w:ind w:firstLine="540"/>
        <w:spacing w:after="0" w:line="290" w:lineRule="auto"/>
        <w:rPr>
          <w:sz w:val="20"/>
          <w:szCs w:val="20"/>
          <w:color w:val="auto"/>
        </w:rPr>
      </w:pPr>
      <w:r>
        <w:rPr>
          <w:rFonts w:ascii="Arial" w:cs="Arial" w:eastAsia="Arial" w:hAnsi="Arial"/>
          <w:sz w:val="16"/>
          <w:szCs w:val="16"/>
          <w:color w:val="auto"/>
        </w:rPr>
        <w:t>During the three months ended September 27, 2018 and September 28, 2017 and nine months ended September 27, 2018 and September 28, 2017, the Company recorded impairment charges of $0.0 million, $0.0 million, $0.4 million, and $3.1 million, respectively, on certain of its investments due to a significant deterioration in the business prospects of the investee or new information regarding the fair value of the investee, which brought the total remaining value of the respective impaired investments to $0.0 million as of September 27, 2018 and $0.1 million as of September 28, 2017. As of September 27, 2018,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58"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As of September 27, 2018 and December 28, 2017, the Company had notes receivable totaling $8.3 million and $8.3 million, respectively, from its founding members related to the sale of Fathom Events, as described in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0" w:lineRule="exact"/>
        <w:rPr>
          <w:sz w:val="20"/>
          <w:szCs w:val="20"/>
          <w:color w:val="auto"/>
        </w:rPr>
      </w:pPr>
    </w:p>
    <w:p>
      <w:pPr>
        <w:ind w:right="160" w:firstLine="540"/>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September 27, 2018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As of December 28, 2017</w:t>
            </w:r>
          </w:p>
        </w:tc>
      </w:tr>
      <w:tr>
        <w:trPr>
          <w:trHeight w:val="264"/>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 (1)</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20" w:type="dxa"/>
            <w:vAlign w:val="bottom"/>
          </w:tcPr>
          <w:p>
            <w:pPr>
              <w:spacing w:after="0"/>
              <w:rPr>
                <w:sz w:val="22"/>
                <w:szCs w:val="22"/>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Fair Value (1)</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Notes due 2022</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407.3</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2026</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235.0</w:t>
            </w:r>
          </w:p>
        </w:tc>
      </w:tr>
      <w:tr>
        <w:trPr>
          <w:trHeight w:val="27"/>
        </w:trPr>
        <w:tc>
          <w:tcPr>
            <w:tcW w:w="5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8. SUBSEQUENT EVENT</w:t>
      </w:r>
    </w:p>
    <w:p>
      <w:pPr>
        <w:spacing w:after="0" w:line="17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2, 2018, Andrew J. England stepped down as Chief Executive Officer and as a member of the Board of Directors (the "Board") of NCM, Inc., effective immediately. In connection with Mr. England’s departure, the Company announced that it has retained an executive search firm to initiate a search for a new CEO to succeed Mr. England. Clifford E. Marks, the Company’s President, will serve as Interim Chief Executive Officer until the Board appoints a permanent CEO. Mr. Marks will continue to serve as President of the Company.</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intends to treat Mr. England’s termination of employment as an “Involuntary Termination” under his employment agreement with the Company, as described in NCM, Inc.’s 2018 definitive proxy statement under the caption “Potential Payments Upon Termination or Change in Control - Andrew J. England - Without Cause or For Good Reason or Expiration of Agreement.” Mr. England’s termination of employment is not the result of a violation of any company policy.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below and in our annual report on Form 10-K for the Company’s fiscal year ended December 28, 2017. Investors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cautioned not to place undue reliance on any such forward-looking statements, which speak only as of the date they are made. We undertake no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update any forward-looking statement, whether as a result of new information, future events or otherwise, except as required by law.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28,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40"/>
        <w:spacing w:after="0" w:line="286" w:lineRule="auto"/>
        <w:rPr>
          <w:sz w:val="20"/>
          <w:szCs w:val="20"/>
          <w:color w:val="auto"/>
        </w:rPr>
      </w:pPr>
      <w:r>
        <w:rPr>
          <w:rFonts w:ascii="Arial" w:cs="Arial" w:eastAsia="Arial" w:hAnsi="Arial"/>
          <w:sz w:val="16"/>
          <w:szCs w:val="16"/>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6"/>
          <w:szCs w:val="16"/>
          <w:i w:val="1"/>
          <w:iCs w:val="1"/>
          <w:color w:val="auto"/>
        </w:rPr>
        <w:t>Noovie</w:t>
      </w:r>
      <w:r>
        <w:rPr>
          <w:rFonts w:ascii="Arial" w:cs="Arial" w:eastAsia="Arial" w:hAnsi="Arial"/>
          <w:sz w:val="16"/>
          <w:szCs w:val="16"/>
          <w:color w:val="auto"/>
        </w:rPr>
        <w:t xml:space="preserve">, our cinema advertising and entertainment pre-show seen on movie screens across the U.S. During 2018, we launched our Noovie ARcade mobile app which brings augmented reality to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over one million movie goers have already downloaded the app as of September 27, 2018.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Cinema Accelerator</w:t>
      </w:r>
      <w:r>
        <w:rPr>
          <w:rFonts w:ascii="Arial" w:cs="Arial" w:eastAsia="Arial" w:hAnsi="Arial"/>
          <w:sz w:val="16"/>
          <w:szCs w:val="16"/>
          <w:color w:val="auto"/>
        </w:rPr>
        <w:t xml:space="preserve"> digital product to reach entertainment audiences beyond the theater. We have long-term ESAs (approximately 18 years remaining as of September 27, 2018) with the founding members and multi-year agreements with our network affiliates, which expire at various dates between December 31, 2018 and July 22, 2031. The weighted average remaining term (based on attendance) of the ESAs and the network affiliate agreements is 16.1 years as of September 27, 2018. The ESAs and network affiliate agreements grant us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is projected on digital projectors (94% digital cinema projectors and 6% LCD projectors) as of September 27, 2018.</w:t>
      </w:r>
    </w:p>
    <w:p>
      <w:pPr>
        <w:spacing w:after="0" w:line="67" w:lineRule="exact"/>
        <w:rPr>
          <w:sz w:val="20"/>
          <w:szCs w:val="20"/>
          <w:color w:val="auto"/>
        </w:rPr>
      </w:pPr>
    </w:p>
    <w:p>
      <w:pPr>
        <w:ind w:firstLine="540"/>
        <w:spacing w:after="0" w:line="289"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national and local and regional and total advertising revenue per attendee. We also monitor free cash flow, the dividend coverage ratio, financial leverage ratio (net debt divided by Adjusted OIBDA including integration payments and other encumbered theater payments), cash balances and revolving credit facility availability to ensure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t>financial debt covenant compliance and that there is adequate cash availability to fund our working capital needs and debt obligations and current and future distributions to members. Financial results, including the metrics outlined above, are presented to the Board of Directors on a monthly basis.</w:t>
      </w:r>
    </w:p>
    <w:p>
      <w:pPr>
        <w:spacing w:after="0" w:line="38" w:lineRule="exact"/>
        <w:rPr>
          <w:sz w:val="20"/>
          <w:szCs w:val="20"/>
          <w:color w:val="auto"/>
        </w:rPr>
      </w:pPr>
    </w:p>
    <w:p>
      <w:pPr>
        <w:ind w:right="480" w:firstLine="540"/>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below and in our Form 10-K filed with the SEC on March 19, 2018 for our fiscal year ended December 28, 2017.</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908"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jc w:val="both"/>
        <w:ind w:right="340" w:firstLine="540"/>
        <w:spacing w:after="0" w:line="264"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 The following table presents operating data, OIBDA and Adjusted OIBDA (dollars in millions, except margin data):</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Q3 2018</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Q3 2017</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YTD 2018</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YTD 2017</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Q3 2018 to Q3 2017</w:t>
            </w:r>
          </w:p>
        </w:tc>
        <w:tc>
          <w:tcPr>
            <w:tcW w:w="120" w:type="dxa"/>
            <w:vAlign w:val="bottom"/>
            <w:vMerge w:val="restart"/>
          </w:tcPr>
          <w:p>
            <w:pPr>
              <w:spacing w:after="0"/>
              <w:rPr>
                <w:sz w:val="13"/>
                <w:szCs w:val="13"/>
                <w:color w:val="auto"/>
              </w:rPr>
            </w:pPr>
          </w:p>
        </w:tc>
        <w:tc>
          <w:tcPr>
            <w:tcW w:w="1320" w:type="dxa"/>
            <w:vAlign w:val="bottom"/>
          </w:tcPr>
          <w:p>
            <w:pPr>
              <w:jc w:val="right"/>
              <w:ind w:right="13"/>
              <w:spacing w:after="0" w:line="153" w:lineRule="exact"/>
              <w:rPr>
                <w:sz w:val="20"/>
                <w:szCs w:val="20"/>
                <w:color w:val="auto"/>
              </w:rPr>
            </w:pPr>
            <w:r>
              <w:rPr>
                <w:rFonts w:ascii="Arial" w:cs="Arial" w:eastAsia="Arial" w:hAnsi="Arial"/>
                <w:sz w:val="14"/>
                <w:szCs w:val="14"/>
                <w:b w:val="1"/>
                <w:bCs w:val="1"/>
                <w:color w:val="auto"/>
              </w:rPr>
              <w:t>YTD 2018 to YTD</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rPr>
              <w:t>Network, administrative and</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8"/>
                <w:szCs w:val="18"/>
                <w:color w:val="auto"/>
              </w:rPr>
              <w:t>unallocated costs</w:t>
            </w:r>
          </w:p>
        </w:tc>
        <w:tc>
          <w:tcPr>
            <w:tcW w:w="260" w:type="dxa"/>
            <w:vAlign w:val="bottom"/>
          </w:tcPr>
          <w:p>
            <w:pPr>
              <w:spacing w:after="0"/>
              <w:rPr>
                <w:sz w:val="20"/>
                <w:szCs w:val="20"/>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70.9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83.7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44.8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OIBDA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Adjusted OIBDA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122.5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margin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w w:val="95"/>
              </w:rPr>
              <w:t xml:space="preserve">Total theater attendance (in millions) </w:t>
            </w:r>
            <w:r>
              <w:rPr>
                <w:rFonts w:ascii="Arial" w:cs="Arial" w:eastAsia="Arial" w:hAnsi="Arial"/>
                <w:sz w:val="18"/>
                <w:szCs w:val="18"/>
                <w:i w:val="1"/>
                <w:iCs w:val="1"/>
                <w:color w:val="auto"/>
                <w:w w:val="95"/>
              </w:rPr>
              <w:t>(1)</w:t>
            </w:r>
          </w:p>
        </w:tc>
        <w:tc>
          <w:tcPr>
            <w:tcW w:w="26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164.7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535.8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Arial" w:cs="Arial" w:eastAsia="Arial" w:hAnsi="Arial"/>
                <w:sz w:val="18"/>
                <w:szCs w:val="18"/>
                <w:color w:val="auto"/>
              </w:rPr>
              <w:t>492.1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ind w:left="620" w:right="80" w:hanging="315"/>
        <w:spacing w:after="0" w:line="290"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400" w:firstLine="540"/>
        <w:spacing w:after="0" w:line="288"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Chief Executive Officer transition costs and early lease termination</w:t>
      </w:r>
    </w:p>
    <w:p>
      <w:pPr>
        <w:ind w:right="40"/>
        <w:spacing w:after="0" w:line="267" w:lineRule="auto"/>
        <w:rPr>
          <w:sz w:val="20"/>
          <w:szCs w:val="20"/>
          <w:color w:val="auto"/>
        </w:rPr>
      </w:pPr>
      <w:r>
        <w:rPr>
          <w:rFonts w:ascii="Arial" w:cs="Arial" w:eastAsia="Arial" w:hAnsi="Arial"/>
          <w:sz w:val="17"/>
          <w:szCs w:val="17"/>
          <w:color w:val="auto"/>
        </w:rPr>
        <w:t>expense.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early lease termination expense,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costs associated with the resignation of the Company’s former Chief Executive Officer or early lease termination expense.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4" w:right="239" w:bottom="1440" w:gutter="0" w:footer="0" w:header="0"/>
        </w:sectPr>
      </w:pPr>
    </w:p>
    <w:bookmarkStart w:id="24" w:name="page25"/>
    <w:bookmarkEnd w:id="24"/>
    <w:p>
      <w:pPr>
        <w:ind w:left="54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Q3 2018</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Q3 2017</w:t>
            </w:r>
          </w:p>
        </w:tc>
        <w:tc>
          <w:tcPr>
            <w:tcW w:w="28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YTD 2018</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YTD 2017</w:t>
            </w: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28.2</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OIBDA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111.9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30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8.3</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Early lease termination expense (3)</w:t>
            </w:r>
          </w:p>
        </w:tc>
        <w:tc>
          <w:tcPr>
            <w:tcW w:w="3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1.8</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122.5</w:t>
            </w: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285.4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Adjusted OIBDA margin</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620" w:right="140" w:hanging="315"/>
        <w:spacing w:after="0" w:line="253"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$0.8 million, $1.6 million, $3.6 million and $5.4 million for the three months ended September 27, 2018 and September 28, 2017 and nine months ended September 27, 2018 and September 28, 2017, respectively.</w:t>
      </w:r>
    </w:p>
    <w:p>
      <w:pPr>
        <w:spacing w:after="0" w:line="3" w:lineRule="exact"/>
        <w:rPr>
          <w:rFonts w:ascii="Arial" w:cs="Arial" w:eastAsia="Arial" w:hAnsi="Arial"/>
          <w:sz w:val="18"/>
          <w:szCs w:val="18"/>
          <w:color w:val="auto"/>
        </w:rPr>
      </w:pPr>
    </w:p>
    <w:p>
      <w:pPr>
        <w:ind w:left="620" w:right="140" w:hanging="315"/>
        <w:spacing w:after="0" w:line="250"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Chief Executive Officer transition costs represent consulting, relocation and other costs and are primarily included in administrative fee – managing member in the accompanying unaudited Condensed Financial Statements.</w:t>
      </w:r>
    </w:p>
    <w:p>
      <w:pPr>
        <w:ind w:left="620" w:right="560" w:hanging="315"/>
        <w:spacing w:after="0" w:line="290"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Early lease termination expense represents an expense recorded upon the early termination of the lease of our previous corporate headquarters because the early termination payment made by the Company was reimbursed by the landlord of the new building.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160" w:firstLine="540"/>
        <w:spacing w:after="0" w:line="264" w:lineRule="auto"/>
        <w:rPr>
          <w:sz w:val="20"/>
          <w:szCs w:val="20"/>
          <w:color w:val="auto"/>
        </w:rPr>
      </w:pPr>
      <w:r>
        <w:rPr>
          <w:rFonts w:ascii="Arial" w:cs="Arial" w:eastAsia="Arial" w:hAnsi="Arial"/>
          <w:sz w:val="18"/>
          <w:szCs w:val="18"/>
          <w:color w:val="auto"/>
        </w:rPr>
        <w:t>The results of operations data for the three and nine months ended September 27, 2018 (third quarter of 2018) and September 28, 2017 (third quarter of 2017) was derived from the unaudited Condensed Financial Statements and accounting records of NCM LLC and should be read in conjunction with the notes thereto.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of 2018 and Third Quarter of 2017</w:t>
      </w:r>
    </w:p>
    <w:p>
      <w:pPr>
        <w:spacing w:after="0" w:line="117" w:lineRule="exact"/>
        <w:rPr>
          <w:sz w:val="20"/>
          <w:szCs w:val="20"/>
          <w:color w:val="auto"/>
        </w:rPr>
      </w:pPr>
    </w:p>
    <w:p>
      <w:pPr>
        <w:ind w:right="700" w:firstLine="54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5.4%, from $116.4 million for the third quarter of 2017 to $110.1 million for the third quarter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2018</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2017</w:t>
            </w:r>
          </w:p>
        </w:tc>
        <w:tc>
          <w:tcPr>
            <w:tcW w:w="12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Q3 2018 to Q3 2017</w:t>
            </w:r>
          </w:p>
        </w:tc>
        <w:tc>
          <w:tcPr>
            <w:tcW w:w="1600" w:type="dxa"/>
            <w:vAlign w:val="bottom"/>
          </w:tcPr>
          <w:p>
            <w:pPr>
              <w:jc w:val="right"/>
              <w:ind w:right="116"/>
              <w:spacing w:after="0"/>
              <w:rPr>
                <w:sz w:val="20"/>
                <w:szCs w:val="20"/>
                <w:color w:val="auto"/>
              </w:rPr>
            </w:pPr>
            <w:r>
              <w:rPr>
                <w:rFonts w:ascii="Arial" w:cs="Arial" w:eastAsia="Arial" w:hAnsi="Arial"/>
                <w:sz w:val="14"/>
                <w:szCs w:val="14"/>
                <w:b w:val="1"/>
                <w:bCs w:val="1"/>
                <w:color w:val="auto"/>
              </w:rPr>
              <w:t>Q3 2018 to Q3 2017</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110.1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The following table shows data on theater attendance and revenue per attendee for the third quarter of 2018 and the third quarter of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2018</w:t>
            </w: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2017</w:t>
            </w:r>
          </w:p>
        </w:tc>
        <w:tc>
          <w:tcPr>
            <w:tcW w:w="1600" w:type="dxa"/>
            <w:vAlign w:val="bottom"/>
          </w:tcPr>
          <w:p>
            <w:pPr>
              <w:jc w:val="right"/>
              <w:ind w:right="115"/>
              <w:spacing w:after="0"/>
              <w:rPr>
                <w:sz w:val="20"/>
                <w:szCs w:val="20"/>
                <w:color w:val="auto"/>
              </w:rPr>
            </w:pPr>
            <w:r>
              <w:rPr>
                <w:rFonts w:ascii="Arial" w:cs="Arial" w:eastAsia="Arial" w:hAnsi="Arial"/>
                <w:sz w:val="14"/>
                <w:szCs w:val="14"/>
                <w:b w:val="1"/>
                <w:bCs w:val="1"/>
                <w:color w:val="auto"/>
              </w:rPr>
              <w:t>Q3 2018 to Q3 2017</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0.133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0.167</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 beverage revenue) per attendee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0.728</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Total advertising revenue per attendee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0.668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0.773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6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7"/>
        </w:trPr>
        <w:tc>
          <w:tcPr>
            <w:tcW w:w="66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1100" w:right="20" w:hanging="322"/>
        <w:spacing w:after="0" w:line="308"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55" w:lineRule="exact"/>
        <w:rPr>
          <w:sz w:val="20"/>
          <w:szCs w:val="20"/>
          <w:color w:val="auto"/>
        </w:rPr>
      </w:pPr>
    </w:p>
    <w:p>
      <w:pPr>
        <w:ind w:left="580" w:right="100"/>
        <w:spacing w:after="0" w:line="270" w:lineRule="auto"/>
        <w:rPr>
          <w:sz w:val="20"/>
          <w:szCs w:val="20"/>
          <w:color w:val="auto"/>
        </w:rPr>
      </w:pPr>
      <w:r>
        <w:rPr>
          <w:rFonts w:ascii="Arial" w:cs="Arial" w:eastAsia="Arial" w:hAnsi="Arial"/>
          <w:sz w:val="17"/>
          <w:szCs w:val="17"/>
          <w:u w:val="single" w:color="auto"/>
          <w:color w:val="auto"/>
        </w:rPr>
        <w:t>National advertising revenue.</w:t>
      </w:r>
      <w:r>
        <w:rPr>
          <w:rFonts w:ascii="Arial" w:cs="Arial" w:eastAsia="Arial" w:hAnsi="Arial"/>
          <w:sz w:val="17"/>
          <w:szCs w:val="17"/>
          <w:color w:val="auto"/>
        </w:rPr>
        <w:t xml:space="preserve"> The $3.7 million, or 4.4% decrease in national advertising revenue (excluding beverage revenue from the founding members) was due primarily to a 9.7% decrease in impressions sold, partially offset by a 5.5% increase in national advertising CPMs (excluding beverage). The decrease in impressions sold was due primarily to lower content partner and upfront placements, partially offset by an increase in scatter spending in the third quarter of 2018, compared to the third quarter of 2017. The decrease in impressions resulted in a decrease in national inventory utilization, from 161.3% in the third quarter of 2017 to 133.2% in the third quarter of 2018, on a 9.4% increase in network attendance. Inventory utilization is calculated as utilized impressions divided by total advertising impressions, which is based on eleven 30-second salable national advertising units in our Noovie pre-show, which can be expanded, should market demand dictate. The increase in national advertising CPMs was due primarily to higher demand in the scatter market, which is inventory not included within an upfront or content partner commitment sold closer to the advertisement air date, typically at higher CPMs.</w:t>
      </w:r>
    </w:p>
    <w:p>
      <w:pPr>
        <w:spacing w:after="0" w:line="74" w:lineRule="exact"/>
        <w:rPr>
          <w:sz w:val="20"/>
          <w:szCs w:val="20"/>
          <w:color w:val="auto"/>
        </w:rPr>
      </w:pPr>
    </w:p>
    <w:p>
      <w:pPr>
        <w:ind w:left="580" w:right="20"/>
        <w:spacing w:after="0" w:line="279" w:lineRule="auto"/>
        <w:rPr>
          <w:sz w:val="20"/>
          <w:szCs w:val="20"/>
          <w:color w:val="auto"/>
        </w:rPr>
      </w:pPr>
      <w:r>
        <w:rPr>
          <w:rFonts w:ascii="Arial" w:cs="Arial" w:eastAsia="Arial" w:hAnsi="Arial"/>
          <w:sz w:val="17"/>
          <w:szCs w:val="17"/>
          <w:u w:val="single" w:color="auto"/>
          <w:color w:val="auto"/>
        </w:rPr>
        <w:t>Local and regional advertising revenue.</w:t>
      </w:r>
      <w:r>
        <w:rPr>
          <w:rFonts w:ascii="Arial" w:cs="Arial" w:eastAsia="Arial" w:hAnsi="Arial"/>
          <w:sz w:val="17"/>
          <w:szCs w:val="17"/>
          <w:color w:val="auto"/>
        </w:rPr>
        <w:t xml:space="preserve"> The $3.3 million, or 13.1% decrease in local and regional advertising revenue was primarily due to an approximate 8.0% decrease in the volume and contract value of local and regional contracts, in the third quarter of 2018, compared to the third quarter of 2017. These decreases in local and regional advertising revenue were primarily driven by decreases in the value of contracts over $100,000 within the automotive and insurance categories in the third quarter of 2018, compared to the third quarter of 2017.</w:t>
      </w:r>
    </w:p>
    <w:p>
      <w:pPr>
        <w:spacing w:after="0" w:line="63"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$0.7 million, or 10.4% increase in national advertising revenue from founding members' beverage concessionaire agreements was primarily due to a 9.1% increase in founding member attendance and an increase in beverage revenue CPMs, in the third quarter of 2018, compared to the third quarter of 2017. The 2018 beverage revenue CPM is based on the change in CPM during segment one of our pre-show from 2016 to 2017, which increased 1.1%.</w:t>
      </w:r>
    </w:p>
    <w:p>
      <w:pPr>
        <w:spacing w:after="0" w:line="187" w:lineRule="exact"/>
        <w:rPr>
          <w:sz w:val="20"/>
          <w:szCs w:val="20"/>
          <w:color w:val="auto"/>
        </w:rPr>
      </w:pPr>
    </w:p>
    <w:p>
      <w:pPr>
        <w:ind w:right="20" w:firstLine="540"/>
        <w:spacing w:after="0" w:line="34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$1.7 million, or 2.6%, from $66.1 million for the third quarter of 2017 to $67.8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of 2018. The following table shows the changes in operating expense for the third quarter of 2018 and the third quarter of 2017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Q3 2018</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Q3 2017</w:t>
            </w:r>
          </w:p>
        </w:tc>
        <w:tc>
          <w:tcPr>
            <w:tcW w:w="260" w:type="dxa"/>
            <w:vAlign w:val="bottom"/>
          </w:tcPr>
          <w:p>
            <w:pPr>
              <w:spacing w:after="0"/>
              <w:rPr>
                <w:sz w:val="13"/>
                <w:szCs w:val="13"/>
                <w:color w:val="auto"/>
              </w:rPr>
            </w:pPr>
          </w:p>
        </w:tc>
        <w:tc>
          <w:tcPr>
            <w:tcW w:w="13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Q3 2018 to</w:t>
            </w: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Q3 2018 to</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Q3 2017</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Q3 2017</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102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Administrative fee—managing member</w:t>
            </w:r>
          </w:p>
        </w:tc>
        <w:tc>
          <w:tcPr>
            <w:tcW w:w="10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67.8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right="340"/>
        <w:spacing w:after="0" w:line="27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$1.4 million, or 15.7%, from $8.9 million for the third quarter of 2017 to $10.3 million for the third quarter of 2018. The increase was primarily related to a $1.2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22" w:right="239" w:bottom="1440" w:gutter="0" w:footer="0" w:header="0"/>
        </w:sectPr>
      </w:pPr>
    </w:p>
    <w:bookmarkStart w:id="26" w:name="page27"/>
    <w:bookmarkEnd w:id="26"/>
    <w:p>
      <w:pPr>
        <w:ind w:left="580" w:right="40"/>
        <w:spacing w:after="0" w:line="264" w:lineRule="auto"/>
        <w:rPr>
          <w:sz w:val="20"/>
          <w:szCs w:val="20"/>
          <w:color w:val="auto"/>
        </w:rPr>
      </w:pPr>
      <w:r>
        <w:rPr>
          <w:rFonts w:ascii="Arial" w:cs="Arial" w:eastAsia="Arial" w:hAnsi="Arial"/>
          <w:sz w:val="18"/>
          <w:szCs w:val="18"/>
          <w:color w:val="auto"/>
        </w:rPr>
        <w:t>increase in affiliate advertising payments related to an 11.1% increase in the number of affiliate screens in our network as well as a slight increase in the associated effective revenue share percentages for the new affiliates for the third quarter of 2018, compared to the third quarter of 2017, partly due to the payment of minimum guarantees.</w:t>
      </w:r>
    </w:p>
    <w:p>
      <w:pPr>
        <w:spacing w:after="0" w:line="73"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$0.5 million, or 13.5%, from $3.7 million for the third quarter of 2017 to $3.2 million for the third quarter of 2018. The decrease was primarily related to a $0.6 million decrease in personnel related expenses driven by a decrease in headcount in the third quarter of 2018, compared to the third quarter of 2017 and a decrease in performance-based compensation expense accrued following an update to the projected performance against internal bonus targets during the third quarter of 2018.</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Theater access fees—founding members.</w:t>
      </w:r>
      <w:r>
        <w:rPr>
          <w:rFonts w:ascii="Arial" w:cs="Arial" w:eastAsia="Arial" w:hAnsi="Arial"/>
          <w:sz w:val="17"/>
          <w:szCs w:val="17"/>
          <w:color w:val="auto"/>
        </w:rPr>
        <w:t xml:space="preserve"> Theater access fees increased $1.6 million, or 8.8%, from $18.1 million for the third quarter of 2017 to</w:t>
      </w:r>
    </w:p>
    <w:p>
      <w:pPr>
        <w:spacing w:after="0" w:line="35" w:lineRule="exact"/>
        <w:rPr>
          <w:sz w:val="20"/>
          <w:szCs w:val="20"/>
          <w:color w:val="auto"/>
        </w:rPr>
      </w:pPr>
    </w:p>
    <w:p>
      <w:pPr>
        <w:ind w:left="580" w:right="20"/>
        <w:spacing w:after="0" w:line="254" w:lineRule="auto"/>
        <w:rPr>
          <w:sz w:val="20"/>
          <w:szCs w:val="20"/>
          <w:color w:val="auto"/>
        </w:rPr>
      </w:pPr>
      <w:r>
        <w:rPr>
          <w:rFonts w:ascii="Arial" w:cs="Arial" w:eastAsia="Arial" w:hAnsi="Arial"/>
          <w:sz w:val="18"/>
          <w:szCs w:val="18"/>
          <w:color w:val="auto"/>
        </w:rPr>
        <w:t>$19.7 million for the third quarter of 2018. The expense associated with founding member attendance increased $0.9 million due to a 9.1% increase in founding member attendance and $0.6 million due to an increase in the expense associated with the founding member digital screens that are connected to the DCN (nearly 100% of our screens as of September 27, 2018), including higher quality digital cinema projectors and related equipment, due primarily to the annual 5% increase specified in the ESAs.</w:t>
      </w:r>
    </w:p>
    <w:p>
      <w:pPr>
        <w:spacing w:after="0" w:line="82"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$1.9 million, or 11.0%, from $17.2 million for the third quarter of 2017 to $15.3 million for the third quarter of 2018. The decrease in selling and marketing costs was primarily due to a $2.0 million decrease in personnel related expenses driven by lower commission expense paid to our sales team as a result of lower revenue in the third quarter of 2018, compared to the third quarter of 2017 and a decrease in performance-based compensation expense accrued following an update to the projected performance against internal bonus targets during the third quarter of 2018.</w:t>
      </w:r>
    </w:p>
    <w:p>
      <w:pPr>
        <w:spacing w:after="0" w:line="80" w:lineRule="exact"/>
        <w:rPr>
          <w:sz w:val="20"/>
          <w:szCs w:val="20"/>
          <w:color w:val="auto"/>
        </w:rPr>
      </w:pPr>
    </w:p>
    <w:p>
      <w:pPr>
        <w:ind w:left="580" w:right="40"/>
        <w:spacing w:after="0" w:line="293"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increased $1.0 million, or 18.5%, from $5.4 million in the third quarter of 2017 to $6.4 million in the third quarter of 2018. Administrative and other costs increased primarily due to 1) an increase of $0.4 million related to our digital service offerings for personnel related costs, consulting costs, and licensing costs, 2) a $0.4 million increase in contract labor related to additional consulting services, and 3) a $0.4 million increase in rent expense due to the absence of accelerated deferred rent which decreased rent expense in the third quarter of 2017. These increases in administrative and other costs were partially offset by a $0.5 million decrease in performance-based compensation expense accrued following an update to the projected performance against internal bonus targets during the third quarter of 2018.</w:t>
      </w:r>
    </w:p>
    <w:p>
      <w:pPr>
        <w:spacing w:after="0" w:line="57" w:lineRule="exact"/>
        <w:rPr>
          <w:sz w:val="20"/>
          <w:szCs w:val="20"/>
          <w:color w:val="auto"/>
        </w:rPr>
      </w:pPr>
    </w:p>
    <w:p>
      <w:pPr>
        <w:ind w:left="580" w:right="80"/>
        <w:spacing w:after="0" w:line="255" w:lineRule="auto"/>
        <w:rPr>
          <w:sz w:val="20"/>
          <w:szCs w:val="20"/>
          <w:color w:val="auto"/>
        </w:rPr>
      </w:pPr>
      <w:r>
        <w:rPr>
          <w:rFonts w:ascii="Arial" w:cs="Arial" w:eastAsia="Arial" w:hAnsi="Arial"/>
          <w:sz w:val="18"/>
          <w:szCs w:val="18"/>
          <w:u w:val="single" w:color="auto"/>
          <w:color w:val="auto"/>
        </w:rPr>
        <w:t>Administrative fee—managing member.</w:t>
      </w:r>
      <w:r>
        <w:rPr>
          <w:rFonts w:ascii="Arial" w:cs="Arial" w:eastAsia="Arial" w:hAnsi="Arial"/>
          <w:sz w:val="18"/>
          <w:szCs w:val="18"/>
          <w:color w:val="auto"/>
        </w:rPr>
        <w:t xml:space="preserve"> Administrative fee—managing member decreased $0.5 million, or 14.7% from $3.4 million for the third quarter of 2017 to $2.9 million for the third quarter of 2018 primarily due to a $0.7 million decrease in personnel related expenses driven by a decrease in performance-based compensation expense accrued following an update to the projected performance against internal bonus targets during the third quarter of 2018, partially offset by a $0.2 million an increase in legal and professional expense driven by legal fees incurred related to the negotiation of the settlement agreement with a large shareholder. Amounts recorded are based on the terms of the management services agreement which states NCM LLC pays NCM, Inc. service fees which are equal to the cost of NCM, Inc. employees and any reimbursable costs incurred by NCM, Inc.</w:t>
      </w:r>
    </w:p>
    <w:p>
      <w:pPr>
        <w:spacing w:after="0" w:line="81"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$0.6 million, or 6.4%, from $9.4 million for the third quarter of 2017 to $10.0 million for the third quarter of 2018 due to an increase in amortization expense of intangible assets from our annual common unit adjustment and an increase in depreciation expense primarily from new equipment and leasehold improvements associated with the relocation of our headquarters.</w:t>
      </w:r>
    </w:p>
    <w:p>
      <w:pPr>
        <w:spacing w:after="0" w:line="79" w:lineRule="exact"/>
        <w:rPr>
          <w:sz w:val="20"/>
          <w:szCs w:val="20"/>
          <w:color w:val="auto"/>
        </w:rPr>
      </w:pPr>
    </w:p>
    <w:p>
      <w:pPr>
        <w:ind w:right="320" w:firstLine="540"/>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$0.9 million, or 6.9%, from $13.0 million for the third quarter of 2017 to $13.9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third quarter of 2018. The following table shows the changes in non-operating expense for the third quarter of 2018 and the third quarter of 2017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Q3 2018</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 2017</w:t>
            </w: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Q3 2018 to Q3 2017</w:t>
            </w:r>
          </w:p>
        </w:tc>
        <w:tc>
          <w:tcPr>
            <w:tcW w:w="1560" w:type="dxa"/>
            <w:vAlign w:val="bottom"/>
          </w:tcPr>
          <w:p>
            <w:pPr>
              <w:jc w:val="right"/>
              <w:ind w:right="96"/>
              <w:spacing w:after="0"/>
              <w:rPr>
                <w:sz w:val="20"/>
                <w:szCs w:val="20"/>
                <w:color w:val="auto"/>
              </w:rPr>
            </w:pPr>
            <w:r>
              <w:rPr>
                <w:rFonts w:ascii="Arial" w:cs="Arial" w:eastAsia="Arial" w:hAnsi="Arial"/>
                <w:sz w:val="14"/>
                <w:szCs w:val="14"/>
                <w:b w:val="1"/>
                <w:bCs w:val="1"/>
                <w:color w:val="auto"/>
              </w:rPr>
              <w:t>Q3 2018 to Q3 2017</w:t>
            </w: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020" w:type="dxa"/>
            <w:vAlign w:val="bottom"/>
            <w:tcBorders>
              <w:top w:val="single" w:sz="8" w:color="auto"/>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12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13.9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40"/>
        <w:spacing w:after="0" w:line="264" w:lineRule="auto"/>
        <w:rPr>
          <w:sz w:val="20"/>
          <w:szCs w:val="20"/>
          <w:color w:val="auto"/>
        </w:rPr>
      </w:pPr>
      <w:r>
        <w:rPr>
          <w:rFonts w:ascii="Arial" w:cs="Arial" w:eastAsia="Arial" w:hAnsi="Arial"/>
          <w:sz w:val="18"/>
          <w:szCs w:val="18"/>
          <w:color w:val="auto"/>
        </w:rPr>
        <w:t>The increase in non-operating expense was due primarily to a $1.3 million increase in interest on borrowings related to a 0.33% increase in our weighted average interest rate driven by an increase in the LIBOR rate on our term loans and a 0.25% increase in the senior secured credit facility interest rate for the third quarter of 2018, compared to the third quarter of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8" w:right="239" w:bottom="1440" w:gutter="0" w:footer="0" w:header="0"/>
        </w:sectPr>
      </w:pPr>
    </w:p>
    <w:bookmarkStart w:id="27" w:name="page28"/>
    <w:bookmarkEnd w:id="27"/>
    <w:p>
      <w:pPr>
        <w:ind w:right="360"/>
        <w:spacing w:after="0" w:line="277" w:lineRule="auto"/>
        <w:rPr>
          <w:sz w:val="20"/>
          <w:szCs w:val="20"/>
          <w:color w:val="auto"/>
        </w:rPr>
      </w:pPr>
      <w:r>
        <w:rPr>
          <w:rFonts w:ascii="Arial" w:cs="Arial" w:eastAsia="Arial" w:hAnsi="Arial"/>
          <w:sz w:val="18"/>
          <w:szCs w:val="18"/>
          <w:color w:val="auto"/>
        </w:rPr>
        <w:t>This increase was partially offset by an increase in other non-operating income primarily related to a $0.3 million gain realized during the third quarter of 2018 on the repurchase of some of our Notes due 2026.</w:t>
      </w:r>
    </w:p>
    <w:p>
      <w:pPr>
        <w:spacing w:after="0" w:line="62" w:lineRule="exact"/>
        <w:rPr>
          <w:sz w:val="20"/>
          <w:szCs w:val="20"/>
          <w:color w:val="auto"/>
        </w:rPr>
      </w:pPr>
    </w:p>
    <w:p>
      <w:pPr>
        <w:jc w:val="both"/>
        <w:ind w:right="260" w:firstLine="5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$8.8 million from $37.3 million for the third quarter of 2017 to $28.5 million for the third quarter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net income was due to a decrease in operating income of $8.0 million related to lower revenue and an increase of $0.9 million in non-operating expenses, as described further above, partially offset by an increase in income tax benefit of $0.1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27, 2018 and September 28, 2017</w:t>
      </w:r>
    </w:p>
    <w:p>
      <w:pPr>
        <w:spacing w:after="0" w:line="212" w:lineRule="exact"/>
        <w:rPr>
          <w:sz w:val="20"/>
          <w:szCs w:val="20"/>
          <w:color w:val="auto"/>
        </w:rPr>
      </w:pPr>
    </w:p>
    <w:p>
      <w:pPr>
        <w:jc w:val="center"/>
        <w:ind w:left="260" w:right="20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6.5%, from $285.4 million for the nine months ended September 28, 2017 to $304.0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2018. The following is a summary of revenue by category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1"/>
              </w:rPr>
              <w:t>September 27, 2018</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September 28, 2017</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rPr>
              <w:t>YTD 2018 to YTD</w:t>
            </w:r>
          </w:p>
        </w:tc>
        <w:tc>
          <w:tcPr>
            <w:tcW w:w="12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YTD 2018 to YTD 2017</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Local and regional advertising revenue</w:t>
            </w:r>
          </w:p>
        </w:tc>
        <w:tc>
          <w:tcPr>
            <w:tcW w:w="12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11420" w:type="dxa"/>
            <w:vAlign w:val="bottom"/>
            <w:gridSpan w:val="11"/>
          </w:tcPr>
          <w:p>
            <w:pPr>
              <w:ind w:left="660"/>
              <w:spacing w:after="0"/>
              <w:rPr>
                <w:sz w:val="20"/>
                <w:szCs w:val="20"/>
                <w:color w:val="auto"/>
              </w:rPr>
            </w:pPr>
            <w:r>
              <w:rPr>
                <w:rFonts w:ascii="Arial" w:cs="Arial" w:eastAsia="Arial" w:hAnsi="Arial"/>
                <w:sz w:val="18"/>
                <w:szCs w:val="18"/>
                <w:color w:val="auto"/>
                <w:w w:val="91"/>
              </w:rPr>
              <w:t>The following table shows data on theater attendance and revenue per attendee for the nine months ended September 27, 2018 and September 28,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1"/>
              </w:rPr>
              <w:t>September 27,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3"/>
              </w:rPr>
              <w:t>September 28, 2017</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YTD 2018 to YTD 2017</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advertising revenue per attendee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0.396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Local and regional advertising revenue per attendee</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0.122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0.138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 beverage revenue) per attendee</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0.534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advertising revenue per attendee</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0.567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0.580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492.1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100" w:right="20" w:hanging="322"/>
        <w:spacing w:after="0" w:line="308"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38" w:lineRule="exact"/>
        <w:rPr>
          <w:sz w:val="20"/>
          <w:szCs w:val="20"/>
          <w:color w:val="auto"/>
        </w:rPr>
      </w:pPr>
    </w:p>
    <w:p>
      <w:pPr>
        <w:ind w:left="580" w:right="200"/>
        <w:spacing w:after="0" w:line="291"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$19.5 million, or 10.0%, increase in national advertising revenue (excluding beverage revenue from the founding members) was due primarily to a 6.6% increase in national advertising CPMs (excluding beverage) and a 4.4% increase in impressions sold. The increase in national advertising CPMs was due primarily to an increase in scatter market demand in the first nine months of 2018, compared to the first nine months of 2017. The increase in impressions sold was primarily related to an 8.9% increase in network attendance, partially offset by a decrease in national inventory utilization, from 113.9% for the first nine months of 2017 to 109.1% for the first nine months of 2018. Inventory utilization is calculated as utilized impressions divided by total advertising impressions, which is based on eleven 30-second salable national advertising units in our Noovie pre-show, which can be expanded, should market demand dictate.</w:t>
      </w:r>
    </w:p>
    <w:p>
      <w:pPr>
        <w:spacing w:after="0" w:line="59" w:lineRule="exact"/>
        <w:rPr>
          <w:sz w:val="20"/>
          <w:szCs w:val="20"/>
          <w:color w:val="auto"/>
        </w:rPr>
      </w:pPr>
    </w:p>
    <w:p>
      <w:pPr>
        <w:ind w:left="580" w:right="20"/>
        <w:spacing w:after="0" w:line="297"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$2.2 million, or 3.2%, decrease in local and regional advertising revenue was primarily due to an 8.2% decrease in the total contract volume, partially offset by a 3.9% increase in average contract value in the first nine months of 2018, compared to the first nine months of 2017. The decrease in total contract volume was primarily related to a decrease in the number of contracts over $100,000 within the hotel and airline categories in the first nine months of 2018, compared to the first nine months of 2017. The increase in average contract value was driven by significant regional contracts within the internet and entertainment categories during the first nine months of 2018.</w:t>
      </w:r>
    </w:p>
    <w:p>
      <w:pPr>
        <w:spacing w:after="0" w:line="50" w:lineRule="exact"/>
        <w:rPr>
          <w:sz w:val="20"/>
          <w:szCs w:val="20"/>
          <w:color w:val="auto"/>
        </w:rPr>
      </w:pPr>
    </w:p>
    <w:p>
      <w:pPr>
        <w:ind w:left="580" w:right="780"/>
        <w:spacing w:after="0" w:line="277"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$1.3 million, or 5.7%, increase in national advertising revenue from founding members' beverage concessionaire agreements was primarily due to a 7.8% increase in founding member attendance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8" w:right="239" w:bottom="1440" w:gutter="0" w:footer="0" w:header="0"/>
        </w:sectPr>
      </w:pPr>
    </w:p>
    <w:bookmarkStart w:id="28" w:name="page29"/>
    <w:bookmarkEnd w:id="28"/>
    <w:p>
      <w:pPr>
        <w:ind w:left="580" w:right="180"/>
        <w:spacing w:after="0" w:line="308" w:lineRule="auto"/>
        <w:rPr>
          <w:sz w:val="20"/>
          <w:szCs w:val="20"/>
          <w:color w:val="auto"/>
        </w:rPr>
      </w:pPr>
      <w:r>
        <w:rPr>
          <w:rFonts w:ascii="Arial" w:cs="Arial" w:eastAsia="Arial" w:hAnsi="Arial"/>
          <w:sz w:val="17"/>
          <w:szCs w:val="17"/>
          <w:color w:val="auto"/>
        </w:rPr>
        <w:t>and an increase in beverage revenue CPMs, in the first nine months of 2018, compared to the first nine months of 2017. The 2018 beverage revenue CPM is based on the change in CPM during segment one of our pre-show from 2016 to 2017, which increased 1.1%.</w:t>
      </w:r>
    </w:p>
    <w:p>
      <w:pPr>
        <w:spacing w:after="0" w:line="38" w:lineRule="exact"/>
        <w:rPr>
          <w:sz w:val="20"/>
          <w:szCs w:val="20"/>
          <w:color w:val="auto"/>
        </w:rPr>
      </w:pPr>
    </w:p>
    <w:p>
      <w:pPr>
        <w:ind w:right="120" w:firstLine="540"/>
        <w:spacing w:after="0" w:line="264"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increased $8.8 million, or 4.4%, from $201.7 million for the nine months ended September 28, 2017 to</w:t>
      </w:r>
      <w:r>
        <w:rPr>
          <w:rFonts w:ascii="Arial" w:cs="Arial" w:eastAsia="Arial" w:hAnsi="Arial"/>
          <w:sz w:val="18"/>
          <w:szCs w:val="18"/>
          <w:i w:val="1"/>
          <w:iCs w:val="1"/>
          <w:color w:val="auto"/>
        </w:rPr>
        <w:t xml:space="preserve"> </w:t>
      </w:r>
      <w:r>
        <w:rPr>
          <w:rFonts w:ascii="Arial" w:cs="Arial" w:eastAsia="Arial" w:hAnsi="Arial"/>
          <w:sz w:val="18"/>
          <w:szCs w:val="18"/>
          <w:color w:val="auto"/>
        </w:rPr>
        <w:t>$210.5 million for the nine months ended September 27, 2018. The following table shows the changes in operating expense for the nine months ended September 27, 2018 and September 28, 2017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September 27, 2018</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September 28, 2017</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rPr>
              <w:t>YTD 2018 to YTD</w:t>
            </w:r>
          </w:p>
        </w:tc>
        <w:tc>
          <w:tcPr>
            <w:tcW w:w="120" w:type="dxa"/>
            <w:vAlign w:val="bottom"/>
          </w:tcPr>
          <w:p>
            <w:pPr>
              <w:spacing w:after="0"/>
              <w:rPr>
                <w:sz w:val="13"/>
                <w:szCs w:val="13"/>
                <w:color w:val="auto"/>
              </w:rPr>
            </w:pPr>
          </w:p>
        </w:tc>
        <w:tc>
          <w:tcPr>
            <w:tcW w:w="1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YTD 2018 to YTD 2017</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Network costs</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Theater access fees—founding members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Selling and marketing costs</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and other costs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Administrative fee—managing member</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210.5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$5.1 million, or 23.8%, from $21.4 million for the first nine months of 2017 to</w:t>
      </w:r>
    </w:p>
    <w:p>
      <w:pPr>
        <w:spacing w:after="0" w:line="35" w:lineRule="exact"/>
        <w:rPr>
          <w:sz w:val="20"/>
          <w:szCs w:val="20"/>
          <w:color w:val="auto"/>
        </w:rPr>
      </w:pPr>
    </w:p>
    <w:p>
      <w:pPr>
        <w:jc w:val="both"/>
        <w:ind w:left="580" w:right="140"/>
        <w:spacing w:after="0" w:line="292" w:lineRule="auto"/>
        <w:rPr>
          <w:sz w:val="20"/>
          <w:szCs w:val="20"/>
          <w:color w:val="auto"/>
        </w:rPr>
      </w:pPr>
      <w:r>
        <w:rPr>
          <w:rFonts w:ascii="Arial" w:cs="Arial" w:eastAsia="Arial" w:hAnsi="Arial"/>
          <w:sz w:val="16"/>
          <w:szCs w:val="16"/>
          <w:color w:val="auto"/>
        </w:rPr>
        <w:t>$26.5 million for the first nine months of 2018. This increase was primarily due to a $4.5 million increase in affiliate advertising payments related to higher revenue, a 10.5% increase in affiliate screens in our network during the first nine months of 2018, compared to the first nine months of 2017, as well as a slight increase in the associated effective revenue share percentages for the new affiliates for the first nine months of 2018, compared to the first nine months of 2017, partly due to the payment of minimum guarantees. Additionally, there was a $0.8 million increase in personnel related expenses primarily driven by higher salary expense and accrued performance-based compensation in 2018, as compared to 2017.</w:t>
      </w:r>
    </w:p>
    <w:p>
      <w:pPr>
        <w:spacing w:after="0" w:line="55" w:lineRule="exact"/>
        <w:rPr>
          <w:sz w:val="20"/>
          <w:szCs w:val="20"/>
          <w:color w:val="auto"/>
        </w:rPr>
      </w:pPr>
    </w:p>
    <w:p>
      <w:pPr>
        <w:ind w:left="580" w:right="20"/>
        <w:spacing w:after="0" w:line="276" w:lineRule="auto"/>
        <w:rPr>
          <w:sz w:val="20"/>
          <w:szCs w:val="20"/>
          <w:color w:val="auto"/>
        </w:rPr>
      </w:pPr>
      <w:r>
        <w:rPr>
          <w:rFonts w:ascii="Arial" w:cs="Arial" w:eastAsia="Arial" w:hAnsi="Arial"/>
          <w:sz w:val="17"/>
          <w:szCs w:val="17"/>
          <w:u w:val="single" w:color="auto"/>
          <w:color w:val="auto"/>
        </w:rPr>
        <w:t>Network costs.</w:t>
      </w:r>
      <w:r>
        <w:rPr>
          <w:rFonts w:ascii="Arial" w:cs="Arial" w:eastAsia="Arial" w:hAnsi="Arial"/>
          <w:sz w:val="17"/>
          <w:szCs w:val="17"/>
          <w:color w:val="auto"/>
        </w:rPr>
        <w:t xml:space="preserve"> Network costs decreased $1.9 million, or 16.0%, from $11.9 million for the first nine months of 2017 to $10.0 million for the first nine months of 2018. This decrease was primarily due to a $1.9 million decrease in personnel related expenses in the first nine months of 2018 as compared to the first nine months of 2017. This decrease is primarily due to severance expense recorded in the first quarter of 2017 due to the elimination of certain positions within network operations and media production and the resulting decrease in salary expense in the first nine months of 2018, compared to the first nine months of 2017, due to the aforementioned reduction in headcount.</w:t>
      </w:r>
    </w:p>
    <w:p>
      <w:pPr>
        <w:spacing w:after="0" w:line="64" w:lineRule="exact"/>
        <w:rPr>
          <w:sz w:val="20"/>
          <w:szCs w:val="20"/>
          <w:color w:val="auto"/>
        </w:rPr>
      </w:pPr>
    </w:p>
    <w:p>
      <w:pPr>
        <w:ind w:left="580" w:right="100"/>
        <w:spacing w:after="0" w:line="257" w:lineRule="auto"/>
        <w:rPr>
          <w:sz w:val="20"/>
          <w:szCs w:val="20"/>
          <w:color w:val="auto"/>
        </w:rPr>
      </w:pPr>
      <w:r>
        <w:rPr>
          <w:rFonts w:ascii="Arial" w:cs="Arial" w:eastAsia="Arial" w:hAnsi="Arial"/>
          <w:sz w:val="18"/>
          <w:szCs w:val="18"/>
          <w:u w:val="single" w:color="auto"/>
          <w:color w:val="auto"/>
        </w:rPr>
        <w:t>Theater access fees—founding members.</w:t>
      </w:r>
      <w:r>
        <w:rPr>
          <w:rFonts w:ascii="Arial" w:cs="Arial" w:eastAsia="Arial" w:hAnsi="Arial"/>
          <w:sz w:val="18"/>
          <w:szCs w:val="18"/>
          <w:color w:val="auto"/>
        </w:rPr>
        <w:t xml:space="preserve"> Theater access fees increased $4.4 million, or 7.7%, from $57.4 million for the first nine months of 2017 to $61.8 million for the first nine months of 2018. The expense associated with founding member attendance increased $2.6 million due to a 7.8% increase in founding member attendance and $1.8 million due to an increase in the expense associated with the founding member digital screens that are connected to the DCN (nearly 100% of our screens as of September 27, 2018), including higher quality digital cinema projectors and related equipment, due to the annual 5% increase specified in the ESAs.</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7"/>
          <w:szCs w:val="17"/>
          <w:u w:val="single" w:color="auto"/>
          <w:color w:val="auto"/>
        </w:rPr>
        <w:t>Selling and marketing costs.</w:t>
      </w:r>
      <w:r>
        <w:rPr>
          <w:rFonts w:ascii="Arial" w:cs="Arial" w:eastAsia="Arial" w:hAnsi="Arial"/>
          <w:sz w:val="17"/>
          <w:szCs w:val="17"/>
          <w:color w:val="auto"/>
        </w:rPr>
        <w:t xml:space="preserve"> Selling and marketing costs decreased $6.2 million, or 11.4%, from $54.2 million for the first nine months of 2017 to</w:t>
      </w:r>
    </w:p>
    <w:p>
      <w:pPr>
        <w:spacing w:after="0" w:line="35" w:lineRule="exact"/>
        <w:rPr>
          <w:sz w:val="20"/>
          <w:szCs w:val="20"/>
          <w:color w:val="auto"/>
        </w:rPr>
      </w:pPr>
    </w:p>
    <w:p>
      <w:pPr>
        <w:jc w:val="both"/>
        <w:ind w:left="580" w:right="20"/>
        <w:spacing w:after="0" w:line="281" w:lineRule="auto"/>
        <w:rPr>
          <w:sz w:val="20"/>
          <w:szCs w:val="20"/>
          <w:color w:val="auto"/>
        </w:rPr>
      </w:pPr>
      <w:r>
        <w:rPr>
          <w:rFonts w:ascii="Arial" w:cs="Arial" w:eastAsia="Arial" w:hAnsi="Arial"/>
          <w:sz w:val="16"/>
          <w:szCs w:val="16"/>
          <w:color w:val="auto"/>
        </w:rPr>
        <w:t>$48.0 million for the first nine months of 2018. This decrease was primarily related to a $2.9 million decrease in personnel related expenses primarily due to a decrease in commission expense related to the decrease in local revenue in the first nine months of 2018, compared to the first nine months of 2017 and lower non-cash share-based compensation expense related to a decrease in the volume of awards granted in 2018, compared to prior years.</w:t>
      </w:r>
    </w:p>
    <w:p>
      <w:pPr>
        <w:spacing w:after="0" w:line="2" w:lineRule="exact"/>
        <w:rPr>
          <w:sz w:val="20"/>
          <w:szCs w:val="20"/>
          <w:color w:val="auto"/>
        </w:rPr>
      </w:pPr>
    </w:p>
    <w:p>
      <w:pPr>
        <w:ind w:left="580" w:right="100"/>
        <w:spacing w:after="0" w:line="292" w:lineRule="auto"/>
        <w:rPr>
          <w:sz w:val="20"/>
          <w:szCs w:val="20"/>
          <w:color w:val="auto"/>
        </w:rPr>
      </w:pPr>
      <w:r>
        <w:rPr>
          <w:rFonts w:ascii="Arial" w:cs="Arial" w:eastAsia="Arial" w:hAnsi="Arial"/>
          <w:sz w:val="16"/>
          <w:szCs w:val="16"/>
          <w:color w:val="auto"/>
        </w:rPr>
        <w:t>The decrease was also due to a $3.1 million non-cash impairment charge realized in the first nine months of 2017, compared to $0.4 million realized in the first nine months of 2018, related to investments obtained in prior years in exchange for advertising services, a $0.6 million decrease in market research expense, and a $0.6 million decrease in online publisher expense related to a decrease in our agreed upon digital advertising rates in the first nine months of 2018, compared to the first nine months of 2017. These expenses were partially offset by a $1.2 million increase in non-cash barter expense primarily related to the nature and timing of these expenses in the first nine months of 2018, compared to the first nine months of 2017.</w:t>
      </w:r>
    </w:p>
    <w:p>
      <w:pPr>
        <w:spacing w:after="0" w:line="55" w:lineRule="exact"/>
        <w:rPr>
          <w:sz w:val="20"/>
          <w:szCs w:val="20"/>
          <w:color w:val="auto"/>
        </w:rPr>
      </w:pPr>
    </w:p>
    <w:p>
      <w:pPr>
        <w:ind w:left="580" w:right="100"/>
        <w:spacing w:after="0" w:line="264"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increased $4.7 million, or 25.4%, from $18.5 million for the first nine months of 2017 to $23.2 million for the first nine months of 2018. Administrative and other costs increased primarily due to 1) an increase of $3.3 million related to our digital service offerings for personnel related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9" w:name="page30"/>
    <w:bookmarkEnd w:id="29"/>
    <w:p>
      <w:pPr>
        <w:ind w:left="580" w:right="40"/>
        <w:spacing w:after="0" w:line="290" w:lineRule="auto"/>
        <w:rPr>
          <w:sz w:val="20"/>
          <w:szCs w:val="20"/>
          <w:color w:val="auto"/>
        </w:rPr>
      </w:pPr>
      <w:r>
        <w:rPr>
          <w:rFonts w:ascii="Arial" w:cs="Arial" w:eastAsia="Arial" w:hAnsi="Arial"/>
          <w:sz w:val="16"/>
          <w:szCs w:val="16"/>
          <w:color w:val="auto"/>
        </w:rPr>
        <w:t>costs, consulting costs, an accrual of certain performance bonuses and licensing costs, 2) a $2.0 million increase in other personnel related expenses driven by a decrease in capitalized personnel costs resulting from the nature of the work being performed by our information technology department and an increase in bonus expense driven by more favorable projected performance against internal bonus targets in 2018, 3) a $0.5 million increase in contract labor related to additional consulting services in the first nine months of 2018, as compared to the first nine months of 2017, 4) a $0.4 million increase in rent expense due to the absence of accelerated deferred rent which decreased rent expense in the third quarter of 2017, and 5) a $0.3 million increase in moving expenses in the first nine months of 2018 related to the relocation of our headquarters. These increases in administrative and other costs were partially offset by the absence of a $1.8 million non-cash early lease termination charge for our previous corporate headquarters (the payment was reimbursed by the landlord) that occurred in the first nine months of 2017.</w:t>
      </w:r>
    </w:p>
    <w:p>
      <w:pPr>
        <w:spacing w:after="0" w:line="58"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u w:val="single" w:color="auto"/>
          <w:color w:val="auto"/>
        </w:rPr>
        <w:t>Administrative fee—managing member.</w:t>
      </w:r>
      <w:r>
        <w:rPr>
          <w:rFonts w:ascii="Arial" w:cs="Arial" w:eastAsia="Arial" w:hAnsi="Arial"/>
          <w:sz w:val="17"/>
          <w:szCs w:val="17"/>
          <w:color w:val="auto"/>
        </w:rPr>
        <w:t xml:space="preserve"> Administrative fee-managing member increased $1.4 million, or 13.9% from $10.1 million for the first nine months of 2017 to $11.5 million for the first nine months of 2018 primarily due to a $1.6 million increase in legal and professional fees driven by $1.4 million in legal fees incurred related to the negotiation of the settlement agreement with a large shareholder during the second quarter of 2018. Administrative fee—managing member also increased $0.6 million in bonus expense due to more favorable projected performance against internal bonus targets in 2018 as compared to 2017. These expenses were partially offset by a $0.4 million decrease in non-cash share-based compensation expense related to a decrease in the volume of awards granted in 2018, compared to prior years, and a $0.2 million decrease in CEO transition costs that that occurred in the first nine months of 2017, compared to the first nine months of 2018. Amounts recorded are based on the terms of the management services agreement which states NCM LLC pays NCM, Inc. service fees which are equal to the cost of NCM, Inc. employees and any reimbursable costs incurred by NCM, Inc.</w:t>
      </w:r>
    </w:p>
    <w:p>
      <w:pPr>
        <w:spacing w:after="0" w:line="74"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$1.3 million, or 4.6%, from $28.2 million for the first nine months of 2017 to $29.5 million for the first nine months of 2018 due to an increase in amortization expense of intangible assets from our annual common unit adjustment and an increase in depreciation expense primarily from new equipment and leasehold improvements associated with the relocation of our headquarters.</w:t>
      </w:r>
    </w:p>
    <w:p>
      <w:pPr>
        <w:spacing w:after="0" w:line="79" w:lineRule="exact"/>
        <w:rPr>
          <w:sz w:val="20"/>
          <w:szCs w:val="20"/>
          <w:color w:val="auto"/>
        </w:rPr>
      </w:pPr>
    </w:p>
    <w:p>
      <w:pPr>
        <w:ind w:right="60" w:firstLine="540"/>
        <w:spacing w:after="0" w:line="264"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$4.0 million, or 10.3%, from $38.8 million for the nine months ended September 28,</w:t>
      </w:r>
      <w:r>
        <w:rPr>
          <w:rFonts w:ascii="Arial" w:cs="Arial" w:eastAsia="Arial" w:hAnsi="Arial"/>
          <w:sz w:val="18"/>
          <w:szCs w:val="18"/>
          <w:i w:val="1"/>
          <w:iCs w:val="1"/>
          <w:color w:val="auto"/>
        </w:rPr>
        <w:t xml:space="preserve"> </w:t>
      </w:r>
      <w:r>
        <w:rPr>
          <w:rFonts w:ascii="Arial" w:cs="Arial" w:eastAsia="Arial" w:hAnsi="Arial"/>
          <w:sz w:val="18"/>
          <w:szCs w:val="18"/>
          <w:color w:val="auto"/>
        </w:rPr>
        <w:t>2017 to $42.8 million for the nine months ended September 27, 2018. The following table shows the changes in non-operating expense for the nine months ended September 27, 2018 and September 28, 2017 (in millions):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1"/>
              </w:rPr>
              <w:t>September 27, 2018</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September 28, 2017</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rPr>
              <w:t>YTD 2018 to YTD</w:t>
            </w:r>
          </w:p>
        </w:tc>
        <w:tc>
          <w:tcPr>
            <w:tcW w:w="120" w:type="dxa"/>
            <w:vAlign w:val="bottom"/>
          </w:tcPr>
          <w:p>
            <w:pPr>
              <w:spacing w:after="0"/>
              <w:rPr>
                <w:sz w:val="13"/>
                <w:szCs w:val="13"/>
                <w:color w:val="auto"/>
              </w:rPr>
            </w:pPr>
          </w:p>
        </w:tc>
        <w:tc>
          <w:tcPr>
            <w:tcW w:w="16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YTD 2018 to YTD 2017</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loss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508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620"/>
              <w:spacing w:after="0"/>
              <w:rPr>
                <w:sz w:val="20"/>
                <w:szCs w:val="20"/>
                <w:color w:val="auto"/>
              </w:rPr>
            </w:pPr>
            <w:r>
              <w:rPr>
                <w:rFonts w:ascii="Arial" w:cs="Arial" w:eastAsia="Arial" w:hAnsi="Arial"/>
                <w:sz w:val="18"/>
                <w:szCs w:val="18"/>
                <w:color w:val="auto"/>
              </w:rPr>
              <w:t>NM = Not Meaningful</w:t>
            </w: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540"/>
        <w:spacing w:after="0" w:line="257" w:lineRule="auto"/>
        <w:rPr>
          <w:sz w:val="20"/>
          <w:szCs w:val="20"/>
          <w:color w:val="auto"/>
        </w:rPr>
      </w:pPr>
      <w:r>
        <w:rPr>
          <w:rFonts w:ascii="Arial" w:cs="Arial" w:eastAsia="Arial" w:hAnsi="Arial"/>
          <w:sz w:val="18"/>
          <w:szCs w:val="18"/>
          <w:color w:val="auto"/>
        </w:rPr>
        <w:t>The increase in non-operating expense was due primarily to a $2.9 million increase in interest on borrowings due to a 0.31% increase in our weighted average interest rate driven by an increase in the LIBOR rate on our term loans for the first nine months of 2018, compared to the first nine months of 2017 and a $0.9 million increase in other non-operating loss related to the refinancing of the senior secured credit facility during the second quarter of 2018 including a loss on the extinguishment of our previous senior secured credit facility, partially offset by a $0.3 million gain realized during the third quarter of 2018 on the repurchase of some of our Notes due 2026.</w:t>
      </w:r>
    </w:p>
    <w:p>
      <w:pPr>
        <w:spacing w:after="0" w:line="80"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$5.7 million from $44.8 million for the first nine months of 2017 to $50.5 million for the first nine months of 2018.</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in net income was due to an increase in operating income of $9.8 million related to higher revenue, partially offset by an increase of $4.0 million in non-operating expenses, as described further above, and an increase in income tax expense of $0.1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right="80" w:firstLine="540"/>
        <w:spacing w:after="0" w:line="285" w:lineRule="auto"/>
        <w:rPr>
          <w:sz w:val="20"/>
          <w:szCs w:val="20"/>
          <w:color w:val="auto"/>
        </w:rPr>
      </w:pPr>
      <w:r>
        <w:rPr>
          <w:rFonts w:ascii="Arial" w:cs="Arial" w:eastAsia="Arial" w:hAnsi="Arial"/>
          <w:sz w:val="16"/>
          <w:szCs w:val="16"/>
          <w:b w:val="1"/>
          <w:bCs w:val="1"/>
          <w:i w:val="1"/>
          <w:iCs w:val="1"/>
          <w:color w:val="auto"/>
        </w:rPr>
        <w:t>Our Marketplace</w:t>
      </w:r>
      <w:r>
        <w:rPr>
          <w:rFonts w:ascii="Arial" w:cs="Arial" w:eastAsia="Arial" w:hAnsi="Arial"/>
          <w:sz w:val="16"/>
          <w:szCs w:val="16"/>
          <w:color w:val="auto"/>
        </w:rPr>
        <w:t>— Changes in the current macro-economic environment and changes in the national, regional and local advertising markets present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uncertainties that could impact our results of operations, including the timing and amount of spending from our advertising clients as expenditures from advertisers tend to be cyclical, reflecting overall economic conditions, as well as our clients’ budgeting and buying patterns.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regional and local advertisers. Further, we could negatively be impacted by factors that could reduce the viewership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such as the expansion of reserved seating (utilized in approximately 48.2% of our network as of September 27, 2018), online ticketing, an increase in the number and length of trailers for upcoming films, increased dwell time of patrons in exhibitor lobbies before showtime and lower network attendance, which could result from shortening of release windows, more alternative methods of delivering movies to consumers, lower consumer confidence and disposable income and a decline in the motion picture box office. The motion picture box office could be impacted by audience’s interest in the available motion pictures, shrinking theatrical exclusive release windows, and the marketing efforts of the major motion picture studios. These factors may affect the attractiveness of our offerings to advertisers. If pre-show viewership declines significantly, we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our revenues and results of operations.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engagement, availability of additional inventory, and upgrades to our inventory management and data management systems. We could also benefit if the effectiveness of cinema advertising improves relative to other advertising mediums.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continue to participate in the advertising upfront marketplace. This allows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higher priced scatter market. Volatility in scatter market demand could cause our financial results to vary period to period.</w:t>
      </w:r>
    </w:p>
    <w:p>
      <w:pPr>
        <w:spacing w:after="0" w:line="81"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Number of screens</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29, 2017</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Closures, net of openings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September 27, 2018</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16,777</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21,178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340"/>
              <w:spacing w:after="0"/>
              <w:rPr>
                <w:sz w:val="20"/>
                <w:szCs w:val="20"/>
                <w:color w:val="auto"/>
              </w:rPr>
            </w:pPr>
            <w:r>
              <w:rPr>
                <w:rFonts w:ascii="Arial" w:cs="Arial" w:eastAsia="Arial" w:hAnsi="Arial"/>
                <w:sz w:val="18"/>
                <w:szCs w:val="18"/>
                <w:color w:val="auto"/>
              </w:rPr>
              <w:t>___________________________________________________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  Represents six new affiliates added to our network during the first nine months of 2018.</w:t>
      </w:r>
    </w:p>
    <w:p>
      <w:pPr>
        <w:spacing w:after="0" w:line="117" w:lineRule="exact"/>
        <w:rPr>
          <w:sz w:val="20"/>
          <w:szCs w:val="20"/>
          <w:color w:val="auto"/>
        </w:rPr>
      </w:pPr>
    </w:p>
    <w:p>
      <w:pPr>
        <w:ind w:right="120" w:firstLine="540"/>
        <w:spacing w:after="0" w:line="254" w:lineRule="auto"/>
        <w:rPr>
          <w:sz w:val="20"/>
          <w:szCs w:val="20"/>
          <w:color w:val="auto"/>
        </w:rPr>
      </w:pPr>
      <w:r>
        <w:rPr>
          <w:rFonts w:ascii="Arial" w:cs="Arial" w:eastAsia="Arial" w:hAnsi="Arial"/>
          <w:sz w:val="18"/>
          <w:szCs w:val="18"/>
          <w:color w:val="auto"/>
        </w:rPr>
        <w:t>We believe that adding screens and attendees to our network will provide our advertising clients with a better marketing product with increased reach and improved geographic coverage.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2" w:lineRule="exact"/>
        <w:rPr>
          <w:sz w:val="20"/>
          <w:szCs w:val="20"/>
          <w:color w:val="auto"/>
        </w:rPr>
      </w:pPr>
    </w:p>
    <w:p>
      <w:pPr>
        <w:ind w:right="200" w:firstLine="567"/>
        <w:spacing w:after="0" w:line="254" w:lineRule="auto"/>
        <w:rPr>
          <w:sz w:val="20"/>
          <w:szCs w:val="20"/>
          <w:color w:val="auto"/>
        </w:rPr>
      </w:pPr>
      <w:r>
        <w:rPr>
          <w:rFonts w:ascii="Arial" w:cs="Arial" w:eastAsia="Arial" w:hAnsi="Arial"/>
          <w:sz w:val="18"/>
          <w:szCs w:val="18"/>
          <w:b w:val="1"/>
          <w:bCs w:val="1"/>
          <w:i w:val="1"/>
          <w:iCs w:val="1"/>
          <w:color w:val="auto"/>
        </w:rPr>
        <w:t>Integration and Other Encumbered Theater Payments</w:t>
      </w:r>
      <w:r>
        <w:rPr>
          <w:rFonts w:ascii="Arial" w:cs="Arial" w:eastAsia="Arial" w:hAnsi="Arial"/>
          <w:sz w:val="18"/>
          <w:szCs w:val="18"/>
          <w:color w:val="auto"/>
        </w:rPr>
        <w:t>— AMC received NCM LLC common membership units in accordance with the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 Adjustment Agreement during the first quarter of 2017 following its acquisition of Carmike. As Carmike's theaters are subject to an existing on-screen advertising agreement with an alternative provider, AMC will make integration payments to us reflecting the estimated advertising cash flow that we would have generated if we had exclusive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4"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access to sell advertising in those theaters. The integration payments will continue until the earlier of (i) the date the theaters are transferred to our network or</w:t>
      </w:r>
    </w:p>
    <w:p>
      <w:pPr>
        <w:spacing w:after="0" w:line="46" w:lineRule="exact"/>
        <w:rPr>
          <w:sz w:val="20"/>
          <w:szCs w:val="20"/>
          <w:color w:val="auto"/>
        </w:rPr>
      </w:pPr>
    </w:p>
    <w:p>
      <w:pPr>
        <w:ind w:right="20" w:firstLine="8"/>
        <w:spacing w:after="0" w:line="288" w:lineRule="auto"/>
        <w:tabs>
          <w:tab w:leader="none" w:pos="2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expiration of the ESA. Integration payments are calculated based upon the advertising cash flow that NCM LLC would have generated if it had exclusive access to sell advertising in the theaters with pre-existing advertising agreements and fluctuate based on earnings and Adjusted OIBDA. The ESA additionally entitles NCM LLC to payments related to the founding members’ on-screen advertising commitments under their beverage concessionaire agreements for encumbered theaters. These payments are also accounted for as a reduction to the intangible asset. During the three and nine months ended September 27, 2018 and September 28, 2017, the Company recorded a reduction to net intangible assets of $5.5 million, $6.9 million, $13.3 million and $11.6 million, respectively, related to integration and other encumbered theater payments. During the three and nine months ended September 27, 2018 and September 28, 2017, NCM LLC received from AMC and Cinemark a total of $5.6 million, $4.6 million, $17.2 million and $6.1 million, respectively.</w:t>
      </w:r>
    </w:p>
    <w:p>
      <w:pPr>
        <w:spacing w:after="0" w:line="61" w:lineRule="exact"/>
        <w:rPr>
          <w:sz w:val="20"/>
          <w:szCs w:val="20"/>
          <w:color w:val="auto"/>
        </w:rPr>
      </w:pPr>
    </w:p>
    <w:p>
      <w:pPr>
        <w:ind w:right="20" w:firstLine="540"/>
        <w:spacing w:after="0" w:line="284" w:lineRule="auto"/>
        <w:rPr>
          <w:sz w:val="20"/>
          <w:szCs w:val="20"/>
          <w:color w:val="auto"/>
        </w:rPr>
      </w:pPr>
      <w:r>
        <w:rPr>
          <w:rFonts w:ascii="Arial" w:cs="Arial" w:eastAsia="Arial" w:hAnsi="Arial"/>
          <w:sz w:val="16"/>
          <w:szCs w:val="16"/>
          <w:b w:val="1"/>
          <w:bCs w:val="1"/>
          <w:i w:val="1"/>
          <w:iCs w:val="1"/>
          <w:color w:val="auto"/>
        </w:rPr>
        <w:t>Utilization and Pricing</w:t>
      </w:r>
      <w:r>
        <w:rPr>
          <w:rFonts w:ascii="Arial" w:cs="Arial" w:eastAsia="Arial" w:hAnsi="Arial"/>
          <w:sz w:val="16"/>
          <w:szCs w:val="16"/>
          <w:color w:val="auto"/>
        </w:rPr>
        <w:t>— We have experienced volatility in our pricing (CPMs) over the years, with annual national CPM increases (decreases)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ranging from (16.4%) to 9.7% over the last five years. In the first nine months of 2018, we experienced an increase of 6.6% in national advertising CPMs (excluding beverage revenue) compared to the first nine months of 2017. This volatility in pricing can be driven by increased competition from other national video networks, including online and mobile advertising platforms, television networks and other out-of-home video networks and seasonal marketplace supply and demand characteristics. Volatility in pricing is also caused by changes in our customer mix period to period due to the variation in CPMs charged to each customer. We have also experienced volatility in our utilization over the years, with annual national inventory utilization ranging from 109.3% to</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128.3% over the last five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82"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three and nine months of 2018 and 2017,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us. Due to a 1.1% increase in segment one CPMs in 2017, the CPM on our beverage concessionaire revenue increased during the first three and nine months of 2018 by 1.1% and the remainder of 2018 will increase by an equivalent percentage.</w:t>
      </w:r>
    </w:p>
    <w:p>
      <w:pPr>
        <w:spacing w:after="0" w:line="70" w:lineRule="exact"/>
        <w:rPr>
          <w:sz w:val="20"/>
          <w:szCs w:val="20"/>
          <w:color w:val="auto"/>
        </w:rPr>
      </w:pPr>
    </w:p>
    <w:p>
      <w:pPr>
        <w:ind w:right="140" w:firstLine="540"/>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our access to the founding members’ theater attendees for on-screen advertising and use of lobbies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last increase occurring in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increasing annually by 5%. As of September 27, 2018, 99%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September 27, 2018 and December 28, 2017, we had no liabilities recorded for the minimum payment, as the theater access fee was in excess of the minimum.</w:t>
      </w:r>
    </w:p>
    <w:p>
      <w:pPr>
        <w:spacing w:after="0" w:line="6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60" w:firstLine="540"/>
        <w:spacing w:after="0" w:line="273" w:lineRule="auto"/>
        <w:rPr>
          <w:sz w:val="20"/>
          <w:szCs w:val="20"/>
          <w:color w:val="auto"/>
        </w:rPr>
      </w:pPr>
      <w:r>
        <w:rPr>
          <w:rFonts w:ascii="Arial" w:cs="Arial" w:eastAsia="Arial" w:hAnsi="Arial"/>
          <w:sz w:val="17"/>
          <w:szCs w:val="17"/>
          <w:b w:val="1"/>
          <w:bCs w:val="1"/>
          <w:i w:val="1"/>
          <w:iCs w:val="1"/>
          <w:color w:val="auto"/>
        </w:rPr>
        <w:t>Debt</w:t>
      </w:r>
      <w:r>
        <w:rPr>
          <w:rFonts w:ascii="Arial" w:cs="Arial" w:eastAsia="Arial" w:hAnsi="Arial"/>
          <w:sz w:val="17"/>
          <w:szCs w:val="17"/>
          <w:color w:val="auto"/>
        </w:rPr>
        <w:t>—In June 2018, we entered into a credit agreement to replace our senior secured credit facility. Consistent with the structure of the previous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facility, the new credit agreement consists of a term loan facility and a revolving credit facility for $270.0 million and $175.0 million, respectively. The new agreement extends the maturity dates by 5.5 years to June 20, 2025 for the term loan facility and 3.5 years to June 20, 2023 for the revolving credit facility, in each case contingent upon the refinancing of the Notes due 2022 on or prior to October 30, 2021. If the Notes due 2022 are not refinanced on or prior to October 30, 2021, then both the term loan facility and the revolving credit facility will instead mature on December 30, 2021. The interest rate under the term loan facility is either the LIBOR index plus 3.00% or the base rate plus 2.00% and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2" w:name="page33"/>
    <w:bookmarkEnd w:id="32"/>
    <w:p>
      <w:pPr>
        <w:ind w:right="80"/>
        <w:spacing w:after="0" w:line="264" w:lineRule="auto"/>
        <w:rPr>
          <w:sz w:val="20"/>
          <w:szCs w:val="20"/>
          <w:color w:val="auto"/>
        </w:rPr>
      </w:pPr>
      <w:r>
        <w:rPr>
          <w:rFonts w:ascii="Arial" w:cs="Arial" w:eastAsia="Arial" w:hAnsi="Arial"/>
          <w:sz w:val="18"/>
          <w:szCs w:val="18"/>
          <w:color w:val="auto"/>
        </w:rPr>
        <w:t>rate under the revolving credit facility is either the LIBOR index plus an applicable margin ranging from 1.75%-2.25% or the base rate plus an applicable margin ranging from 0.75% - 1.25%. The applicable margin for the revolving credit facility is determined quarterly and is subject to adjustment based upon a consolidated net senior secured leverage ratio for NCM LLC.</w:t>
      </w:r>
    </w:p>
    <w:p>
      <w:pPr>
        <w:spacing w:after="0" w:line="73" w:lineRule="exact"/>
        <w:rPr>
          <w:sz w:val="20"/>
          <w:szCs w:val="20"/>
          <w:color w:val="auto"/>
        </w:rPr>
      </w:pPr>
    </w:p>
    <w:p>
      <w:pPr>
        <w:ind w:right="20" w:firstLine="540"/>
        <w:spacing w:after="0" w:line="255" w:lineRule="auto"/>
        <w:rPr>
          <w:sz w:val="20"/>
          <w:szCs w:val="20"/>
          <w:color w:val="auto"/>
        </w:rPr>
      </w:pPr>
      <w:r>
        <w:rPr>
          <w:rFonts w:ascii="Arial" w:cs="Arial" w:eastAsia="Arial" w:hAnsi="Arial"/>
          <w:sz w:val="18"/>
          <w:szCs w:val="18"/>
          <w:color w:val="auto"/>
        </w:rPr>
        <w:t>In August 2016, we completed a private placement of $250.0 million in aggregate principal amount of 5.750% Senior Unsecured Notes due in 2026. A portion of the proceeds were used to redeem our $200.0 million 7.875% Senior Unsecured Notes due in 2021. In September 2018, the Company repurchased and canceled a total of $7.7 million of the Notes due 2026, reducing the principal amount to $242.3 million as of September 27, 2018. This re-purchase was treated as a partial debt extinguishment and resulted in the realization of a non-operating gain, net of the write off of debt issuance costs, of $0.3 million during the three and nine months ended September 27, 2018. The re-purchase is expected to result in interest savings to maturity of approximately $3.5 million.</w:t>
      </w:r>
    </w:p>
    <w:p>
      <w:pPr>
        <w:spacing w:after="0" w:line="85" w:lineRule="exact"/>
        <w:rPr>
          <w:sz w:val="20"/>
          <w:szCs w:val="20"/>
          <w:color w:val="auto"/>
        </w:rPr>
      </w:pPr>
    </w:p>
    <w:p>
      <w:pPr>
        <w:ind w:right="600" w:firstLine="540"/>
        <w:spacing w:after="0" w:line="277" w:lineRule="auto"/>
        <w:rPr>
          <w:sz w:val="20"/>
          <w:szCs w:val="20"/>
          <w:color w:val="auto"/>
        </w:rPr>
      </w:pPr>
      <w:r>
        <w:rPr>
          <w:rFonts w:ascii="Arial" w:cs="Arial" w:eastAsia="Arial" w:hAnsi="Arial"/>
          <w:sz w:val="18"/>
          <w:szCs w:val="18"/>
          <w:color w:val="auto"/>
        </w:rPr>
        <w:t>The Company may continue to opportunistically pay down NCM LLC's outstanding debt balance, while ensuring that the Company's financial flexibility is maintained.</w:t>
      </w:r>
    </w:p>
    <w:p>
      <w:pPr>
        <w:spacing w:after="0" w:line="170" w:lineRule="exact"/>
        <w:rPr>
          <w:sz w:val="20"/>
          <w:szCs w:val="20"/>
          <w:color w:val="auto"/>
        </w:rPr>
      </w:pPr>
    </w:p>
    <w:p>
      <w:pPr>
        <w:ind w:right="100" w:firstLine="540"/>
        <w:spacing w:after="0" w:line="259" w:lineRule="auto"/>
        <w:rPr>
          <w:sz w:val="20"/>
          <w:szCs w:val="20"/>
          <w:color w:val="auto"/>
        </w:rPr>
      </w:pPr>
      <w:r>
        <w:rPr>
          <w:rFonts w:ascii="Arial" w:cs="Arial" w:eastAsia="Arial" w:hAnsi="Arial"/>
          <w:sz w:val="18"/>
          <w:szCs w:val="18"/>
          <w:color w:val="auto"/>
        </w:rPr>
        <w:t>As a result of the new senior secured credit facility, we extended the average maturities of our debt and as of September 27, 2018 the weighted average remaining maturity was 5.6 years. As of September 27, 2018, approximately 68% of our total borrowings bear interest at fixed rates. The remaining 32% of our borrowings bear interest at variable rates and as such, our net income and earnings per share could fluctuate with market interest rate fluctuations that could increase or decrease the interest paid on our borrowings.</w:t>
      </w:r>
    </w:p>
    <w:p>
      <w:pPr>
        <w:spacing w:after="0" w:line="79"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color w:val="auto"/>
        </w:rPr>
        <w:t>The senior secured credit facility contains a number of covenants and financial ratio requirements, including, (i) a consolidated net total leverage ratio covenant of 6.25 times for each quarterly period (commencing with the quarterly period ending September 27, 2018) and (ii) with respect to the revolving credit facility, a consolidated net senior secured leverage ratio covenant of 4.50 times for each quarterly period (commencing with the quarterly period ending September 27, 2018) in which a balance is outstanding on the revolving credit facility. In addition, the Company is permitted to make quarterly dividend payments and other restricted payments with its available cash as long as the Company's consolidated net senior secured leverage ratio (after giving effect to any such payment) is below 5.50 times and no default or event of default has occurred and continues to occur under the new senior secured credit facility. Refer to Note 5—</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to the unaudited Condensed Financial Statements in Item 1 of this Form 10-Q for more information regarding our borrowings.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the Common Unit Adjustment Agreement with the founding members, on an annual basis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amount of common membership units to be issued to or returned by the founding members based on theater additions or dispositions during the previous year. If AMC does not own any units at the time of a common unit adjustment and it is determined they must surrender units, then they may settle the amount in cash.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70"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79" w:lineRule="exact"/>
        <w:rPr>
          <w:sz w:val="20"/>
          <w:szCs w:val="20"/>
          <w:color w:val="auto"/>
        </w:rPr>
      </w:pPr>
    </w:p>
    <w:p>
      <w:pPr>
        <w:ind w:right="20" w:firstLine="540"/>
        <w:spacing w:after="0" w:line="276" w:lineRule="auto"/>
        <w:rPr>
          <w:sz w:val="20"/>
          <w:szCs w:val="20"/>
          <w:color w:val="auto"/>
        </w:rPr>
      </w:pPr>
      <w:r>
        <w:rPr>
          <w:rFonts w:ascii="Arial" w:cs="Arial" w:eastAsia="Arial" w:hAnsi="Arial"/>
          <w:sz w:val="17"/>
          <w:szCs w:val="17"/>
          <w:b w:val="1"/>
          <w:bCs w:val="1"/>
          <w:i w:val="1"/>
          <w:iCs w:val="1"/>
          <w:color w:val="auto"/>
        </w:rPr>
        <w:t>AMC Mandatory Ownership Divestitures</w:t>
      </w:r>
      <w:r>
        <w:rPr>
          <w:rFonts w:ascii="Arial" w:cs="Arial" w:eastAsia="Arial" w:hAnsi="Arial"/>
          <w:sz w:val="17"/>
          <w:szCs w:val="17"/>
          <w:color w:val="auto"/>
        </w:rPr>
        <w:t>—Pursuant to the Final Judgment, AMC was required to divest the majority of its equity interests in NCM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and NCM, Inc., based upon a predetermined schedule so that by June 20, 2019 it owned no more than 4.99% of NCM LLC’s common membership units and NCM, Inc. common stock, taken together, on a fully converted basis (“NCM’s outstanding equity interests”). AMC sold 14,800,000 membership units in 2017 through the redemption and sale of the NCM, Inc. stock and the remaining 22,477,480 membership units were sold to Regal and Cinemark in July 2018. As of September 27, 2018, AMC did not own any of NCM’s outstanding equity interests.</w:t>
      </w:r>
    </w:p>
    <w:p>
      <w:pPr>
        <w:spacing w:after="0" w:line="64" w:lineRule="exact"/>
        <w:rPr>
          <w:sz w:val="20"/>
          <w:szCs w:val="20"/>
          <w:color w:val="auto"/>
        </w:rPr>
      </w:pPr>
    </w:p>
    <w:p>
      <w:pPr>
        <w:ind w:right="360" w:firstLine="540"/>
        <w:spacing w:after="0" w:line="291" w:lineRule="auto"/>
        <w:rPr>
          <w:sz w:val="20"/>
          <w:szCs w:val="20"/>
          <w:color w:val="auto"/>
        </w:rPr>
      </w:pPr>
      <w:r>
        <w:rPr>
          <w:rFonts w:ascii="Arial" w:cs="Arial" w:eastAsia="Arial" w:hAnsi="Arial"/>
          <w:sz w:val="16"/>
          <w:szCs w:val="16"/>
          <w:color w:val="auto"/>
        </w:rPr>
        <w:t>During the first quarter of 2017, NCM, Inc. and NCM LLC entered into a binding MOU with AMC to effectuate aspects of the Final Judgment entered into by the DOJ in connection with AMC’s acquisition of Carmike including a provision, subject to limited exceptions, for AMC to retain at least</w:t>
      </w:r>
    </w:p>
    <w:p>
      <w:pPr>
        <w:spacing w:after="0" w:line="252" w:lineRule="auto"/>
        <w:rPr>
          <w:sz w:val="20"/>
          <w:szCs w:val="20"/>
          <w:color w:val="auto"/>
        </w:rPr>
      </w:pPr>
      <w:r>
        <w:rPr>
          <w:rFonts w:ascii="Arial" w:cs="Arial" w:eastAsia="Arial" w:hAnsi="Arial"/>
          <w:sz w:val="18"/>
          <w:szCs w:val="18"/>
          <w:color w:val="auto"/>
        </w:rPr>
        <w:t>4.5% of NCM’s outstanding equity interests during the term of the Final Judgment. During the second quarter of 2018 we provided a waiver under our MOU agreement with AMC to allow AMC to divest all of its remaining 21,477,480 membership units, equally, to the other founding members, Regal and Cinemark. AMC closed on the sale of 100.0% of its remaining membership units to Regal and Cinemark as of July 5, 2018. Despite not having any ownership interests, AMC remains a party to the ESA, Common Unit Adjustment Agreement, and certain other original agreements (i.e. AMC will continue to participate in the annual Common Unit Adjustment and theater access fees, etc.). Due to not having ownership in the Company, AMC will not be a member under the terms of the NCM LLC Operating Agreement,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8" w:right="239" w:bottom="1440" w:gutter="0" w:footer="0" w:header="0"/>
        </w:sectPr>
      </w:pPr>
    </w:p>
    <w:bookmarkStart w:id="33" w:name="page34"/>
    <w:bookmarkEnd w:id="33"/>
    <w:p>
      <w:pPr>
        <w:ind w:right="80"/>
        <w:spacing w:after="0" w:line="277" w:lineRule="auto"/>
        <w:rPr>
          <w:sz w:val="20"/>
          <w:szCs w:val="20"/>
          <w:color w:val="auto"/>
        </w:rPr>
      </w:pPr>
      <w:r>
        <w:rPr>
          <w:rFonts w:ascii="Arial" w:cs="Arial" w:eastAsia="Arial" w:hAnsi="Arial"/>
          <w:sz w:val="18"/>
          <w:szCs w:val="18"/>
          <w:color w:val="auto"/>
        </w:rPr>
        <w:t>and thus will not receive available cash distributions or allocation of earnings and losses in NCM LLC, unless its ownership increases pursuant to a Common Unit Adjustment. Further, the divestiture does not impact future integration payments owed to NCM LLC by AMC.</w:t>
      </w:r>
    </w:p>
    <w:p>
      <w:pPr>
        <w:spacing w:after="0" w:line="62"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Following the activity outlined above, NCM, Inc.’s, Regal's, Cinemark's, and AMC's ownerships in NCM LLC changed to 48.8%, 26.1%, 25.1%, and 0.0%, respectively, as of September 27, 2018 compared to 49.5%, 17.9%, 18.1%, and 14.5% at December 28, 2017,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40" w:firstLine="540"/>
        <w:spacing w:after="0" w:line="312" w:lineRule="auto"/>
        <w:rPr>
          <w:sz w:val="20"/>
          <w:szCs w:val="20"/>
          <w:color w:val="auto"/>
        </w:rPr>
      </w:pPr>
      <w:r>
        <w:rPr>
          <w:rFonts w:ascii="Arial" w:cs="Arial" w:eastAsia="Arial" w:hAnsi="Arial"/>
          <w:sz w:val="16"/>
          <w:szCs w:val="16"/>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interest or repurchases of the Senior Secured Notes and Senior Unsecured Notes.</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2018</w:t>
            </w:r>
          </w:p>
        </w:tc>
        <w:tc>
          <w:tcPr>
            <w:tcW w:w="14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28, 2017</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28, 2017</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6"/>
              </w:rPr>
              <w:t>Q3 2018 to YE</w:t>
            </w:r>
          </w:p>
        </w:tc>
        <w:tc>
          <w:tcPr>
            <w:tcW w:w="420" w:type="dxa"/>
            <w:vAlign w:val="bottom"/>
          </w:tcPr>
          <w:p>
            <w:pPr>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Q3 2018 to Q3 2017</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1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liquidity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20" w:right="20" w:hanging="315"/>
        <w:spacing w:after="0" w:line="255"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September 27, 2018, December 28, 2017 and September 28, 2017. As of September 27, 2018, December 28, 2017 and September 28, 2017, the amount available under our revolving credit facility in the table above, was net of amount outstanding under the revolving credit facility of $14.0 million, $12.0 million and $0.0 million, respectively, and net letters of credit of $4.8 million in each respective period.</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6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 2018</w:t>
            </w:r>
          </w:p>
        </w:tc>
        <w:tc>
          <w:tcPr>
            <w:tcW w:w="160" w:type="dxa"/>
            <w:vAlign w:val="bottom"/>
          </w:tcPr>
          <w:p>
            <w:pPr>
              <w:spacing w:after="0"/>
              <w:rPr>
                <w:sz w:val="22"/>
                <w:szCs w:val="22"/>
                <w:color w:val="auto"/>
              </w:rPr>
            </w:pPr>
          </w:p>
        </w:tc>
        <w:tc>
          <w:tcPr>
            <w:tcW w:w="140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September 28, 2017</w:t>
            </w:r>
          </w:p>
        </w:tc>
      </w:tr>
      <w:tr>
        <w:trPr>
          <w:trHeight w:val="250"/>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115.8</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7"/>
        </w:trPr>
        <w:tc>
          <w:tcPr>
            <w:tcW w:w="6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1080" w:right="200" w:hanging="329"/>
        <w:spacing w:after="0" w:line="255"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$15.1 million increase in cash provided by operating activities for the nine months ended September 27, 2018,</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28, 2017 was due primarily to 1) an increase of $4.4 million in the change in accounts receivable primarily related to higher revenue, year over year, 2) an increase of $4.0 million in the change in deferred revenue, 3) an increase of $5.7 million in net income related primarily to higher revenue, year over year, and 3) an increase of $4.6 million in the change in other primarily related to an increase in the deferred rent balance following the relocation of our corporate headquarters. Theses increases were partially offset by a decrease of $2.7 million on investments impaired in the first nine months of 2018, compared to the first nine months of 2017, and a $1.8 million decrease in non-cash share-based compensation related to a decrease in the volume of awards granted in 2018, compared to prior years.</w:t>
      </w:r>
    </w:p>
    <w:p>
      <w:pPr>
        <w:spacing w:after="0" w:line="185" w:lineRule="exact"/>
        <w:rPr>
          <w:rFonts w:ascii="Arial" w:cs="Arial" w:eastAsia="Arial" w:hAnsi="Arial"/>
          <w:sz w:val="18"/>
          <w:szCs w:val="18"/>
          <w:color w:val="auto"/>
        </w:rPr>
      </w:pPr>
    </w:p>
    <w:p>
      <w:pPr>
        <w:ind w:left="1080" w:right="40" w:hanging="329"/>
        <w:spacing w:after="0" w:line="261"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$1.8 million increase in cash used in investing activities for the nine months ended September 27,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nine months ended September 28, 2017 was due primarily to a $2.3 million increase in purchases of property plant and equipment related to the relocation of our corporate headquarters and investments in our digital offerings, and a $1.4 million decrease in the proceeds from the notes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8" w:right="239" w:bottom="1440" w:gutter="0" w:footer="0" w:header="0"/>
        </w:sectPr>
      </w:pPr>
    </w:p>
    <w:bookmarkStart w:id="34" w:name="page35"/>
    <w:bookmarkEnd w:id="34"/>
    <w:p>
      <w:pPr>
        <w:ind w:left="1080"/>
        <w:spacing w:after="0"/>
        <w:rPr>
          <w:sz w:val="20"/>
          <w:szCs w:val="20"/>
          <w:color w:val="auto"/>
        </w:rPr>
      </w:pPr>
      <w:r>
        <w:rPr>
          <w:rFonts w:ascii="Arial" w:cs="Arial" w:eastAsia="Arial" w:hAnsi="Arial"/>
          <w:sz w:val="18"/>
          <w:szCs w:val="18"/>
          <w:color w:val="auto"/>
        </w:rPr>
        <w:t>receivable from our founding members in the first nine months of 2018, compared to the first nine months of 2017.</w:t>
      </w:r>
    </w:p>
    <w:p>
      <w:pPr>
        <w:spacing w:after="0" w:line="235" w:lineRule="exact"/>
        <w:rPr>
          <w:sz w:val="20"/>
          <w:szCs w:val="20"/>
          <w:color w:val="auto"/>
        </w:rPr>
      </w:pPr>
    </w:p>
    <w:p>
      <w:pPr>
        <w:ind w:left="1080" w:right="80" w:hanging="329"/>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$5.1 million increase in cash used in financing activities during the nine months ended September 27, 2018,</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compared to the nine months ended September 28, 2017 was primarily due to a $20.0 million increase in distributions to founding members and managing member due to better performance year over year, a $7.2 million increase in cash used in the repayment of our Notes due 2026 and an increase of $6.6 million in the payment of debt issuance costs related to the senior secured credit facility, as described within Note 6— </w:t>
      </w:r>
      <w:r>
        <w:rPr>
          <w:rFonts w:ascii="Arial" w:cs="Arial" w:eastAsia="Arial" w:hAnsi="Arial"/>
          <w:sz w:val="18"/>
          <w:szCs w:val="18"/>
          <w:i w:val="1"/>
          <w:iCs w:val="1"/>
          <w:color w:val="auto"/>
        </w:rPr>
        <w:t xml:space="preserve">Borrowings </w:t>
      </w:r>
      <w:r>
        <w:rPr>
          <w:rFonts w:ascii="Arial" w:cs="Arial" w:eastAsia="Arial" w:hAnsi="Arial"/>
          <w:sz w:val="18"/>
          <w:szCs w:val="18"/>
          <w:color w:val="auto"/>
        </w:rPr>
        <w:t>to the unaudited Condensed Consolidated Financial Statements in Item 1 of this Form 10-Q. These increases were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a $16.3 million increase in proceeds from borrowings, net of repayments, under our senior secured credit facility and an $11.1 million increase in founding member integration and other encumbered theater payments in the first nine months of 2018, compared to the first nine months of 2017.</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firstLine="540"/>
        <w:spacing w:after="0" w:line="271" w:lineRule="auto"/>
        <w:rPr>
          <w:sz w:val="20"/>
          <w:szCs w:val="20"/>
          <w:color w:val="auto"/>
        </w:rPr>
      </w:pPr>
      <w:r>
        <w:rPr>
          <w:rFonts w:ascii="Arial" w:cs="Arial" w:eastAsia="Arial" w:hAnsi="Arial"/>
          <w:sz w:val="17"/>
          <w:szCs w:val="17"/>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opportunistic debt repurchases, and other investing requirements, through the next twelve months. Cash flows can be impacted by the seasonality of advertising sales, interest on borrowings under our revolving credit agreement and to a lesser extent theater attendance. We are required pursuant to the terms of our operating agreement to distribute our available cash, as defined in the operating agreement, quarterly to our members (Regal, Cinemark and NCM, Inc.). The available cash distribution to the members of NCM LLC for the three months ended September 27, 2018 was approximately $37.3 million. The Company will also consider opportunistically using cash received for partial repayments of NCM LLC's outstanding debt balance, while ensuring the Company's financial flexibility is maintained.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0" w:firstLine="540"/>
        <w:spacing w:after="0" w:line="273" w:lineRule="auto"/>
        <w:rPr>
          <w:sz w:val="20"/>
          <w:szCs w:val="20"/>
          <w:color w:val="auto"/>
        </w:rPr>
      </w:pPr>
      <w:r>
        <w:rPr>
          <w:rFonts w:ascii="Arial" w:cs="Arial" w:eastAsia="Arial" w:hAnsi="Arial"/>
          <w:sz w:val="17"/>
          <w:szCs w:val="17"/>
          <w:color w:val="auto"/>
        </w:rPr>
        <w:t xml:space="preserve">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28, 2017 and incorporated by reference herein. As of September 27, 2018, there were no significant changes in those critical accounting policies except for the change in barter revenue recognition upon the adoption of ASU 2014-09 in the first quarter of 2018 discussed further within Note 2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of this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00" w:firstLine="540"/>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62" w:lineRule="exact"/>
        <w:rPr>
          <w:sz w:val="20"/>
          <w:szCs w:val="20"/>
          <w:color w:val="auto"/>
        </w:rPr>
      </w:pPr>
    </w:p>
    <w:p>
      <w:pPr>
        <w:ind w:right="26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40"/>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28, 2017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material changes to our contractual obligations during the nine months ended September 27,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Our revenue and operating results are seasonal in nature, coinciding with the timing of marketing expenditures by our advertising clients and to a lesser extent the attendance patterns within the film exhibition industry. Both advertising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827" w:right="299" w:bottom="1440" w:gutter="0" w:footer="0" w:header="0"/>
        </w:sectPr>
      </w:pPr>
    </w:p>
    <w:bookmarkStart w:id="35" w:name="page36"/>
    <w:bookmarkEnd w:id="35"/>
    <w:p>
      <w:pPr>
        <w:ind w:right="60"/>
        <w:spacing w:after="0" w:line="272" w:lineRule="auto"/>
        <w:rPr>
          <w:sz w:val="20"/>
          <w:szCs w:val="20"/>
          <w:color w:val="auto"/>
        </w:rPr>
      </w:pPr>
      <w:r>
        <w:rPr>
          <w:rFonts w:ascii="Arial" w:cs="Arial" w:eastAsia="Arial" w:hAnsi="Arial"/>
          <w:sz w:val="17"/>
          <w:szCs w:val="17"/>
          <w:color w:val="auto"/>
        </w:rPr>
        <w:t>expenditures and theater attendance tend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Accordingly, there can be no assurances that seasonal variations will not materially affect our results of operations in the future.</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2015, 2016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620" w:type="dxa"/>
            <w:vAlign w:val="bottom"/>
            <w:gridSpan w:val="2"/>
          </w:tcPr>
          <w:p>
            <w:pPr>
              <w:ind w:left="2600"/>
              <w:spacing w:after="0"/>
              <w:rPr>
                <w:sz w:val="20"/>
                <w:szCs w:val="20"/>
                <w:color w:val="auto"/>
              </w:rPr>
            </w:pPr>
            <w:r>
              <w:rPr>
                <w:rFonts w:ascii="Arial" w:cs="Arial" w:eastAsia="Arial" w:hAnsi="Arial"/>
                <w:sz w:val="14"/>
                <w:szCs w:val="14"/>
                <w:b w:val="1"/>
                <w:bCs w:val="1"/>
                <w:color w:val="auto"/>
              </w:rPr>
              <w:t>First</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Second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3140" w:type="dxa"/>
            <w:vAlign w:val="bottom"/>
          </w:tcPr>
          <w:p>
            <w:pPr>
              <w:spacing w:after="0"/>
              <w:rPr>
                <w:sz w:val="16"/>
                <w:szCs w:val="16"/>
                <w:color w:val="auto"/>
              </w:rPr>
            </w:pPr>
          </w:p>
        </w:tc>
        <w:tc>
          <w:tcPr>
            <w:tcW w:w="3620" w:type="dxa"/>
            <w:vAlign w:val="bottom"/>
            <w:gridSpan w:val="2"/>
          </w:tcPr>
          <w:p>
            <w:pPr>
              <w:ind w:left="2500"/>
              <w:spacing w:after="0"/>
              <w:rPr>
                <w:sz w:val="20"/>
                <w:szCs w:val="20"/>
                <w:color w:val="auto"/>
              </w:rPr>
            </w:pPr>
            <w:r>
              <w:rPr>
                <w:rFonts w:ascii="Arial" w:cs="Arial" w:eastAsia="Arial" w:hAnsi="Arial"/>
                <w:sz w:val="14"/>
                <w:szCs w:val="14"/>
                <w:b w:val="1"/>
                <w:bCs w:val="1"/>
                <w:color w:val="auto"/>
              </w:rPr>
              <w:t>Quarter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Quarter</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3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2015</w:t>
            </w:r>
          </w:p>
        </w:tc>
        <w:tc>
          <w:tcPr>
            <w:tcW w:w="3500" w:type="dxa"/>
            <w:vAlign w:val="bottom"/>
            <w:tcBorders>
              <w:top w:val="single" w:sz="8" w:color="auto"/>
              <w:bottom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17.2%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30.6%</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FY 2016</w:t>
            </w:r>
          </w:p>
        </w:tc>
        <w:tc>
          <w:tcPr>
            <w:tcW w:w="3500" w:type="dxa"/>
            <w:vAlign w:val="bottom"/>
          </w:tcPr>
          <w:p>
            <w:pPr>
              <w:ind w:left="252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25.8%</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31.8%</w:t>
            </w:r>
          </w:p>
        </w:tc>
      </w:tr>
      <w:tr>
        <w:trPr>
          <w:trHeight w:val="27"/>
        </w:trPr>
        <w:tc>
          <w:tcPr>
            <w:tcW w:w="31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 2017</w:t>
            </w:r>
          </w:p>
        </w:tc>
        <w:tc>
          <w:tcPr>
            <w:tcW w:w="3500" w:type="dxa"/>
            <w:vAlign w:val="bottom"/>
            <w:tcBorders>
              <w:bottom w:val="single" w:sz="8" w:color="CCEEFF"/>
            </w:tcBorders>
            <w:shd w:val="clear" w:color="auto" w:fill="CCEEFF"/>
          </w:tcPr>
          <w:p>
            <w:pPr>
              <w:ind w:left="252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33.0%</w:t>
            </w:r>
          </w:p>
        </w:tc>
      </w:tr>
      <w:tr>
        <w:trPr>
          <w:trHeight w:val="459"/>
        </w:trPr>
        <w:tc>
          <w:tcPr>
            <w:tcW w:w="3140" w:type="dxa"/>
            <w:vAlign w:val="bottom"/>
          </w:tcPr>
          <w:p>
            <w:pPr>
              <w:spacing w:after="0"/>
              <w:rPr>
                <w:sz w:val="24"/>
                <w:szCs w:val="24"/>
                <w:color w:val="auto"/>
              </w:rPr>
            </w:pPr>
          </w:p>
        </w:tc>
        <w:tc>
          <w:tcPr>
            <w:tcW w:w="3500" w:type="dxa"/>
            <w:vAlign w:val="bottom"/>
          </w:tcPr>
          <w:p>
            <w:pPr>
              <w:ind w:left="24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September 27, 2018,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$2.8 million for an annual period on the $14.0 million revolving credit balance and $269.4 million term loan outstanding as of September 27, 2018. For a discussion of market risks, see Item 7A. “Quantitative and Qualitative Disclosures About Market Risk” contained in our annual report on Form 10-K for the fiscal year ended December 28, 2017 and incorporated by reference herein.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40"/>
        <w:spacing w:after="0" w:line="28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September 27, 2018, our management evaluated, with the participation of the Chief Executive Officer and Chief Financial Officer, the effectiveness of the Company’s disclosure controls and procedures pursuant to Rules 13a-15(e) and 15d-15(e) of the Exchange</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Act. Based on that evaluation, the Company’s management concluded that the Company’s disclosure controls and procedures as of September 27, 2018 were effective.</w:t>
      </w:r>
    </w:p>
    <w:p>
      <w:pPr>
        <w:spacing w:after="0" w:line="76" w:lineRule="exact"/>
        <w:rPr>
          <w:sz w:val="20"/>
          <w:szCs w:val="20"/>
          <w:color w:val="auto"/>
        </w:rPr>
      </w:pPr>
    </w:p>
    <w:p>
      <w:pPr>
        <w:ind w:right="56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9" w:lineRule="exact"/>
        <w:rPr>
          <w:sz w:val="20"/>
          <w:szCs w:val="20"/>
          <w:color w:val="auto"/>
        </w:rPr>
      </w:pPr>
    </w:p>
    <w:p>
      <w:pPr>
        <w:ind w:right="240" w:firstLine="540"/>
        <w:spacing w:after="0" w:line="274" w:lineRule="auto"/>
        <w:rPr>
          <w:sz w:val="20"/>
          <w:szCs w:val="20"/>
          <w:color w:val="auto"/>
        </w:rPr>
      </w:pPr>
      <w:r>
        <w:rPr>
          <w:rFonts w:ascii="Arial" w:cs="Arial" w:eastAsia="Arial" w:hAnsi="Arial"/>
          <w:sz w:val="17"/>
          <w:szCs w:val="17"/>
          <w:color w:val="auto"/>
        </w:rPr>
        <w:t>There have been no changes to the Company’s internal controls over financial reporting that occurred during the quarter ended September 27, 2018 that have materially affected, or are reasonably likely to materially affect, the Company’s internal controls over financial reporting.</w:t>
      </w: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280" w:firstLine="540"/>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19, 2018 for the fiscal year ended December 28,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931"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sz w:val="20"/>
                <w:szCs w:val="20"/>
                <w:color w:val="auto"/>
              </w:rPr>
            </w:pPr>
            <w:r>
              <w:rPr>
                <w:rFonts w:ascii="Arial" w:cs="Arial" w:eastAsia="Arial" w:hAnsi="Arial"/>
                <w:sz w:val="18"/>
                <w:szCs w:val="18"/>
                <w:b w:val="1"/>
                <w:bCs w:val="1"/>
                <w:color w:val="auto"/>
                <w:w w:val="96"/>
              </w:rPr>
              <w:t>Item 6. Exhibits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64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Exhibit</w:t>
            </w:r>
          </w:p>
        </w:tc>
        <w:tc>
          <w:tcPr>
            <w:tcW w:w="6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Reference</w:t>
            </w:r>
          </w:p>
        </w:tc>
        <w:tc>
          <w:tcPr>
            <w:tcW w:w="552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40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Rule 13a-14(a) Certification of Chief Executive Officer.</w:t>
              </w:r>
            </w:hyperlink>
          </w:p>
        </w:tc>
        <w:tc>
          <w:tcPr>
            <w:tcW w:w="1480" w:type="dxa"/>
            <w:vAlign w:val="bottom"/>
            <w:gridSpan w:val="2"/>
          </w:tcPr>
          <w:p>
            <w:pPr>
              <w:spacing w:after="0"/>
              <w:rPr>
                <w:sz w:val="24"/>
                <w:szCs w:val="24"/>
                <w:color w:val="auto"/>
              </w:rPr>
            </w:pPr>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520" w:type="dxa"/>
            <w:vAlign w:val="bottom"/>
            <w:gridSpan w:val="5"/>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Rule 13a-14(a) Certification of Chief Financial Officer.</w:t>
              </w:r>
            </w:hyperlink>
          </w:p>
        </w:tc>
      </w:tr>
      <w:tr>
        <w:trPr>
          <w:trHeight w:val="20"/>
        </w:trPr>
        <w:tc>
          <w:tcPr>
            <w:tcW w:w="1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5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Chief Executive Officer Pursuant to 18 U.S.C. Section 1350.</w:t>
              </w:r>
            </w:hyperlink>
          </w:p>
        </w:tc>
      </w:tr>
      <w:tr>
        <w:trPr>
          <w:trHeight w:val="250"/>
        </w:trPr>
        <w:tc>
          <w:tcPr>
            <w:tcW w:w="1280" w:type="dxa"/>
            <w:vAlign w:val="bottom"/>
            <w:gridSpan w:val="4"/>
          </w:tcPr>
          <w:p>
            <w:pPr>
              <w:ind w:left="8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548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Chief Financial Officer Pursuant to 18 U.S.C. Section 1350.</w:t>
              </w:r>
            </w:hyperlink>
          </w:p>
        </w:tc>
        <w:tc>
          <w:tcPr>
            <w:tcW w:w="40" w:type="dxa"/>
            <w:vAlign w:val="bottom"/>
          </w:tcPr>
          <w:p>
            <w:pPr>
              <w:spacing w:after="0"/>
              <w:rPr>
                <w:sz w:val="21"/>
                <w:szCs w:val="21"/>
                <w:color w:val="auto"/>
              </w:rPr>
            </w:pPr>
          </w:p>
        </w:tc>
      </w:tr>
      <w:tr>
        <w:trPr>
          <w:trHeight w:val="291"/>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101.INS</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00" w:type="dxa"/>
            <w:vAlign w:val="bottom"/>
            <w:gridSpan w:val="5"/>
          </w:tcPr>
          <w:p>
            <w:pPr>
              <w:ind w:left="40"/>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5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80" w:hanging="845"/>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8" w:lineRule="exact"/>
        <w:rPr>
          <w:sz w:val="20"/>
          <w:szCs w:val="20"/>
          <w:color w:val="auto"/>
        </w:rPr>
      </w:pPr>
    </w:p>
    <w:p>
      <w:pPr>
        <w:ind w:left="880" w:hanging="845"/>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891" w:right="1440" w:bottom="1440" w:gutter="0" w:footer="0" w:header="0"/>
        </w:sectPr>
      </w:pPr>
    </w:p>
    <w:bookmarkStart w:id="38" w:name="page39"/>
    <w:bookmarkEnd w:id="38"/>
    <w:p>
      <w:pPr>
        <w:jc w:val="center"/>
        <w:ind w:right="-5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National CineMedia, Inc., its manager</w:t>
      </w:r>
    </w:p>
    <w:p>
      <w:pPr>
        <w:spacing w:after="0" w:line="333" w:lineRule="exact"/>
        <w:rPr>
          <w:sz w:val="20"/>
          <w:szCs w:val="20"/>
          <w:color w:val="auto"/>
        </w:rPr>
      </w:pPr>
    </w:p>
    <w:p>
      <w:pPr>
        <w:ind w:left="40"/>
        <w:spacing w:after="0"/>
        <w:tabs>
          <w:tab w:leader="none" w:pos="70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2018</w:t>
      </w:r>
      <w:r>
        <w:rPr>
          <w:sz w:val="20"/>
          <w:szCs w:val="20"/>
          <w:color w:val="auto"/>
        </w:rPr>
        <w:tab/>
      </w:r>
      <w:r>
        <w:rPr>
          <w:rFonts w:ascii="Arial" w:cs="Arial" w:eastAsia="Arial" w:hAnsi="Arial"/>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Clifford E. Marks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Interim Chief Executive Officer and President</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left="40"/>
        <w:spacing w:after="0"/>
        <w:tabs>
          <w:tab w:leader="none" w:pos="700" w:val="left"/>
          <w:tab w:leader="none" w:pos="55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5,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20"/>
          </w:cols>
          <w:pgMar w:left="240" w:top="796" w:right="8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Clifford E. Marks, certify that:</w:t>
      </w:r>
    </w:p>
    <w:p>
      <w:pPr>
        <w:spacing w:after="0" w:line="171" w:lineRule="exact"/>
        <w:rPr>
          <w:sz w:val="20"/>
          <w:szCs w:val="20"/>
          <w:color w:val="auto"/>
        </w:rPr>
      </w:pPr>
    </w:p>
    <w:p>
      <w:pPr>
        <w:ind w:left="680" w:hanging="1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Clifford E. Marks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Interim Chief Executive Officer and President</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171" w:lineRule="exact"/>
        <w:rPr>
          <w:sz w:val="20"/>
          <w:szCs w:val="20"/>
          <w:color w:val="auto"/>
        </w:rPr>
      </w:pPr>
    </w:p>
    <w:p>
      <w:pPr>
        <w:ind w:left="680" w:hanging="1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171" w:lineRule="exact"/>
        <w:rPr>
          <w:rFonts w:ascii="Arial" w:cs="Arial" w:eastAsia="Arial" w:hAnsi="Arial"/>
          <w:sz w:val="18"/>
          <w:szCs w:val="18"/>
          <w:color w:val="auto"/>
        </w:rPr>
      </w:pPr>
    </w:p>
    <w:p>
      <w:pPr>
        <w:ind w:right="260" w:firstLine="508"/>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220" w:firstLine="508"/>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508"/>
        <w:spacing w:after="0" w:line="264"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120"/>
        <w:spacing w:after="0" w:line="264" w:lineRule="auto"/>
        <w:tabs>
          <w:tab w:leader="none" w:pos="122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360"/>
        <w:spacing w:after="0" w:line="264"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500"/>
        <w:spacing w:after="0" w:line="342" w:lineRule="auto"/>
        <w:tabs>
          <w:tab w:leader="none" w:pos="1225"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spacing w:after="0" w:line="264"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508"/>
        <w:spacing w:after="0" w:line="308"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00"/>
        <w:spacing w:after="0" w:line="308" w:lineRule="auto"/>
        <w:tabs>
          <w:tab w:leader="none" w:pos="1225"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380"/>
        <w:spacing w:after="0" w:line="277" w:lineRule="auto"/>
        <w:tabs>
          <w:tab w:leader="none" w:pos="12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60" w:firstLine="500"/>
        <w:spacing w:after="0" w:line="259" w:lineRule="auto"/>
        <w:rPr>
          <w:sz w:val="20"/>
          <w:szCs w:val="20"/>
          <w:color w:val="auto"/>
        </w:rPr>
      </w:pPr>
      <w:r>
        <w:rPr>
          <w:rFonts w:ascii="Arial" w:cs="Arial" w:eastAsia="Arial" w:hAnsi="Arial"/>
          <w:sz w:val="18"/>
          <w:szCs w:val="18"/>
          <w:color w:val="auto"/>
        </w:rPr>
        <w:t>In connection with the Quarterly Report on Form 10-Q for the period ending September 27, 2018 (the “Report”) of National CineMedia, LLC (the “Registrant”) as filed with the Securities and Exchange Commission on the date hereof, I, Clifford E. Marks, the Interim Chief Executive Officer and President of the Registrant, certify, pursuant to 18 U.S.C. § 1350, as adopted pursuant to § 906 of the Sarbanes-Oxley Act of 2002, that to the best of my knowledge:</w:t>
      </w:r>
    </w:p>
    <w:p>
      <w:pPr>
        <w:spacing w:after="0" w:line="133" w:lineRule="exact"/>
        <w:rPr>
          <w:sz w:val="20"/>
          <w:szCs w:val="20"/>
          <w:color w:val="auto"/>
        </w:rPr>
      </w:pPr>
    </w:p>
    <w:p>
      <w:pPr>
        <w:ind w:left="680" w:hanging="186"/>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7"/>
          <w:szCs w:val="17"/>
          <w:color w:val="auto"/>
        </w:rPr>
        <w:t>/s/ Clifford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Clifford E. Marks</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Interim Chief Executive Officer and President</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60" w:firstLine="500"/>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September 27, 2018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93" w:lineRule="exact"/>
        <w:rPr>
          <w:sz w:val="20"/>
          <w:szCs w:val="20"/>
          <w:color w:val="auto"/>
        </w:rPr>
      </w:pPr>
    </w:p>
    <w:p>
      <w:pPr>
        <w:ind w:left="680" w:hanging="186"/>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November 5, 2018</w:t>
      </w:r>
      <w:r>
        <w:rPr>
          <w:sz w:val="20"/>
          <w:szCs w:val="20"/>
          <w:color w:val="auto"/>
        </w:rPr>
        <w:tab/>
      </w:r>
      <w:r>
        <w:rPr>
          <w:rFonts w:ascii="Arial" w:cs="Arial" w:eastAsia="Arial" w:hAnsi="Arial"/>
          <w:sz w:val="16"/>
          <w:szCs w:val="16"/>
          <w:color w:val="auto"/>
        </w:rPr>
        <w:t>/s/ 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40640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L. Scherping</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2019-12-28T18:39:16Z</dcterms:created>
  <dcterms:modified xsi:type="dcterms:W3CDTF">2019-12-28T18:39:16Z</dcterms:modified>
</cp:coreProperties>
</file>