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117475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8" w:lineRule="exact"/>
        <w:rPr>
          <w:sz w:val="24"/>
          <w:szCs w:val="24"/>
          <w:color w:val="auto"/>
        </w:rPr>
      </w:pPr>
    </w:p>
    <w:p>
      <w:pPr>
        <w:ind w:left="460" w:right="2400" w:hanging="452"/>
        <w:spacing w:after="0" w:line="313" w:lineRule="auto"/>
        <w:tabs>
          <w:tab w:leader="none" w:pos="4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30, 2010</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63" w:lineRule="exact"/>
        <w:rPr>
          <w:sz w:val="24"/>
          <w:szCs w:val="24"/>
          <w:color w:val="auto"/>
        </w:rPr>
      </w:pPr>
    </w:p>
    <w:p>
      <w:pPr>
        <w:ind w:left="460"/>
        <w:spacing w:after="0"/>
        <w:tabs>
          <w:tab w:leader="none" w:pos="33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NATIONAL CINEMEDIA,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tbl>
      <w:tblPr>
        <w:tblLayout w:type="fixed"/>
        <w:tblInd w:w="360" w:type="dxa"/>
        <w:tblCellMar>
          <w:top w:w="0" w:type="dxa"/>
          <w:left w:w="0" w:type="dxa"/>
          <w:bottom w:w="0" w:type="dxa"/>
          <w:right w:w="0" w:type="dxa"/>
        </w:tblCellMar>
      </w:tblPr>
      <w:tr>
        <w:trPr>
          <w:trHeight w:val="218"/>
        </w:trPr>
        <w:tc>
          <w:tcPr>
            <w:tcW w:w="4160" w:type="dxa"/>
            <w:vAlign w:val="bottom"/>
          </w:tcPr>
          <w:p>
            <w:pPr>
              <w:jc w:val="center"/>
              <w:ind w:left="778"/>
              <w:spacing w:after="0"/>
              <w:rPr>
                <w:sz w:val="20"/>
                <w:szCs w:val="20"/>
                <w:color w:val="auto"/>
              </w:rPr>
            </w:pPr>
            <w:r>
              <w:rPr>
                <w:rFonts w:ascii="Arial" w:cs="Arial" w:eastAsia="Arial" w:hAnsi="Arial"/>
                <w:sz w:val="18"/>
                <w:szCs w:val="18"/>
                <w:b w:val="1"/>
                <w:bCs w:val="1"/>
                <w:color w:val="auto"/>
                <w:w w:val="88"/>
              </w:rPr>
              <w:t>Delaware</w:t>
            </w:r>
          </w:p>
        </w:tc>
        <w:tc>
          <w:tcPr>
            <w:tcW w:w="4920" w:type="dxa"/>
            <w:vAlign w:val="bottom"/>
            <w:gridSpan w:val="3"/>
          </w:tcPr>
          <w:p>
            <w:pPr>
              <w:jc w:val="center"/>
              <w:ind w:left="3312"/>
              <w:spacing w:after="0"/>
              <w:rPr>
                <w:sz w:val="20"/>
                <w:szCs w:val="20"/>
                <w:color w:val="auto"/>
              </w:rPr>
            </w:pPr>
            <w:r>
              <w:rPr>
                <w:rFonts w:ascii="Arial" w:cs="Arial" w:eastAsia="Arial" w:hAnsi="Arial"/>
                <w:sz w:val="18"/>
                <w:szCs w:val="18"/>
                <w:b w:val="1"/>
                <w:bCs w:val="1"/>
                <w:color w:val="auto"/>
                <w:w w:val="87"/>
              </w:rPr>
              <w:t>20-5665602</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160" w:type="dxa"/>
            <w:vAlign w:val="bottom"/>
          </w:tcPr>
          <w:p>
            <w:pPr>
              <w:jc w:val="center"/>
              <w:ind w:left="758"/>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2380" w:type="dxa"/>
            <w:vAlign w:val="bottom"/>
          </w:tcPr>
          <w:p>
            <w:pPr>
              <w:spacing w:after="0"/>
              <w:rPr>
                <w:sz w:val="12"/>
                <w:szCs w:val="12"/>
                <w:color w:val="auto"/>
              </w:rPr>
            </w:pPr>
          </w:p>
        </w:tc>
        <w:tc>
          <w:tcPr>
            <w:tcW w:w="2540" w:type="dxa"/>
            <w:vAlign w:val="bottom"/>
            <w:gridSpan w:val="2"/>
          </w:tcPr>
          <w:p>
            <w:pPr>
              <w:jc w:val="center"/>
              <w:ind w:left="968"/>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160" w:type="dxa"/>
            <w:vAlign w:val="bottom"/>
          </w:tcPr>
          <w:p>
            <w:pPr>
              <w:jc w:val="center"/>
              <w:ind w:left="758"/>
              <w:spacing w:after="0"/>
              <w:rPr>
                <w:sz w:val="20"/>
                <w:szCs w:val="20"/>
                <w:color w:val="auto"/>
              </w:rPr>
            </w:pPr>
            <w:r>
              <w:rPr>
                <w:rFonts w:ascii="Arial" w:cs="Arial" w:eastAsia="Arial" w:hAnsi="Arial"/>
                <w:sz w:val="14"/>
                <w:szCs w:val="14"/>
                <w:b w:val="1"/>
                <w:bCs w:val="1"/>
                <w:color w:val="auto"/>
                <w:w w:val="88"/>
              </w:rPr>
              <w:t>incorporation or organization)</w:t>
            </w:r>
          </w:p>
        </w:tc>
        <w:tc>
          <w:tcPr>
            <w:tcW w:w="2380" w:type="dxa"/>
            <w:vAlign w:val="bottom"/>
          </w:tcPr>
          <w:p>
            <w:pPr>
              <w:spacing w:after="0"/>
              <w:rPr>
                <w:sz w:val="15"/>
                <w:szCs w:val="15"/>
                <w:color w:val="auto"/>
              </w:rPr>
            </w:pPr>
          </w:p>
        </w:tc>
        <w:tc>
          <w:tcPr>
            <w:tcW w:w="2540" w:type="dxa"/>
            <w:vAlign w:val="bottom"/>
            <w:gridSpan w:val="2"/>
          </w:tcPr>
          <w:p>
            <w:pPr>
              <w:jc w:val="center"/>
              <w:ind w:left="968"/>
              <w:spacing w:after="0"/>
              <w:rPr>
                <w:sz w:val="20"/>
                <w:szCs w:val="20"/>
                <w:color w:val="auto"/>
              </w:rPr>
            </w:pPr>
            <w:r>
              <w:rPr>
                <w:rFonts w:ascii="Arial" w:cs="Arial" w:eastAsia="Arial" w:hAnsi="Arial"/>
                <w:sz w:val="14"/>
                <w:szCs w:val="14"/>
                <w:b w:val="1"/>
                <w:bCs w:val="1"/>
                <w:color w:val="auto"/>
                <w:w w:val="89"/>
              </w:rPr>
              <w:t>Identification No.)</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4160" w:type="dxa"/>
            <w:vAlign w:val="bottom"/>
          </w:tcPr>
          <w:p>
            <w:pPr>
              <w:jc w:val="center"/>
              <w:ind w:left="758"/>
              <w:spacing w:after="0"/>
              <w:rPr>
                <w:sz w:val="20"/>
                <w:szCs w:val="20"/>
                <w:color w:val="auto"/>
              </w:rPr>
            </w:pPr>
            <w:r>
              <w:rPr>
                <w:rFonts w:ascii="Arial" w:cs="Arial" w:eastAsia="Arial" w:hAnsi="Arial"/>
                <w:sz w:val="18"/>
                <w:szCs w:val="18"/>
                <w:b w:val="1"/>
                <w:bCs w:val="1"/>
                <w:color w:val="auto"/>
                <w:w w:val="85"/>
              </w:rPr>
              <w:t>9110 East Nichols Avenue, Suite 200</w:t>
            </w:r>
          </w:p>
        </w:tc>
        <w:tc>
          <w:tcPr>
            <w:tcW w:w="23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4160" w:type="dxa"/>
            <w:vAlign w:val="bottom"/>
          </w:tcPr>
          <w:p>
            <w:pPr>
              <w:jc w:val="center"/>
              <w:ind w:left="758"/>
              <w:spacing w:after="0"/>
              <w:rPr>
                <w:sz w:val="20"/>
                <w:szCs w:val="20"/>
                <w:color w:val="auto"/>
              </w:rPr>
            </w:pPr>
            <w:r>
              <w:rPr>
                <w:rFonts w:ascii="Arial" w:cs="Arial" w:eastAsia="Arial" w:hAnsi="Arial"/>
                <w:sz w:val="18"/>
                <w:szCs w:val="18"/>
                <w:b w:val="1"/>
                <w:bCs w:val="1"/>
                <w:color w:val="auto"/>
                <w:w w:val="88"/>
              </w:rPr>
              <w:t>Centennial, Colorado</w:t>
            </w:r>
          </w:p>
        </w:tc>
        <w:tc>
          <w:tcPr>
            <w:tcW w:w="4920" w:type="dxa"/>
            <w:vAlign w:val="bottom"/>
            <w:gridSpan w:val="3"/>
          </w:tcPr>
          <w:p>
            <w:pPr>
              <w:jc w:val="center"/>
              <w:ind w:left="3312"/>
              <w:spacing w:after="0"/>
              <w:rPr>
                <w:sz w:val="20"/>
                <w:szCs w:val="20"/>
                <w:color w:val="auto"/>
              </w:rPr>
            </w:pPr>
            <w:r>
              <w:rPr>
                <w:rFonts w:ascii="Arial" w:cs="Arial" w:eastAsia="Arial" w:hAnsi="Arial"/>
                <w:sz w:val="18"/>
                <w:szCs w:val="18"/>
                <w:b w:val="1"/>
                <w:bCs w:val="1"/>
                <w:color w:val="auto"/>
                <w:w w:val="87"/>
              </w:rPr>
              <w:t>80112-3405</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4160" w:type="dxa"/>
            <w:vAlign w:val="bottom"/>
          </w:tcPr>
          <w:p>
            <w:pPr>
              <w:jc w:val="center"/>
              <w:ind w:left="758"/>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80" w:type="dxa"/>
            <w:vAlign w:val="bottom"/>
          </w:tcPr>
          <w:p>
            <w:pPr>
              <w:spacing w:after="0"/>
              <w:rPr>
                <w:sz w:val="15"/>
                <w:szCs w:val="15"/>
                <w:color w:val="auto"/>
              </w:rPr>
            </w:pPr>
          </w:p>
        </w:tc>
        <w:tc>
          <w:tcPr>
            <w:tcW w:w="2540" w:type="dxa"/>
            <w:vAlign w:val="bottom"/>
            <w:gridSpan w:val="2"/>
          </w:tcPr>
          <w:p>
            <w:pPr>
              <w:jc w:val="center"/>
              <w:ind w:left="968"/>
              <w:spacing w:after="0"/>
              <w:rPr>
                <w:sz w:val="20"/>
                <w:szCs w:val="20"/>
                <w:color w:val="auto"/>
              </w:rPr>
            </w:pPr>
            <w:r>
              <w:rPr>
                <w:rFonts w:ascii="Arial" w:cs="Arial" w:eastAsia="Arial" w:hAnsi="Arial"/>
                <w:sz w:val="14"/>
                <w:szCs w:val="14"/>
                <w:b w:val="1"/>
                <w:bCs w:val="1"/>
                <w:color w:val="auto"/>
                <w:w w:val="89"/>
              </w:rPr>
              <w:t>(Zip Code)</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8400" w:type="dxa"/>
            <w:vAlign w:val="bottom"/>
            <w:gridSpan w:val="3"/>
          </w:tcPr>
          <w:p>
            <w:pPr>
              <w:jc w:val="center"/>
              <w:ind w:left="2238"/>
              <w:spacing w:after="0"/>
              <w:rPr>
                <w:sz w:val="20"/>
                <w:szCs w:val="20"/>
                <w:color w:val="auto"/>
              </w:rPr>
            </w:pPr>
            <w:r>
              <w:rPr>
                <w:rFonts w:ascii="Arial" w:cs="Arial" w:eastAsia="Arial" w:hAnsi="Arial"/>
                <w:sz w:val="18"/>
                <w:szCs w:val="18"/>
                <w:b w:val="1"/>
                <w:bCs w:val="1"/>
                <w:color w:val="auto"/>
                <w:w w:val="87"/>
              </w:rPr>
              <w:t>Registrant’s telephone number, including area code: (303) 792-3600</w:t>
            </w: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416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8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2"/>
        </w:trPr>
        <w:tc>
          <w:tcPr>
            <w:tcW w:w="8400" w:type="dxa"/>
            <w:vAlign w:val="bottom"/>
            <w:gridSpan w:val="3"/>
          </w:tcPr>
          <w:p>
            <w:pPr>
              <w:jc w:val="center"/>
              <w:ind w:left="2218"/>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4160" w:type="dxa"/>
            <w:vAlign w:val="bottom"/>
          </w:tcPr>
          <w:p>
            <w:pPr>
              <w:jc w:val="center"/>
              <w:ind w:left="778"/>
              <w:spacing w:after="0"/>
              <w:rPr>
                <w:sz w:val="20"/>
                <w:szCs w:val="20"/>
                <w:color w:val="auto"/>
              </w:rPr>
            </w:pPr>
            <w:r>
              <w:rPr>
                <w:rFonts w:ascii="Arial" w:cs="Arial" w:eastAsia="Arial" w:hAnsi="Arial"/>
                <w:sz w:val="18"/>
                <w:szCs w:val="18"/>
                <w:b w:val="1"/>
                <w:bCs w:val="1"/>
                <w:color w:val="auto"/>
                <w:w w:val="87"/>
              </w:rPr>
              <w:t>Common Stock, par value $0.01 per share</w:t>
            </w:r>
          </w:p>
        </w:tc>
        <w:tc>
          <w:tcPr>
            <w:tcW w:w="2380" w:type="dxa"/>
            <w:vAlign w:val="bottom"/>
          </w:tcPr>
          <w:p>
            <w:pPr>
              <w:spacing w:after="0"/>
              <w:rPr>
                <w:sz w:val="23"/>
                <w:szCs w:val="23"/>
                <w:color w:val="auto"/>
              </w:rPr>
            </w:pPr>
          </w:p>
        </w:tc>
        <w:tc>
          <w:tcPr>
            <w:tcW w:w="3160" w:type="dxa"/>
            <w:vAlign w:val="bottom"/>
            <w:gridSpan w:val="3"/>
          </w:tcPr>
          <w:p>
            <w:pPr>
              <w:jc w:val="center"/>
              <w:ind w:left="328"/>
              <w:spacing w:after="0"/>
              <w:rPr>
                <w:sz w:val="20"/>
                <w:szCs w:val="20"/>
                <w:color w:val="auto"/>
              </w:rPr>
            </w:pPr>
            <w:r>
              <w:rPr>
                <w:rFonts w:ascii="Arial" w:cs="Arial" w:eastAsia="Arial" w:hAnsi="Arial"/>
                <w:sz w:val="18"/>
                <w:szCs w:val="18"/>
                <w:b w:val="1"/>
                <w:bCs w:val="1"/>
                <w:color w:val="auto"/>
                <w:w w:val="94"/>
              </w:rPr>
              <w:t>The NASDAQ Stock Market LLC</w:t>
            </w:r>
          </w:p>
        </w:tc>
        <w:tc>
          <w:tcPr>
            <w:tcW w:w="0" w:type="dxa"/>
            <w:vAlign w:val="bottom"/>
          </w:tcPr>
          <w:p>
            <w:pPr>
              <w:spacing w:after="0"/>
              <w:rPr>
                <w:sz w:val="1"/>
                <w:szCs w:val="1"/>
                <w:color w:val="auto"/>
              </w:rPr>
            </w:pPr>
          </w:p>
        </w:tc>
      </w:tr>
      <w:tr>
        <w:trPr>
          <w:trHeight w:val="174"/>
        </w:trPr>
        <w:tc>
          <w:tcPr>
            <w:tcW w:w="4160" w:type="dxa"/>
            <w:vAlign w:val="bottom"/>
          </w:tcPr>
          <w:p>
            <w:pPr>
              <w:jc w:val="center"/>
              <w:ind w:left="778"/>
              <w:spacing w:after="0"/>
              <w:rPr>
                <w:sz w:val="20"/>
                <w:szCs w:val="20"/>
                <w:color w:val="auto"/>
              </w:rPr>
            </w:pPr>
            <w:r>
              <w:rPr>
                <w:rFonts w:ascii="Arial" w:cs="Arial" w:eastAsia="Arial" w:hAnsi="Arial"/>
                <w:sz w:val="14"/>
                <w:szCs w:val="14"/>
                <w:b w:val="1"/>
                <w:bCs w:val="1"/>
                <w:color w:val="auto"/>
                <w:w w:val="84"/>
              </w:rPr>
              <w:t>(Title of each class)</w:t>
            </w:r>
          </w:p>
        </w:tc>
        <w:tc>
          <w:tcPr>
            <w:tcW w:w="2380" w:type="dxa"/>
            <w:vAlign w:val="bottom"/>
          </w:tcPr>
          <w:p>
            <w:pPr>
              <w:spacing w:after="0"/>
              <w:rPr>
                <w:sz w:val="15"/>
                <w:szCs w:val="15"/>
                <w:color w:val="auto"/>
              </w:rPr>
            </w:pPr>
          </w:p>
        </w:tc>
        <w:tc>
          <w:tcPr>
            <w:tcW w:w="3160" w:type="dxa"/>
            <w:vAlign w:val="bottom"/>
            <w:gridSpan w:val="3"/>
          </w:tcPr>
          <w:p>
            <w:pPr>
              <w:jc w:val="center"/>
              <w:ind w:left="328"/>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0" w:type="dxa"/>
            <w:vAlign w:val="bottom"/>
          </w:tcPr>
          <w:p>
            <w:pPr>
              <w:spacing w:after="0"/>
              <w:rPr>
                <w:sz w:val="1"/>
                <w:szCs w:val="1"/>
                <w:color w:val="auto"/>
              </w:rPr>
            </w:pPr>
          </w:p>
        </w:tc>
      </w:tr>
      <w:tr>
        <w:trPr>
          <w:trHeight w:val="255"/>
        </w:trPr>
        <w:tc>
          <w:tcPr>
            <w:tcW w:w="8400" w:type="dxa"/>
            <w:vAlign w:val="bottom"/>
            <w:gridSpan w:val="3"/>
          </w:tcPr>
          <w:p>
            <w:pPr>
              <w:jc w:val="center"/>
              <w:ind w:left="2238"/>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4160" w:type="dxa"/>
            <w:vAlign w:val="bottom"/>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860" w:type="dxa"/>
            <w:vAlign w:val="bottom"/>
          </w:tcPr>
          <w:p>
            <w:pPr>
              <w:spacing w:after="0"/>
              <w:rPr>
                <w:sz w:val="13"/>
                <w:szCs w:val="13"/>
                <w:color w:val="auto"/>
              </w:rPr>
            </w:pPr>
          </w:p>
        </w:tc>
        <w:tc>
          <w:tcPr>
            <w:tcW w:w="68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2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7"/>
        </w:trPr>
        <w:tc>
          <w:tcPr>
            <w:tcW w:w="8400" w:type="dxa"/>
            <w:vAlign w:val="bottom"/>
            <w:gridSpan w:val="3"/>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8400" w:type="dxa"/>
            <w:vAlign w:val="bottom"/>
            <w:gridSpan w:val="3"/>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20" w:type="dxa"/>
            <w:vAlign w:val="bottom"/>
          </w:tcPr>
          <w:p>
            <w:pPr>
              <w:ind w:left="16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28" w:lineRule="exact"/>
        <w:rPr>
          <w:sz w:val="24"/>
          <w:szCs w:val="24"/>
          <w:color w:val="auto"/>
        </w:rPr>
      </w:pPr>
    </w:p>
    <w:p>
      <w:pPr>
        <w:ind w:right="40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6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0" w:lineRule="exact"/>
        <w:rPr>
          <w:sz w:val="24"/>
          <w:szCs w:val="24"/>
          <w:color w:val="auto"/>
        </w:rPr>
      </w:pPr>
    </w:p>
    <w:p>
      <w:pPr>
        <w:ind w:right="14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30" w:lineRule="exact"/>
        <w:rPr>
          <w:sz w:val="24"/>
          <w:szCs w:val="24"/>
          <w:color w:val="auto"/>
        </w:rPr>
      </w:pPr>
    </w:p>
    <w:p>
      <w:pPr>
        <w:ind w:right="60" w:firstLine="342"/>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34"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1580" w:space="240"/>
            <w:col w:w="6440" w:space="720"/>
            <w:col w:w="156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5">
            <w:col w:w="1500" w:space="320"/>
            <w:col w:w="160" w:space="80"/>
            <w:col w:w="6200" w:space="720"/>
            <w:col w:w="1940" w:space="340"/>
            <w:col w:w="160"/>
          </w:cols>
          <w:pgMar w:left="240" w:top="230" w:right="239" w:bottom="1440" w:gutter="0" w:footer="0" w:header="0"/>
          <w:type w:val="continuous"/>
        </w:sectPr>
      </w:pPr>
    </w:p>
    <w:p>
      <w:pPr>
        <w:spacing w:after="0" w:line="28" w:lineRule="exact"/>
        <w:rPr>
          <w:sz w:val="24"/>
          <w:szCs w:val="24"/>
          <w:color w:val="auto"/>
        </w:r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5">
            <w:col w:w="8320" w:space="160"/>
            <w:col w:w="260" w:space="80"/>
            <w:col w:w="160" w:space="180"/>
            <w:col w:w="220" w:space="80"/>
            <w:col w:w="1960"/>
          </w:cols>
          <w:pgMar w:left="240" w:top="230" w:right="239" w:bottom="1440" w:gutter="0" w:footer="0" w:header="0"/>
          <w:type w:val="continuous"/>
        </w:sectPr>
      </w:pPr>
    </w:p>
    <w:p>
      <w:pPr>
        <w:ind w:right="600" w:firstLine="342"/>
        <w:spacing w:after="0" w:line="268" w:lineRule="auto"/>
        <w:rPr>
          <w:sz w:val="20"/>
          <w:szCs w:val="20"/>
          <w:color w:val="auto"/>
        </w:rPr>
      </w:pPr>
      <w:r>
        <w:rPr>
          <w:rFonts w:ascii="Arial" w:cs="Arial" w:eastAsia="Arial" w:hAnsi="Arial"/>
          <w:sz w:val="18"/>
          <w:szCs w:val="18"/>
          <w:color w:val="auto"/>
        </w:rPr>
        <w:t>Based on the closing sales price on July 1, 2010, the aggregate market value of the voting and non-voting common stock held by non-affiliates of the registrant was $730,910,371.</w:t>
      </w:r>
    </w:p>
    <w:p>
      <w:pPr>
        <w:spacing w:after="0" w:line="24" w:lineRule="exact"/>
        <w:rPr>
          <w:sz w:val="24"/>
          <w:szCs w:val="24"/>
          <w:color w:val="auto"/>
        </w:rPr>
      </w:pPr>
    </w:p>
    <w:p>
      <w:pPr>
        <w:ind w:right="500" w:firstLine="342"/>
        <w:spacing w:after="0" w:line="268" w:lineRule="auto"/>
        <w:rPr>
          <w:sz w:val="20"/>
          <w:szCs w:val="20"/>
          <w:color w:val="auto"/>
        </w:rPr>
      </w:pPr>
      <w:r>
        <w:rPr>
          <w:rFonts w:ascii="Arial" w:cs="Arial" w:eastAsia="Arial" w:hAnsi="Arial"/>
          <w:sz w:val="18"/>
          <w:szCs w:val="18"/>
          <w:color w:val="auto"/>
        </w:rPr>
        <w:t>As of February 22, 2011, 54,962,822 shares of the registrant’s common stock (including unvested restricted shares), par value of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3"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69" w:lineRule="exact"/>
        <w:rPr>
          <w:sz w:val="24"/>
          <w:szCs w:val="24"/>
          <w:color w:val="auto"/>
        </w:rPr>
      </w:pPr>
    </w:p>
    <w:p>
      <w:pPr>
        <w:ind w:left="360"/>
        <w:spacing w:after="0"/>
        <w:rPr>
          <w:sz w:val="20"/>
          <w:szCs w:val="20"/>
          <w:color w:val="auto"/>
        </w:rPr>
      </w:pPr>
      <w:r>
        <w:rPr>
          <w:rFonts w:ascii="Arial" w:cs="Arial" w:eastAsia="Arial" w:hAnsi="Arial"/>
          <w:sz w:val="16"/>
          <w:szCs w:val="16"/>
          <w:color w:val="auto"/>
        </w:rPr>
        <w:t>Certain portions of the registrant’s definitive proxy statement to be used in connection with its Annual Meeting of Stockholders and to be filed within</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120 days of December 30, 2010 are incorporated by reference into Part III, Items 10-14, of this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80" w:type="dxa"/>
            <w:vAlign w:val="bottom"/>
            <w:gridSpan w:val="8"/>
          </w:tcPr>
          <w:p>
            <w:pPr>
              <w:ind w:left="5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20" w:type="dxa"/>
            <w:vAlign w:val="bottom"/>
            <w:gridSpan w:val="6"/>
            <w:vMerge w:val="restart"/>
          </w:tcPr>
          <w:p>
            <w:pPr>
              <w:jc w:val="center"/>
              <w:ind w:right="4920"/>
              <w:spacing w:after="0"/>
              <w:rPr>
                <w:sz w:val="20"/>
                <w:szCs w:val="20"/>
                <w:color w:val="auto"/>
              </w:rPr>
            </w:pPr>
            <w:r>
              <w:rPr>
                <w:rFonts w:ascii="Arial" w:cs="Arial" w:eastAsia="Arial" w:hAnsi="Arial"/>
                <w:sz w:val="18"/>
                <w:szCs w:val="18"/>
                <w:b w:val="1"/>
                <w:bCs w:val="1"/>
                <w:color w:val="auto"/>
                <w:w w:val="98"/>
              </w:rPr>
              <w:t>PART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20" w:type="dxa"/>
            <w:vAlign w:val="bottom"/>
            <w:gridSpan w:val="6"/>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100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9400" w:type="dxa"/>
            <w:vAlign w:val="bottom"/>
            <w:gridSpan w:val="1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Risk Factors</w:t>
              </w:r>
            </w:hyperlink>
          </w:p>
        </w:tc>
        <w:tc>
          <w:tcPr>
            <w:tcW w:w="914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10040" w:type="dxa"/>
            <w:vAlign w:val="bottom"/>
            <w:gridSpan w:val="1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Unresolved Staff Comments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5"/>
              </w:rPr>
            </w:pPr>
            <w:hyperlink w:anchor="page41">
              <w:r>
                <w:rPr>
                  <w:rFonts w:ascii="Arial" w:cs="Arial" w:eastAsia="Arial" w:hAnsi="Arial"/>
                  <w:sz w:val="18"/>
                  <w:szCs w:val="18"/>
                  <w:color w:val="0000EE"/>
                  <w:w w:val="85"/>
                </w:rPr>
                <w:t>Properties</w:t>
              </w:r>
            </w:hyperlink>
          </w:p>
        </w:tc>
        <w:tc>
          <w:tcPr>
            <w:tcW w:w="1280" w:type="dxa"/>
            <w:vAlign w:val="bottom"/>
            <w:tcBorders>
              <w:top w:val="single" w:sz="8" w:color="0000EE"/>
            </w:tcBorders>
            <w:gridSpan w:val="6"/>
          </w:tcPr>
          <w:p>
            <w:pPr>
              <w:spacing w:after="0"/>
              <w:rPr>
                <w:sz w:val="17"/>
                <w:szCs w:val="17"/>
                <w:color w:val="auto"/>
              </w:rPr>
            </w:pPr>
          </w:p>
        </w:tc>
        <w:tc>
          <w:tcPr>
            <w:tcW w:w="80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0040" w:type="dxa"/>
            <w:vAlign w:val="bottom"/>
            <w:gridSpan w:val="1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Legal Proceedings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10040" w:type="dxa"/>
            <w:vAlign w:val="bottom"/>
            <w:gridSpan w:val="1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Removed and Reserved</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51"/>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20" w:type="dxa"/>
            <w:vAlign w:val="bottom"/>
            <w:gridSpan w:val="6"/>
          </w:tcPr>
          <w:p>
            <w:pPr>
              <w:jc w:val="center"/>
              <w:ind w:right="4940"/>
              <w:spacing w:after="0"/>
              <w:rPr>
                <w:sz w:val="20"/>
                <w:szCs w:val="20"/>
                <w:color w:val="auto"/>
              </w:rPr>
            </w:pPr>
            <w:r>
              <w:rPr>
                <w:rFonts w:ascii="Arial" w:cs="Arial" w:eastAsia="Arial" w:hAnsi="Arial"/>
                <w:sz w:val="18"/>
                <w:szCs w:val="18"/>
                <w:b w:val="1"/>
                <w:bCs w:val="1"/>
                <w:color w:val="auto"/>
                <w:w w:val="99"/>
              </w:rPr>
              <w:t>PART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0040" w:type="dxa"/>
            <w:vAlign w:val="bottom"/>
            <w:gridSpan w:val="19"/>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Market for Registrant’s Common Equity, Related Stockholder Matters and Issuer Purchases of Equity Securities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Selected Financial Data</w:t>
              </w:r>
            </w:hyperlink>
          </w:p>
        </w:tc>
        <w:tc>
          <w:tcPr>
            <w:tcW w:w="6200" w:type="dxa"/>
            <w:vAlign w:val="bottom"/>
            <w:tcBorders>
              <w:top w:val="single" w:sz="8" w:color="0000EE"/>
            </w:tcBorders>
            <w:gridSpan w:val="13"/>
          </w:tcPr>
          <w:p>
            <w:pPr>
              <w:spacing w:after="0"/>
              <w:rPr>
                <w:sz w:val="17"/>
                <w:szCs w:val="17"/>
                <w:color w:val="auto"/>
              </w:rPr>
            </w:pPr>
          </w:p>
        </w:tc>
        <w:tc>
          <w:tcPr>
            <w:tcW w:w="21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10040" w:type="dxa"/>
            <w:vAlign w:val="bottom"/>
            <w:gridSpan w:val="19"/>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422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37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1"/>
          </w:tcPr>
          <w:p>
            <w:pPr>
              <w:spacing w:after="0" w:line="196" w:lineRule="exact"/>
              <w:rPr>
                <w:rFonts w:ascii="Arial" w:cs="Arial" w:eastAsia="Arial" w:hAnsi="Arial"/>
                <w:sz w:val="18"/>
                <w:szCs w:val="18"/>
                <w:color w:val="0000EE"/>
                <w:w w:val="87"/>
              </w:rPr>
            </w:pPr>
            <w:hyperlink w:anchor="page61">
              <w:r>
                <w:rPr>
                  <w:rFonts w:ascii="Arial" w:cs="Arial" w:eastAsia="Arial" w:hAnsi="Arial"/>
                  <w:sz w:val="18"/>
                  <w:szCs w:val="18"/>
                  <w:color w:val="0000EE"/>
                  <w:w w:val="87"/>
                </w:rPr>
                <w:t>Financial Statements and Supplementary Data</w:t>
              </w:r>
            </w:hyperlink>
          </w:p>
        </w:tc>
        <w:tc>
          <w:tcPr>
            <w:tcW w:w="678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36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61">
              <w:r>
                <w:rPr>
                  <w:rFonts w:ascii="Arial" w:cs="Arial" w:eastAsia="Arial" w:hAnsi="Arial"/>
                  <w:sz w:val="18"/>
                  <w:szCs w:val="18"/>
                  <w:color w:val="0000EE"/>
                  <w:w w:val="88"/>
                </w:rPr>
                <w:t>Changes in and Disagreements With Accountants on Accounting and Financial Disclosure</w:t>
              </w:r>
            </w:hyperlink>
          </w:p>
        </w:tc>
        <w:tc>
          <w:tcPr>
            <w:tcW w:w="36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w:anchor="page61">
              <w:r>
                <w:rPr>
                  <w:rFonts w:ascii="Arial" w:cs="Arial" w:eastAsia="Arial" w:hAnsi="Arial"/>
                  <w:sz w:val="18"/>
                  <w:szCs w:val="18"/>
                  <w:color w:val="0000EE"/>
                  <w:w w:val="86"/>
                </w:rPr>
                <w:t>Controls and Procedures</w:t>
              </w:r>
            </w:hyperlink>
          </w:p>
        </w:tc>
        <w:tc>
          <w:tcPr>
            <w:tcW w:w="830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10040" w:type="dxa"/>
            <w:vAlign w:val="bottom"/>
            <w:gridSpan w:val="19"/>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Other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451"/>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20" w:type="dxa"/>
            <w:vAlign w:val="bottom"/>
            <w:gridSpan w:val="6"/>
          </w:tcPr>
          <w:p>
            <w:pPr>
              <w:jc w:val="center"/>
              <w:ind w:right="4920"/>
              <w:spacing w:after="0"/>
              <w:rPr>
                <w:sz w:val="20"/>
                <w:szCs w:val="20"/>
                <w:color w:val="auto"/>
              </w:rPr>
            </w:pPr>
            <w:r>
              <w:rPr>
                <w:rFonts w:ascii="Arial" w:cs="Arial" w:eastAsia="Arial" w:hAnsi="Arial"/>
                <w:sz w:val="18"/>
                <w:szCs w:val="18"/>
                <w:b w:val="1"/>
                <w:bCs w:val="1"/>
                <w:color w:val="auto"/>
              </w:rPr>
              <w:t>PART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10040" w:type="dxa"/>
            <w:vAlign w:val="bottom"/>
            <w:gridSpan w:val="1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Directors, Executive Officers and Corporate Governance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400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Executive Compensation</w:t>
              </w:r>
            </w:hyperlink>
          </w:p>
        </w:tc>
        <w:tc>
          <w:tcPr>
            <w:tcW w:w="604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60" w:type="dxa"/>
            <w:vAlign w:val="bottom"/>
            <w:gridSpan w:val="7"/>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10040" w:type="dxa"/>
            <w:vAlign w:val="bottom"/>
            <w:gridSpan w:val="19"/>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Security Ownership of Certain Beneficial Owners and Management and Related Stockholder Matters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71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Certain Relationships and Related Transactions, and Director Independence</w:t>
              </w:r>
            </w:hyperlink>
          </w:p>
        </w:tc>
        <w:tc>
          <w:tcPr>
            <w:tcW w:w="29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00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53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Principal Accounting Fees and Services</w:t>
              </w:r>
            </w:hyperlink>
          </w:p>
        </w:tc>
        <w:tc>
          <w:tcPr>
            <w:tcW w:w="472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451"/>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20" w:type="dxa"/>
            <w:vAlign w:val="bottom"/>
            <w:gridSpan w:val="6"/>
          </w:tcPr>
          <w:p>
            <w:pPr>
              <w:jc w:val="center"/>
              <w:ind w:right="4920"/>
              <w:spacing w:after="0"/>
              <w:rPr>
                <w:sz w:val="20"/>
                <w:szCs w:val="20"/>
                <w:color w:val="auto"/>
              </w:rPr>
            </w:pPr>
            <w:r>
              <w:rPr>
                <w:rFonts w:ascii="Arial" w:cs="Arial" w:eastAsia="Arial" w:hAnsi="Arial"/>
                <w:sz w:val="18"/>
                <w:szCs w:val="18"/>
                <w:b w:val="1"/>
                <w:bCs w:val="1"/>
                <w:color w:val="auto"/>
                <w:w w:val="98"/>
              </w:rPr>
              <w:t>PART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10040" w:type="dxa"/>
            <w:vAlign w:val="bottom"/>
            <w:gridSpan w:val="1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Exhibits, Financial Statement Schedules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Signatures</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i w:val="1"/>
          <w:iCs w:val="1"/>
          <w:color w:val="auto"/>
        </w:rPr>
        <w:t>The information in this Form 10-K contains certain forward-looking statements, including statements related to trends in the Company’s business. The Company’s actual results may differ materially from the results discussed in the forward-looking statements. Factors that might cause such a difference include those discussed in “Business”, “Risk Factors” and “Management’s Discussion and Analysis of Financial Condition and Results of Operations”, and “Forward Looking Statements” as well as those discussed elsewhere in this Form 10-K.</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this document, unless the context otherwise requires:</w:t>
      </w:r>
    </w:p>
    <w:p>
      <w:pPr>
        <w:spacing w:after="0" w:line="90" w:lineRule="exact"/>
        <w:rPr>
          <w:sz w:val="20"/>
          <w:szCs w:val="20"/>
          <w:color w:val="auto"/>
        </w:rPr>
      </w:pPr>
    </w:p>
    <w:p>
      <w:pPr>
        <w:ind w:left="900" w:right="280" w:hanging="325"/>
        <w:spacing w:after="0" w:line="268"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“NCM, Inc.,” “ the Company,” “we,” “us” or “our” refer to National CineMedia, Inc., a Delaware corporation, and its consolidated subsidiary National CineMedia, LLC;</w:t>
      </w:r>
    </w:p>
    <w:p>
      <w:pPr>
        <w:spacing w:after="0" w:line="50" w:lineRule="exact"/>
        <w:rPr>
          <w:rFonts w:ascii="Arial" w:cs="Arial" w:eastAsia="Arial" w:hAnsi="Arial"/>
          <w:sz w:val="18"/>
          <w:szCs w:val="18"/>
          <w:i w:val="1"/>
          <w:iCs w:val="1"/>
          <w:color w:val="auto"/>
        </w:rPr>
      </w:pPr>
    </w:p>
    <w:p>
      <w:pPr>
        <w:ind w:left="900" w:right="240" w:hanging="325"/>
        <w:spacing w:after="0" w:line="259"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“NCM LLC” refers to National CineMedia, LLC, a Delaware limited liability company, which commenced operations on April 1, 2005, and is the current operating company for our business, which NCM, Inc. acquired an interest in, and became a member and the sole manager of, upon completion of our initial public offering, or “IPO,” which closed on February 13, 2007;</w:t>
      </w:r>
    </w:p>
    <w:p>
      <w:pPr>
        <w:spacing w:after="0" w:line="59" w:lineRule="exact"/>
        <w:rPr>
          <w:rFonts w:ascii="Arial" w:cs="Arial" w:eastAsia="Arial" w:hAnsi="Arial"/>
          <w:sz w:val="18"/>
          <w:szCs w:val="18"/>
          <w:i w:val="1"/>
          <w:iCs w:val="1"/>
          <w:color w:val="auto"/>
        </w:rPr>
      </w:pPr>
    </w:p>
    <w:p>
      <w:pPr>
        <w:ind w:left="900" w:right="100" w:hanging="325"/>
        <w:spacing w:after="0" w:line="256"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“AMC” refers to AMC Entertainment Inc. and its subsidiaries, National Cinema Network, Inc., or “NCN,” which contributed assets used in the operations of NCM LLC and formed NCM LLC in March 2005, AMC ShowPlace Theatres, Inc., which joined NCM LLC in June 2010 in connection with AMC’s acquisition of Kerasotes Showplace Theatres, LLC and American Multi-Cinema, Inc., which became party to an amended and restated exhibitor services agreement, or “ESA,” with NCM LLC upon completion of the IPO;</w:t>
      </w:r>
    </w:p>
    <w:p>
      <w:pPr>
        <w:spacing w:after="0" w:line="62" w:lineRule="exact"/>
        <w:rPr>
          <w:rFonts w:ascii="Arial" w:cs="Arial" w:eastAsia="Arial" w:hAnsi="Arial"/>
          <w:sz w:val="18"/>
          <w:szCs w:val="18"/>
          <w:i w:val="1"/>
          <w:iCs w:val="1"/>
          <w:color w:val="auto"/>
        </w:rPr>
      </w:pPr>
    </w:p>
    <w:p>
      <w:pPr>
        <w:ind w:left="900" w:hanging="325"/>
        <w:spacing w:after="0" w:line="268"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“Cinemark” refers to Cinemark Holdings, Inc. and its subsidiaries, Cinemark Media, Inc., which joined NCM LLC in July 2005, and Cinemark USA, Inc., which became party to an amended and restated ESA with NCM LLC upon completion of the IPO; and</w:t>
      </w:r>
    </w:p>
    <w:p>
      <w:pPr>
        <w:spacing w:after="0" w:line="50" w:lineRule="exact"/>
        <w:rPr>
          <w:rFonts w:ascii="Arial" w:cs="Arial" w:eastAsia="Arial" w:hAnsi="Arial"/>
          <w:sz w:val="18"/>
          <w:szCs w:val="18"/>
          <w:i w:val="1"/>
          <w:iCs w:val="1"/>
          <w:color w:val="auto"/>
        </w:rPr>
      </w:pPr>
    </w:p>
    <w:p>
      <w:pPr>
        <w:jc w:val="both"/>
        <w:ind w:left="900" w:right="160" w:hanging="325"/>
        <w:spacing w:after="0" w:line="259" w:lineRule="auto"/>
        <w:tabs>
          <w:tab w:leader="none" w:pos="90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“Regal” refers to Regal Entertainment Group and its subsidiaries, Regal CineMedia Corporation, or “RCM,” which contributed assets used in the operations of NCM LLC, Regal CineMedia Holdings, LLC, which formed NCM LLC in March 2005, and Regal Cinemas, Inc., which became party to an amended and restated ESA with NCM LLC upon completion of the IPO.</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Company</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NCM, Inc., a Delaware corporation was organized on October 5, 2006 and began operations on February 13, 2007 upon completion of its IPO. NCM, Inc. is a holding company that manages its consolidated subsidiary NCM LLC, but has no business operations or material assets other than its cash and ownership interest of approximately 48.3% of the common membership units in NCM LLC as of December 30, 2010. NCM LLC’s founding members, AMC, Cinemark and Regal, the three largest motion picture exhibition companies in the U.S., hold the remaining 51.7% of NCM LLC’s common membership units. NCM, Inc.’s primary source of cash flow from operations is distributions from NCM LLC pursuant to the NCM LLC operating agreement. NCM, Inc. also receives management fees pursuant to a management services agreement with NCM LLC in exchange for providing specific management services to NCM LLC.</w:t>
      </w:r>
    </w:p>
    <w:p>
      <w:pPr>
        <w:spacing w:after="0" w:line="12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NCM LLC has long-term ESAs with NCM LLC’s founding members and multi-year agreements with several other theatre operators whom we refer to as network affiliates. The ESAs and network affiliate agreements grant NCM LLC exclusive rights in their theatres, subject to limited exceptions, to sell advertising and to sell and distribute entertainment programming and meeting and communication services through our Fathom Events division.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We operate the largest digital in-theatre media network in North America. We sell and produce advertising pre-shows and Fathom business and consumer entertainment events that we distribute across our digital content network (“DCN”) and live digital broadcast network (“DBN”) utilizing our proprietary digital content software (“DCS”). We currently derive revenue principally from the following activities:</w:t>
      </w:r>
    </w:p>
    <w:p>
      <w:pPr>
        <w:spacing w:after="0" w:line="59"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Advertising</w:t>
      </w:r>
      <w:r>
        <w:rPr>
          <w:rFonts w:ascii="Arial" w:cs="Arial" w:eastAsia="Arial" w:hAnsi="Arial"/>
          <w:sz w:val="16"/>
          <w:szCs w:val="16"/>
          <w:color w:val="auto"/>
        </w:rPr>
        <w:t>: We develop, produce, sell and distribute several versions of a branded pre-feature entertainment and advertising program called</w:t>
      </w:r>
    </w:p>
    <w:p>
      <w:pPr>
        <w:spacing w:after="0" w:line="38" w:lineRule="exact"/>
        <w:rPr>
          <w:rFonts w:ascii="Arial" w:cs="Arial" w:eastAsia="Arial" w:hAnsi="Arial"/>
          <w:sz w:val="16"/>
          <w:szCs w:val="16"/>
          <w:color w:val="auto"/>
        </w:rPr>
      </w:pPr>
    </w:p>
    <w:p>
      <w:pPr>
        <w:ind w:left="900" w:right="220"/>
        <w:spacing w:after="0" w:line="323" w:lineRule="auto"/>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FirstLook</w:t>
      </w:r>
      <w:r>
        <w:rPr>
          <w:rFonts w:ascii="Arial" w:cs="Arial" w:eastAsia="Arial" w:hAnsi="Arial"/>
          <w:sz w:val="16"/>
          <w:szCs w:val="16"/>
          <w:color w:val="auto"/>
        </w:rPr>
        <w:t>” on theatre screens and advertising programming on our lobby entertainment network (“LEN”). We also sell other forms of advertising and promotions in theatre lobbies. For the year ended December 30, 2010, advertising accounted for 88.7% of our total revenue.</w:t>
      </w:r>
    </w:p>
    <w:p>
      <w:pPr>
        <w:spacing w:after="0" w:line="11" w:lineRule="exact"/>
        <w:rPr>
          <w:rFonts w:ascii="Arial" w:cs="Arial" w:eastAsia="Arial" w:hAnsi="Arial"/>
          <w:sz w:val="16"/>
          <w:szCs w:val="16"/>
          <w:color w:val="auto"/>
        </w:rPr>
      </w:pPr>
    </w:p>
    <w:p>
      <w:pPr>
        <w:ind w:left="900" w:right="280" w:hanging="325"/>
        <w:spacing w:after="0" w:line="294"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Fathom Events and Other</w:t>
      </w:r>
      <w:r>
        <w:rPr>
          <w:rFonts w:ascii="Arial" w:cs="Arial" w:eastAsia="Arial" w:hAnsi="Arial"/>
          <w:sz w:val="16"/>
          <w:szCs w:val="16"/>
          <w:color w:val="auto"/>
        </w:rPr>
        <w:t>: We produce, market and distribute entertainment programming through our Fathom Consumer division and multi-site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communication and marketing events through our Fathom Business division to theatres across our DCN (for pre-recorded events) and DBN (for both live and pre-recorded events). Our Fathom Business division also facilitates business meetings, church services, and corporate marketing/communication events in individual movie theatres throughout our theatre network. For the year ended December 30, 2010, Fathom Events accounted for 11.3% of our total revenue.</w:t>
      </w:r>
    </w:p>
    <w:p>
      <w:pPr>
        <w:spacing w:after="0" w:line="1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believe that the reach and digital delivery capability of our network provide an effective platform for national and local advertisers to reach a large, young and affluent audience on a highly-targeted, engaging and measurable basis, and for corporations to market to their customers and communicate with their employees. As of December, 30, 2010, our network is currently located in 47 states and the District of Columbia and covers all of the top 25, as well as 49 of the top 50 and 97 of the top 100, Designated Market Areas</w:t>
      </w:r>
      <w:r>
        <w:rPr>
          <w:rFonts w:ascii="Arial" w:cs="Arial" w:eastAsia="Arial" w:hAnsi="Arial"/>
          <w:sz w:val="10"/>
          <w:szCs w:val="10"/>
          <w:color w:val="auto"/>
        </w:rPr>
        <w:t>®</w:t>
      </w:r>
      <w:r>
        <w:rPr>
          <w:rFonts w:ascii="Arial" w:cs="Arial" w:eastAsia="Arial" w:hAnsi="Arial"/>
          <w:sz w:val="16"/>
          <w:szCs w:val="16"/>
          <w:color w:val="auto"/>
        </w:rPr>
        <w:t>, or DMAs</w:t>
      </w:r>
      <w:r>
        <w:rPr>
          <w:rFonts w:ascii="Arial" w:cs="Arial" w:eastAsia="Arial" w:hAnsi="Arial"/>
          <w:sz w:val="10"/>
          <w:szCs w:val="10"/>
          <w:color w:val="auto"/>
        </w:rPr>
        <w:t>®</w:t>
      </w:r>
      <w:r>
        <w:rPr>
          <w:rFonts w:ascii="Arial" w:cs="Arial" w:eastAsia="Arial" w:hAnsi="Arial"/>
          <w:sz w:val="16"/>
          <w:szCs w:val="16"/>
          <w:color w:val="auto"/>
        </w:rPr>
        <w:t>, and 170 DMAs</w:t>
      </w:r>
      <w:r>
        <w:rPr>
          <w:rFonts w:ascii="Arial" w:cs="Arial" w:eastAsia="Arial" w:hAnsi="Arial"/>
          <w:sz w:val="10"/>
          <w:szCs w:val="10"/>
          <w:color w:val="auto"/>
        </w:rPr>
        <w:t>®</w:t>
      </w:r>
      <w:r>
        <w:rPr>
          <w:rFonts w:ascii="Arial" w:cs="Arial" w:eastAsia="Arial" w:hAnsi="Arial"/>
          <w:sz w:val="16"/>
          <w:szCs w:val="16"/>
          <w:color w:val="auto"/>
        </w:rPr>
        <w:t xml:space="preserve"> in total. DMA</w:t>
      </w:r>
      <w:r>
        <w:rPr>
          <w:rFonts w:ascii="Arial" w:cs="Arial" w:eastAsia="Arial" w:hAnsi="Arial"/>
          <w:sz w:val="10"/>
          <w:szCs w:val="10"/>
          <w:color w:val="auto"/>
        </w:rPr>
        <w:t>®</w:t>
      </w:r>
      <w:r>
        <w:rPr>
          <w:rFonts w:ascii="Arial" w:cs="Arial" w:eastAsia="Arial" w:hAnsi="Arial"/>
          <w:sz w:val="16"/>
          <w:szCs w:val="16"/>
          <w:color w:val="auto"/>
        </w:rPr>
        <w:t xml:space="preserve"> is a registered trademark of </w:t>
      </w:r>
      <w:r>
        <w:rPr>
          <w:rFonts w:ascii="Arial" w:cs="Arial" w:eastAsia="Arial" w:hAnsi="Arial"/>
          <w:sz w:val="16"/>
          <w:szCs w:val="16"/>
          <w:i w:val="1"/>
          <w:iCs w:val="1"/>
          <w:color w:val="auto"/>
        </w:rPr>
        <w:t>Nielsen Media Research, Inc</w:t>
      </w:r>
      <w:r>
        <w:rPr>
          <w:rFonts w:ascii="Arial" w:cs="Arial" w:eastAsia="Arial" w:hAnsi="Arial"/>
          <w:sz w:val="16"/>
          <w:szCs w:val="16"/>
          <w:color w:val="auto"/>
        </w:rPr>
        <w:t>. As of December 30, 2010, our Fathom Events DBN network is located in all 50 states and the District of Columbia and covers all top 50 DMAs</w:t>
      </w:r>
      <w:r>
        <w:rPr>
          <w:rFonts w:ascii="Arial" w:cs="Arial" w:eastAsia="Arial" w:hAnsi="Arial"/>
          <w:sz w:val="10"/>
          <w:szCs w:val="10"/>
          <w:color w:val="auto"/>
        </w:rPr>
        <w:t>®</w:t>
      </w:r>
      <w:r>
        <w:rPr>
          <w:rFonts w:ascii="Arial" w:cs="Arial" w:eastAsia="Arial" w:hAnsi="Arial"/>
          <w:sz w:val="16"/>
          <w:szCs w:val="16"/>
          <w:color w:val="auto"/>
        </w:rPr>
        <w:t xml:space="preserve"> and 162 DMAs</w:t>
      </w:r>
      <w:r>
        <w:rPr>
          <w:rFonts w:ascii="Arial" w:cs="Arial" w:eastAsia="Arial" w:hAnsi="Arial"/>
          <w:sz w:val="10"/>
          <w:szCs w:val="10"/>
          <w:color w:val="auto"/>
        </w:rPr>
        <w:t>®</w:t>
      </w:r>
      <w:r>
        <w:rPr>
          <w:rFonts w:ascii="Arial" w:cs="Arial" w:eastAsia="Arial" w:hAnsi="Arial"/>
          <w:sz w:val="16"/>
          <w:szCs w:val="16"/>
          <w:color w:val="auto"/>
        </w:rPr>
        <w:t xml:space="preserve"> in total. During 2010, approximately 678 million patrons attended movies shown in theatres currently included in our advertising network. As of December 30, 2010, we had a total of 17,302 screens in our advertising network, 16,003 of which are digital, and 863 screens in our Fathom DBN. A summary of the screens in our advertising network is set forth in the table below:</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Our Network</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of December 30, 2010)</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5"/>
              </w:rPr>
              <w:t>Fathom Events</w:t>
            </w:r>
          </w:p>
        </w:tc>
      </w:tr>
      <w:tr>
        <w:trPr>
          <w:trHeight w:val="161"/>
        </w:trPr>
        <w:tc>
          <w:tcPr>
            <w:tcW w:w="3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00" w:type="dxa"/>
            <w:vAlign w:val="bottom"/>
            <w:gridSpan w:val="4"/>
          </w:tcPr>
          <w:p>
            <w:pPr>
              <w:jc w:val="right"/>
              <w:ind w:right="1260"/>
              <w:spacing w:after="0"/>
              <w:rPr>
                <w:sz w:val="20"/>
                <w:szCs w:val="20"/>
                <w:color w:val="auto"/>
              </w:rPr>
            </w:pPr>
            <w:r>
              <w:rPr>
                <w:rFonts w:ascii="Arial" w:cs="Arial" w:eastAsia="Arial" w:hAnsi="Arial"/>
                <w:sz w:val="14"/>
                <w:szCs w:val="14"/>
                <w:b w:val="1"/>
                <w:bCs w:val="1"/>
                <w:color w:val="auto"/>
              </w:rPr>
              <w:t>Advertising Network</w:t>
            </w: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DBN</w:t>
            </w:r>
          </w:p>
        </w:tc>
      </w:tr>
      <w:tr>
        <w:trPr>
          <w:trHeight w:val="142"/>
        </w:trPr>
        <w:tc>
          <w:tcPr>
            <w:tcW w:w="382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2"/>
              </w:rPr>
              <w:t>Theatres</w:t>
            </w:r>
          </w:p>
        </w:tc>
        <w:tc>
          <w:tcPr>
            <w:tcW w:w="74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w w:val="82"/>
              </w:rPr>
              <w:t>Digital Screens</w:t>
            </w:r>
          </w:p>
        </w:tc>
        <w:tc>
          <w:tcPr>
            <w:tcW w:w="1500" w:type="dxa"/>
            <w:vAlign w:val="bottom"/>
            <w:tcBorders>
              <w:top w:val="single" w:sz="8" w:color="auto"/>
            </w:tcBorders>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w w:val="80"/>
              </w:rPr>
              <w:t>Total Screens</w:t>
            </w:r>
          </w:p>
        </w:tc>
        <w:tc>
          <w:tcPr>
            <w:tcW w:w="6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 of Total</w:t>
            </w:r>
          </w:p>
        </w:tc>
        <w:tc>
          <w:tcPr>
            <w:tcW w:w="740" w:type="dxa"/>
            <w:vAlign w:val="bottom"/>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Digital Screens</w:t>
            </w:r>
          </w:p>
        </w:tc>
        <w:tc>
          <w:tcPr>
            <w:tcW w:w="100" w:type="dxa"/>
            <w:vAlign w:val="bottom"/>
          </w:tcPr>
          <w:p>
            <w:pPr>
              <w:spacing w:after="0"/>
              <w:rPr>
                <w:sz w:val="12"/>
                <w:szCs w:val="12"/>
                <w:color w:val="auto"/>
              </w:rPr>
            </w:pPr>
          </w:p>
        </w:tc>
      </w:tr>
      <w:tr>
        <w:trPr>
          <w:trHeight w:val="20"/>
        </w:trPr>
        <w:tc>
          <w:tcPr>
            <w:tcW w:w="3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Founding Members (1)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7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14,228</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14,997</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Network Affiliates</w:t>
            </w:r>
          </w:p>
        </w:tc>
        <w:tc>
          <w:tcPr>
            <w:tcW w:w="500" w:type="dxa"/>
            <w:vAlign w:val="bottom"/>
          </w:tcPr>
          <w:p>
            <w:pPr>
              <w:jc w:val="right"/>
              <w:spacing w:after="0"/>
              <w:rPr>
                <w:sz w:val="20"/>
                <w:szCs w:val="20"/>
                <w:color w:val="auto"/>
              </w:rPr>
            </w:pPr>
            <w:r>
              <w:rPr>
                <w:rFonts w:ascii="Arial" w:cs="Arial" w:eastAsia="Arial" w:hAnsi="Arial"/>
                <w:sz w:val="18"/>
                <w:szCs w:val="18"/>
                <w:color w:val="auto"/>
              </w:rPr>
              <w:t>226</w:t>
            </w:r>
          </w:p>
        </w:tc>
        <w:tc>
          <w:tcPr>
            <w:tcW w:w="74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1,775</w:t>
            </w:r>
          </w:p>
        </w:tc>
        <w:tc>
          <w:tcPr>
            <w:tcW w:w="1500" w:type="dxa"/>
            <w:vAlign w:val="bottom"/>
            <w:gridSpan w:val="2"/>
          </w:tcPr>
          <w:p>
            <w:pPr>
              <w:jc w:val="right"/>
              <w:ind w:right="740"/>
              <w:spacing w:after="0"/>
              <w:rPr>
                <w:sz w:val="20"/>
                <w:szCs w:val="20"/>
                <w:color w:val="auto"/>
              </w:rPr>
            </w:pPr>
            <w:r>
              <w:rPr>
                <w:rFonts w:ascii="Arial" w:cs="Arial" w:eastAsia="Arial" w:hAnsi="Arial"/>
                <w:sz w:val="18"/>
                <w:szCs w:val="18"/>
                <w:color w:val="auto"/>
              </w:rPr>
              <w:t>2,305</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13.3%</w:t>
            </w:r>
          </w:p>
        </w:tc>
        <w:tc>
          <w:tcPr>
            <w:tcW w:w="88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r>
      <w:tr>
        <w:trPr>
          <w:trHeight w:val="27"/>
        </w:trPr>
        <w:tc>
          <w:tcPr>
            <w:tcW w:w="38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7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16,003</w:t>
            </w:r>
          </w:p>
        </w:tc>
        <w:tc>
          <w:tcPr>
            <w:tcW w:w="15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17,302</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100.0%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AMC Kerasotes</w:t>
      </w:r>
    </w:p>
    <w:p>
      <w:pPr>
        <w:spacing w:after="0" w:line="76" w:lineRule="exact"/>
        <w:rPr>
          <w:rFonts w:ascii="Arial" w:cs="Arial" w:eastAsia="Arial" w:hAnsi="Arial"/>
          <w:sz w:val="18"/>
          <w:szCs w:val="18"/>
          <w:i w:val="1"/>
          <w:iCs w:val="1"/>
          <w:color w:val="auto"/>
        </w:rPr>
      </w:pPr>
    </w:p>
    <w:p>
      <w:pPr>
        <w:ind w:left="580" w:hanging="572"/>
        <w:spacing w:after="0"/>
        <w:tabs>
          <w:tab w:leader="none" w:pos="5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Excludes Consolidated Theatres and Rave Cinemas, LLC as discussed below</w:t>
      </w:r>
    </w:p>
    <w:p>
      <w:pPr>
        <w:spacing w:after="0" w:line="17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On April 30, 2008, Regal acquired Consolidated Theatres. As of December 30, 2010, Consolidated Theatres operated 28 theatres with 399 screens. In accordance with the ESA, these theatres will become part of our network in mid-2011 once the existing cinema advertising agreement terminates. Prior to these screens joining our network, in exchange for the issuance of new NCM LLC units as defined in the Common Unit Adjustment Agreement, Regal will make a cash payment to us that represents an estimate of Operating Income Before Depreciation and Amortization (“OIBDA”) that would have been generated from these screens had they been part of our network.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During 2010 we entered into a multi-year network affiliate agreement with Rave Cinemas, LLC (“Rave”). As of December 30, 2010, Rave operated 33 theatres with 475 screens. The Rave screens, which were acquired from National Amusements, are subject to the run-out of certain pre-existing contractual obligations for on-screen advertising and will become part of our advertising network in mid-2011.</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expect our digital network to continue to expand through the addition of new theatres pursuant to agreements with new network affiliates and net increases in the number of screens built or acquired by the founding members of NCM LLC.</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On-Screen Advertising</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Our on-screen digital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pre-feature show consists of national and local advertising, as well as behind the scenes “making of” and other entertainment content provided by our content partners. The pre-feature show generally ranges in length from 20 to 30 minutes and ends at or about the advertised show time. We distribute several versions of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each month, including versions for each movie rating that are customized with the theatre circuits branding and a version called </w:t>
      </w:r>
      <w:r>
        <w:rPr>
          <w:rFonts w:ascii="Arial" w:cs="Arial" w:eastAsia="Arial" w:hAnsi="Arial"/>
          <w:sz w:val="16"/>
          <w:szCs w:val="16"/>
          <w:i w:val="1"/>
          <w:iCs w:val="1"/>
          <w:color w:val="auto"/>
        </w:rPr>
        <w:t>FirstLook Play</w:t>
      </w:r>
      <w:r>
        <w:rPr>
          <w:rFonts w:ascii="Arial" w:cs="Arial" w:eastAsia="Arial" w:hAnsi="Arial"/>
          <w:sz w:val="16"/>
          <w:szCs w:val="16"/>
          <w:color w:val="auto"/>
        </w:rPr>
        <w:t xml:space="preserve"> designed for a young audience and played generally before “G” rated animated films. In April 2010, we began delivering our first 3D advertising campaigns; 3D ads are placed in a 3D pod that runs at the end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prior to 3D films.</w:t>
      </w:r>
    </w:p>
    <w:p>
      <w:pPr>
        <w:spacing w:after="0" w:line="1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majority of our entertainment content segments are provided to us under exclusive multi-year contractual arrangements with leading media and entertainment companies that we refer to as content partners. Under the terms of the contracts, our content partners make available to us original content segments and make commitments (generally two years) to buy a portion of our advertising inventory at a specified CPM (defined below). The original content produced by these content partners typically features behind-the-scenes interviews with producers, directors and actors or “making-of” segments relating to feature films, upcoming broadcasts or cable television shows. In addition, we have an exclusive cell phone courtesy public service announcement (“PSA”) reminding moviegoers to silence their cell phones and refrain from texting during the showing of the feature film.</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National advertising is sold on a CPM (cost per thousand) impressions basis, while local advertising is sold on a per-screen, per-week basis. While we generally sell our network as a national network by movie rating or groups of ratings, we also have the ability to sell portions of our network on a regional basis or by individual movie or movie genre grouping, offering national advertisers a way to target specific audience demographics, at various price points and overall cost levels, which expands the number of potential clients.</w:t>
      </w:r>
    </w:p>
    <w:p>
      <w:pPr>
        <w:spacing w:after="0" w:line="14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pre-feature advertising begins with a three to five-minute looping segment that consists of a digital carousel of static and moving slide images primarily for local advertisers. This digital carousel can loop partially or repeatedly and provides a mechanism to contract or expand depending on the time between feature film presentations. The local advertisements shown in the digital carousel are generally our lowest cost advertising inventory. We often bundle time in the digital carousel presentation with other local on-screen or lobby advertising inventory.</w:t>
      </w:r>
    </w:p>
    <w:p>
      <w:pPr>
        <w:spacing w:after="0" w:line="113" w:lineRule="exact"/>
        <w:rPr>
          <w:sz w:val="20"/>
          <w:szCs w:val="20"/>
          <w:color w:val="auto"/>
        </w:rPr>
      </w:pPr>
    </w:p>
    <w:p>
      <w:pPr>
        <w:ind w:right="500" w:firstLine="456"/>
        <w:spacing w:after="0" w:line="306" w:lineRule="auto"/>
        <w:rPr>
          <w:sz w:val="20"/>
          <w:szCs w:val="20"/>
          <w:color w:val="auto"/>
        </w:rPr>
      </w:pPr>
      <w:r>
        <w:rPr>
          <w:rFonts w:ascii="Arial" w:cs="Arial" w:eastAsia="Arial" w:hAnsi="Arial"/>
          <w:sz w:val="16"/>
          <w:szCs w:val="16"/>
          <w:color w:val="auto"/>
        </w:rPr>
        <w:t xml:space="preserve">Following the conclusion of the digital carousel, the branded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commences.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and </w:t>
      </w:r>
      <w:r>
        <w:rPr>
          <w:rFonts w:ascii="Arial" w:cs="Arial" w:eastAsia="Arial" w:hAnsi="Arial"/>
          <w:sz w:val="16"/>
          <w:szCs w:val="16"/>
          <w:i w:val="1"/>
          <w:iCs w:val="1"/>
          <w:color w:val="auto"/>
        </w:rPr>
        <w:t>FirstLook Play</w:t>
      </w:r>
      <w:r>
        <w:rPr>
          <w:rFonts w:ascii="Arial" w:cs="Arial" w:eastAsia="Arial" w:hAnsi="Arial"/>
          <w:sz w:val="16"/>
          <w:szCs w:val="16"/>
          <w:color w:val="auto"/>
        </w:rPr>
        <w:t xml:space="preserve"> were created in order to provide a more entertaining pre-feature program for theatre patrons and a more targeted and effective advertising platform for our advertising clients by integrating full-motion local and national advertising with entertainment content segments primarily provided by our content partners.</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FirstLook </w:t>
      </w:r>
      <w:r>
        <w:rPr>
          <w:rFonts w:ascii="Arial" w:cs="Arial" w:eastAsia="Arial" w:hAnsi="Arial"/>
          <w:sz w:val="18"/>
          <w:szCs w:val="18"/>
          <w:color w:val="auto"/>
        </w:rPr>
        <w:t>is comprised of up to four segments, each approximately four to seven minutes in length. Segment four, the first section of</w:t>
      </w:r>
      <w:r>
        <w:rPr>
          <w:rFonts w:ascii="Arial" w:cs="Arial" w:eastAsia="Arial" w:hAnsi="Arial"/>
          <w:sz w:val="18"/>
          <w:szCs w:val="18"/>
          <w:i w:val="1"/>
          <w:iCs w:val="1"/>
          <w:color w:val="auto"/>
        </w:rPr>
        <w:t xml:space="preserve"> FirstLook</w:t>
      </w:r>
      <w:r>
        <w:rPr>
          <w:rFonts w:ascii="Arial" w:cs="Arial" w:eastAsia="Arial" w:hAnsi="Arial"/>
          <w:sz w:val="18"/>
          <w:szCs w:val="18"/>
          <w:color w:val="auto"/>
        </w:rPr>
        <w:t>, begins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20 to 25 minutes prior to the advertised show time and generally includes local advertising. Segment three typically begins approximately 18 minutes prior to the advertised show time and features primarily 15 or 30-second local or regional advertisements by individual theatres, or across an entire DMA or series of DMAs. Segment three also includes a two and one-half minute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entertainment content segment. Segment two and segment one run closest to the advertised show time and feature primarily national advertisements. Both segment two and segment one include a two and one-half minute entertainment content segment provided by our content partners, along with national advertisements which are generally 30 or 60 seconds, including a 60 second advertisement at the end of segment one for the circuits’ beverage supplier. Segment two and segment one begin approximately 13 minutes and eight minutes, respectively, before the advertised show time.</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April 2010, we began selling 3D advertising that runs prior to select 3D films. The 3D advertisements are placed at the end of the 2D portion of the </w:t>
      </w:r>
      <w:r>
        <w:rPr>
          <w:rFonts w:ascii="Arial" w:cs="Arial" w:eastAsia="Arial" w:hAnsi="Arial"/>
          <w:sz w:val="16"/>
          <w:szCs w:val="16"/>
          <w:i w:val="1"/>
          <w:iCs w:val="1"/>
          <w:color w:val="auto"/>
        </w:rPr>
        <w:t xml:space="preserve">FirstLook </w:t>
      </w:r>
      <w:r>
        <w:rPr>
          <w:rFonts w:ascii="Arial" w:cs="Arial" w:eastAsia="Arial" w:hAnsi="Arial"/>
          <w:sz w:val="16"/>
          <w:szCs w:val="16"/>
          <w:color w:val="auto"/>
        </w:rPr>
        <w:t>pre-show, in front of feature film trailers (primarily 3D) and the 3D feature film. These 3D ads provide advertising CPMs that have an average 50%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100% higher than average 2D pricing due to the improved recall (based on third-party research) associated with those 3D ads. Theatre patrons are prompted to put their glasses on prior to the 3D portion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so they can be kept on throughout the end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during the film trailers and 3D feature film. This structure is designed to provide a better theatre patron experience.</w:t>
      </w:r>
    </w:p>
    <w:p>
      <w:pPr>
        <w:spacing w:after="0" w:line="11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Approximately 92% of our total screens are part of our DCN representing approximately 94% of our total network attendance. As of February 15, 2011, approximately 2,800 of our 16,000 total digital screens are equipped with more powerful digital cinema projectors, with the remainder comprised of LCD projectors. The non-digital screens display national advertisements on 35 mm film or “rolling stock” and local advertisements using slide carousels.</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The film trailers that typically run before the feature film are not part of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Film trailers do not begin until after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ends at or about the advertised show time.</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We offer multiple versions of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each month that include advertising content that is appropriate for a specific film rating category and branding of the specific theatre operator. This programming flexibility provides advertisers with the ability to target specific audience demographics and gives us the ability to ensure that the content and advertising is age-appropriate for the movie audience. We rotate the entertainment content segments between theatres approximately every two weeks to ensure that frequent moviegoers are entertained by fresh content segments.</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Our goal in creating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as a branded entertainment program is to create a new “first release window” for advertising into the marketplace, similar to the way films are released first in cinemas. To that end, we encourage advertisers to provide us with advertisements before they are shown on other media platforms, different versions of those advertisements, or original content that is specifically created for cinema. We also offer pre- and post-production services to our clients (primarily local), for a fee, to enhance the quality of the content we display.</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also includes time slots for founding member and network affiliate advertisements to promote various activities associated with the operation of the theatres, including concessions, online ticketing partners, gift card and loyalty programs, special events presented by the theatre operator and vendors of services provided to theatres, so long as such promotion is incidental to the vendor’s service or products sold in the theatre. This time is provided by us to the theatre operator at no charge and generally includes 45 seconds within 15 minutes of show time, 15 seconds of which will be placed within 11 minutes of show time, and the remainder placed at our discretion. We may move the placement of the theatre operator advertisements up to one minute further from the advertised movie show time if we sell additional advertising units to third parties that precede the founding member advertisements.</w:t>
      </w:r>
    </w:p>
    <w:p>
      <w:pPr>
        <w:spacing w:after="0" w:line="12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 xml:space="preserve">Currently, under the ESAs the last 60 seconds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is sold to all of our founding members. Prior to 2008, 90 seconds had been sold to all of our founding members. During 2008 the founding members renegotiated their agreements with their beverage supplier and as a result the on-screen beverage advertising was reduced to 60 seconds and NCM began to sell the other 30 seconds to other clients. This time is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used to satisfy the circuits’ on-screen advertising commitments under their beverage concessionaire agreements. This time is priced on an agreed CPM, which increases each year as specified in the ESA.</w:t>
      </w:r>
    </w:p>
    <w:p>
      <w:pPr>
        <w:spacing w:after="0" w:line="132"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arrangements with NCM LLC’s founding members relating to on-screen advertising for their beverage concessionaires, and the agreements with our content partners and the cell phone PSA combined represented approximately $115.0 million or 27% of our total revenue for the year ended December 30, 2010.</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Lobby Network and Promotions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Lobby Entertainment Network. </w:t>
      </w:r>
      <w:r>
        <w:rPr>
          <w:rFonts w:ascii="Arial" w:cs="Arial" w:eastAsia="Arial" w:hAnsi="Arial"/>
          <w:sz w:val="16"/>
          <w:szCs w:val="16"/>
          <w:color w:val="auto"/>
        </w:rPr>
        <w:t>Our LEN is a network of television and high-definition plasma screens strategically located throughout the lobbies of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majority of our digitally equipped theatres. As of December 30, 2010, our LEN had 2,656 screens in 1,200 founding member and network affiliate theatres connected to our DCN. The LEN screens are strategically placed in high-traffic locations such as concession stands and film queuing and other waiting areas. Programming on our LEN consists of an approximately 30-minute loop of branded entertainment content segments created specifically for the lobby with advertisements running between each segment. Our LEN programming has the same programming flexibility as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on-screen programming. The LEN is currently displaying the same program simultaneously on all lobby screens within a given theatre, which we believe provides the maximum impact for our advertisers. We sell national and local advertising on the LEN individually or bundled with on-screen or other lobby promotions. The LEN programming includes up to two minutes for founding member advertisements to promote activities associated with the operation of the theatres, including concessions, ticketing partners, gift card and loyalty programs, special events presented by the theatre operator, vendors of services provided to theatres, so long as such promotion is incidental to the vendor’s service. Additionally, subject to certain limitations, the LEN programming includes up to two minutes (one minute of which we provide to the founding member at no cost and one minute of which the founding member may purchase) to promote certain non-exclusive cross-marketing relationships entered into by the theatre operators for the purpose of increasing theatre attendance, which we call strategic programs.</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Under the terms of the ESAs, the founding members also have the right to install additional screens in their theatre lobbies, which would not display our LEN programming, and would be used to promote strategic programs or their theatre concessions, ticketing partners, gift card and loyalty programs, special events presented by the founding member and vendors of services provided to theatres, so long as such promotion is incidental to the vendor’s service.</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 xml:space="preserve">Lobby Promotions. </w:t>
      </w:r>
      <w:r>
        <w:rPr>
          <w:rFonts w:ascii="Arial" w:cs="Arial" w:eastAsia="Arial" w:hAnsi="Arial"/>
          <w:sz w:val="18"/>
          <w:szCs w:val="18"/>
          <w:color w:val="auto"/>
        </w:rPr>
        <w:t>We also sell a wide variety of advertising and promotional products in our theatre lobbies. These products can be sold individually or</w:t>
      </w:r>
      <w:r>
        <w:rPr>
          <w:rFonts w:ascii="Arial" w:cs="Arial" w:eastAsia="Arial" w:hAnsi="Arial"/>
          <w:sz w:val="18"/>
          <w:szCs w:val="18"/>
          <w:i w:val="1"/>
          <w:iCs w:val="1"/>
          <w:color w:val="auto"/>
        </w:rPr>
        <w:t xml:space="preserve"> </w:t>
      </w:r>
      <w:r>
        <w:rPr>
          <w:rFonts w:ascii="Arial" w:cs="Arial" w:eastAsia="Arial" w:hAnsi="Arial"/>
          <w:sz w:val="18"/>
          <w:szCs w:val="18"/>
          <w:color w:val="auto"/>
        </w:rPr>
        <w:t>bundled with on-screen or LEN advertising. Lobby promotions typically include:</w:t>
      </w:r>
    </w:p>
    <w:p>
      <w:pPr>
        <w:spacing w:after="0" w:line="5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advertising on tickets and concession items such as beverage cups, popcorn bags and kids’ trays;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coupons and promotional materials, which are customizable by film or film rating category and are distributed to ticket buyers at the box office;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product sampling and display;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signage throughout the lobbies, including posters, banners, counter cards, danglers, floor mats, standees and window clings.</w:t>
      </w:r>
    </w:p>
    <w:p>
      <w:pPr>
        <w:spacing w:after="0" w:line="17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Under the terms of the ESAs, the founding members may conduct a limited number of lobby promotions at no charge in connection with the promotion of motion pictures and their strategic programs; however, such activities will not reduce the lobby promotions inventory available to us.</w:t>
      </w:r>
    </w:p>
    <w:p>
      <w:pPr>
        <w:spacing w:after="0" w:line="85"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ability to provide in-lobby marketing and promotional placements in conjunction with our other marketing solutions allows us to provide integrated marketing products to advertisers with multiple interactions with theatre patrons throughout the movie-going experience, which we believe is a competitive advantage over other national media platforms.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Branded Entertainment Websites and Mobile Applications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In 2009, we launched our branded consumer entertainment website, </w:t>
      </w:r>
      <w:r>
        <w:rPr>
          <w:rFonts w:ascii="Arial" w:cs="Arial" w:eastAsia="Arial" w:hAnsi="Arial"/>
          <w:sz w:val="16"/>
          <w:szCs w:val="16"/>
          <w:i w:val="1"/>
          <w:iCs w:val="1"/>
          <w:color w:val="auto"/>
        </w:rPr>
        <w:t>ncm.com,</w:t>
      </w:r>
      <w:r>
        <w:rPr>
          <w:rFonts w:ascii="Arial" w:cs="Arial" w:eastAsia="Arial" w:hAnsi="Arial"/>
          <w:sz w:val="16"/>
          <w:szCs w:val="16"/>
          <w:color w:val="auto"/>
        </w:rPr>
        <w:t xml:space="preserve"> and updated our </w:t>
      </w:r>
      <w:r>
        <w:rPr>
          <w:rFonts w:ascii="Arial" w:cs="Arial" w:eastAsia="Arial" w:hAnsi="Arial"/>
          <w:sz w:val="16"/>
          <w:szCs w:val="16"/>
          <w:i w:val="1"/>
          <w:iCs w:val="1"/>
          <w:color w:val="auto"/>
        </w:rPr>
        <w:t>FathomEvents.com</w:t>
      </w:r>
      <w:r>
        <w:rPr>
          <w:rFonts w:ascii="Arial" w:cs="Arial" w:eastAsia="Arial" w:hAnsi="Arial"/>
          <w:sz w:val="16"/>
          <w:szCs w:val="16"/>
          <w:color w:val="auto"/>
        </w:rPr>
        <w:t xml:space="preserve"> website and launched our online advertising network. In 2010 we launched our first two mobile apps, </w:t>
      </w:r>
      <w:r>
        <w:rPr>
          <w:rFonts w:ascii="Arial" w:cs="Arial" w:eastAsia="Arial" w:hAnsi="Arial"/>
          <w:sz w:val="16"/>
          <w:szCs w:val="16"/>
          <w:i w:val="1"/>
          <w:iCs w:val="1"/>
          <w:color w:val="auto"/>
        </w:rPr>
        <w:t>Movie Mystic</w:t>
      </w:r>
      <w:r>
        <w:rPr>
          <w:rFonts w:ascii="Arial" w:cs="Arial" w:eastAsia="Arial" w:hAnsi="Arial"/>
          <w:sz w:val="16"/>
          <w:szCs w:val="16"/>
          <w:color w:val="auto"/>
        </w:rPr>
        <w:t xml:space="preserve"> and </w:t>
      </w:r>
      <w:r>
        <w:rPr>
          <w:rFonts w:ascii="Arial" w:cs="Arial" w:eastAsia="Arial" w:hAnsi="Arial"/>
          <w:sz w:val="16"/>
          <w:szCs w:val="16"/>
          <w:i w:val="1"/>
          <w:iCs w:val="1"/>
          <w:color w:val="auto"/>
        </w:rPr>
        <w:t>Movie Night Out</w:t>
      </w:r>
      <w:r>
        <w:rPr>
          <w:rFonts w:ascii="Arial" w:cs="Arial" w:eastAsia="Arial" w:hAnsi="Arial"/>
          <w:sz w:val="16"/>
          <w:szCs w:val="16"/>
          <w:color w:val="auto"/>
        </w:rPr>
        <w:t xml:space="preserve"> and launched a new website </w:t>
      </w:r>
      <w:r>
        <w:rPr>
          <w:rFonts w:ascii="Arial" w:cs="Arial" w:eastAsia="Arial" w:hAnsi="Arial"/>
          <w:sz w:val="16"/>
          <w:szCs w:val="16"/>
          <w:i w:val="1"/>
          <w:iCs w:val="1"/>
          <w:color w:val="auto"/>
        </w:rPr>
        <w:t>movienightout.com</w:t>
      </w:r>
      <w:r>
        <w:rPr>
          <w:rFonts w:ascii="Arial" w:cs="Arial" w:eastAsia="Arial" w:hAnsi="Arial"/>
          <w:sz w:val="16"/>
          <w:szCs w:val="16"/>
          <w:color w:val="auto"/>
        </w:rPr>
        <w:t xml:space="preserve">. Our websites and apps are meant to be an extension of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in order to expand our advertising reach to online and mobile consumers and provide an opportunity to create a unique integrated bundle of marketing products for our clients. As part of our online advertising network strategy, we are developing and operating our websites and mobile apps through our existing media production and technology group and selling the advertising on our advertising network primarily through our existing sales forces and believe that additional revenue can be developed with limited incremental investment and operating costs. We will employ several marketing strategies to drive traffic to our websites and promote the download of our apps including placing ads within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As of December 30, 2010, our online advertising network included approximately 43 entertainment websites, (including our 100% owned sites), with approximately 56 million unique visitors monthly. This vertically integrated online ad network provides advertisers the ability to target online entertainment consumers while providing publishers a way to benefit from NCM’s sales infrastructure and the integration and bundling with NCM’s in-theatre network.</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Fathom Events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Fathom Events business focuses on the marketing and distribution across our digital network of live and pre-recorded entertainment programming to consumers and meeting and communication services to businesses. We believe our network provides a highly attractive high-definition distribution network to content owners to be used for individual programs or program series and also creates promotional opportunities for national brands through event sponsorships. Our Fathom Consumer events have included live and pre-recorded concerts featuring contemporary music, opera and symphony, DVD product releases and marketing events, theatrical premieres, Broadway plays, live sporting events and other special events. In 2010 we distributed our first ever live 3D event in select theatres. Event content is broadcast live over our DBN or on a pre-recorded basis over both our DBN and DCN and may be encrypted for piracy protection. As of December 30, 2010, our network has the capability to deliver:</w:t>
      </w:r>
    </w:p>
    <w:p>
      <w:pPr>
        <w:spacing w:after="0" w:line="37"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live high definition or “up-converted” standard definition content to 863 screens with up to four screens per theatre;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high-definition pre-recorded content to virtually all of our 16,003 digital screens on our DCN network.</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We advertise our Fathom Consumer entertainment events either through a digital trailer shown after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or advertisements during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using designated slots and/or unsold advertising inventory, on lobby posters, on our LEN, our various websites and apps and in some cases through radio trade-outs or paid media in select publications. We have developed content and cross-marketing relationships with several live content promotion companies and other owners of entertainment content. We believe that these partnerships and other new relationships that we are establishing will provide us with a consistent supply of programming as a Fathom relationship provides additional marketing channels for bands, promoters and content owners. We had several successful live events, including the New York Metropolitan Opera (“Met”), Bill O’Reilly and Glenn Beck’s Bold and Fresh Tour, A Prairie Home Companion, Glenn Beck’s Broke, DCI Live and The Big Four concert, to name a few of the over 70 events we held during 2010, a 25% increase over the number of 2009 events.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Fathom Business division facilitates live and pre-recorded networked and single-site business meetings, corporate events and church services in movie theatres. These events are typically, but not exclusively, scheduled from Monday through Thursday during off-peak hours when theatre attendance for movies is traditionally low. Clients can also communicate on a live basis to audiences located in auditoriums connected to our DBN locations. As of December 30, 2010, there were 863 screens connected to our DBN for our corporate marketing events. At all of our DCN locations, in-person presentations can be made or pre-recorded content can be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distributed over our DCN and presented as part of a national presentation. All content can be encrypted to protect against piracy. Our business communications and marketing events enhance the educational, entertainment and promotional value of a presentation by utilizing the big screen, high-resolution digital projection and audio all in front of comfortable stadium seating. Our network also facilitates large networked meetings in multiple locations across the U.S. We are able to offer our corporate clients a single point of contact and standardized pricing across our network, which dramatically increases the efficiency of booking multi-location events. We promote our Fathom Events divisions throughout the theatre, on the internet and through other select media outlets such as trade publications. We held corporate communications and marketing events in over 8,800 theatre locations during 2010 (a 9.9% decrease compared to 2009), including events with several Fortune 1000 companies and worship services with over 200 religious organizations.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Sales and Marketing</w:t>
      </w:r>
    </w:p>
    <w:p>
      <w:pPr>
        <w:spacing w:after="0" w:line="9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i w:val="1"/>
          <w:iCs w:val="1"/>
          <w:color w:val="auto"/>
        </w:rPr>
        <w:t>In-Theatre Advertising</w:t>
      </w:r>
      <w:r>
        <w:rPr>
          <w:rFonts w:ascii="Arial" w:cs="Arial" w:eastAsia="Arial" w:hAnsi="Arial"/>
          <w:sz w:val="18"/>
          <w:szCs w:val="18"/>
          <w:color w:val="auto"/>
        </w:rPr>
        <w:t>. We sell our in-theatre and online advertising products and event sponsorships through our national and local sales teams. We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our advertising products through our marketing group located primarily in our New York City sales office.</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currently have 32 advertising sales related personnel (including management and sales support staff) within our national sales group. During 2010, approximately 44% of the total compensation of the national sales staff was related to bonus or commission, which is based on achieving certain sales targets, with commissions or bonuses shared across the entire team in order to enhance coordination and teamwork. Our national sales organization has proven to be highly profitable and scalable as we have not added a significant number of sales personnel as our network has expanded. Our national sales staff is located in our sales offices in New York City, Woodland Hills (outside Los Angeles) and Chicago.</w:t>
      </w:r>
    </w:p>
    <w:p>
      <w:pPr>
        <w:spacing w:after="0" w:line="116"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Our regional sales staff, comprised of account directors and telesales representatives, is located throughout the country, with each covering an average of approximately 117 screens. Their responsibility is to sell cinema advertising to direct local clients as well as larger regional advertisers. During 2010, approximately 76% of the compensation for local sales staff was based on an individual’s sales commission on collected sales. As our network and local business grows, it may require the addition of sales personnel to cover the new markets or screens. For example, in 2011 we expect to hire 16 additional local sales personnel in conjunction with the Rave and Consolidated Theatre screens joining our network during the year. We currently have 154 sales personnel (including management and sales support staff) within our local and regional sales groups that generally work out of their homes located within the markets they sell.</w:t>
      </w:r>
    </w:p>
    <w:p>
      <w:pPr>
        <w:spacing w:after="0" w:line="10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Over the past several years, we have increased our national and local (including regional) advertising revenue by expanding the number of clients and product categories through sales outreach and several marketing tactics, including expansion and improvement of research provided to clients. We aggressively market and sell directly to clients as well as advertising agencies. We also on occasion place advertising in national trade publications, and from time to time have commissioned third-party market research to assist our sales team. We believe that improved research regarding cinema advertising and our network has provided our customers with compelling statistical evidence of the superiority of our advertising products relative to television and other traditional advertising mediums based on metrics such as brand recognition, message recall, and likeability. In addition, we believe that we are capturing increasing market share from traditional advertising media platforms such as broadcast TV by establishing cinema advertising as a more accountable and effective advertising medium relative to other media. We currently have 31 personnel based in New York and Denver that focus on the marketing, research and public relations aspects of our advertising business.</w:t>
      </w:r>
    </w:p>
    <w:p>
      <w:pPr>
        <w:spacing w:after="0" w:line="12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i w:val="1"/>
          <w:iCs w:val="1"/>
          <w:color w:val="auto"/>
        </w:rPr>
        <w:t>Fathom Events</w:t>
      </w:r>
      <w:r>
        <w:rPr>
          <w:rFonts w:ascii="Arial" w:cs="Arial" w:eastAsia="Arial" w:hAnsi="Arial"/>
          <w:sz w:val="16"/>
          <w:szCs w:val="16"/>
          <w:color w:val="auto"/>
        </w:rPr>
        <w:t>. As of December 30, 2010 we have a staff of 25 (including management) that is dedicated to sales and a staff of 6 that market our Fathom</w:t>
      </w:r>
      <w:r>
        <w:rPr>
          <w:rFonts w:ascii="Arial" w:cs="Arial" w:eastAsia="Arial" w:hAnsi="Arial"/>
          <w:sz w:val="16"/>
          <w:szCs w:val="16"/>
          <w:i w:val="1"/>
          <w:iCs w:val="1"/>
          <w:color w:val="auto"/>
        </w:rPr>
        <w:t xml:space="preserve"> </w:t>
      </w:r>
      <w:r>
        <w:rPr>
          <w:rFonts w:ascii="Arial" w:cs="Arial" w:eastAsia="Arial" w:hAnsi="Arial"/>
          <w:sz w:val="16"/>
          <w:szCs w:val="16"/>
          <w:color w:val="auto"/>
        </w:rPr>
        <w:t>Events business. In fiscal 2010, we facilitated approximately 8,800 Fathom Business sites (a decrease of 9.9% over 2009), and held 74 Fathom Consumer events (an increase of 25% over 2009) attended by approximately 1,900,000 patrons (an increase of 6% over 2009). The Fathom Business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 xml:space="preserve">services are marketed primarily through trade publications, on the internet and attendance at various trade shows. Fathom Consumer events are marketed primarily using designated and unsold inventory in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trailers after </w:t>
      </w:r>
      <w:r>
        <w:rPr>
          <w:rFonts w:ascii="Arial" w:cs="Arial" w:eastAsia="Arial" w:hAnsi="Arial"/>
          <w:sz w:val="16"/>
          <w:szCs w:val="16"/>
          <w:i w:val="1"/>
          <w:iCs w:val="1"/>
          <w:color w:val="auto"/>
        </w:rPr>
        <w:t>FirstLook</w:t>
      </w:r>
      <w:r>
        <w:rPr>
          <w:rFonts w:ascii="Arial" w:cs="Arial" w:eastAsia="Arial" w:hAnsi="Arial"/>
          <w:sz w:val="16"/>
          <w:szCs w:val="16"/>
          <w:color w:val="auto"/>
        </w:rPr>
        <w:t>, one sheets and other marketing materials in theatre lobbies, through our websites and apps and internet sites of our programming partners and other cross marketing activities including radio and cable TV advertising.</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Media and Creative Services</w:t>
      </w:r>
    </w:p>
    <w:p>
      <w:pPr>
        <w:spacing w:after="0" w:line="9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Our media and creative services department uses state of the art, proprietary and non-proprietary technologies and practices to ensure the highest possible cinema quality presentation for the creation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LEN presentations and all of our other in-theatre marketing products, associated with our Fathom businesses. We believe the expertise of this group in optimizing content for cinema playback within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Fathom Events and our internet sites and mobile apps, has been instrumental in our ability to provide a better experience for the theatre patron and to enhance our ability to attract and retain our on-screen advertising clients, build and retain relationships with network affiliates and market our Fathom events. We provide a full spectrum of 2D services and in 2010 began 3D production and post-production services to our advertising clients on a per contract fee basis, including audio enhancements, color correction and noise reduction. While most of the content we receive from our clients is high definition, as part of our post-production process we “up-convert” any standard definition content that we receive to high-definition format and quality cinema surround sound, ensuring a high quality, high impact presentation of our clients’ content and advertisements. Our expertise and experience in cinematic production and our ability to tailor advertisements developed for television to a high-definition cinema playback format facilitates the ability of national advertisers to display content originally provided for television thus optimizing their original investment for the big-screen presentation. We also offer creative and production services to our clients (primarily local), developing full sight, sound and motion high-definition advertisements from concept to completion. This service substantially reduces the obstacles for smaller clients to invest in cinema-quality advertising. During 2010 we produced over 60% of the local advertisements that played across our networks. Additionally, our media and creative services ensure the consistent image and sound quality of the pre-feature and event content distributed over our network, which we believe has a positive impact on the audience reaction to and recall of our content and advertisements, as well as the overall quality of movie-goers’ experience. Our founding members also engage us for the production of their on-screen concession product advertisements and policy trailers.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Technology and Other Corporate Branding</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utilize our digital media expertise, our proprietary DCS and various digital network technologies to deliver high-quality cinema advertising and live and pre-recorded Fathom events to our network theatres. These technologies facilitate the delivery of a high-quality entertainment experience and provide advertising clients a lower cost and more programming flexibility than 35 mm “rolling stock” historically used in cinema advertising. Moreover, our technology allows significant operational and scheduling flexibility to our advertising clients that can target various demographic groups by location, movie rating or movie and measure advertising audience size and efficiently monitor and provide audit data of the on-screen playback.</w:t>
      </w:r>
    </w:p>
    <w:p>
      <w:pPr>
        <w:spacing w:after="0" w:line="11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We employ two satellite networks to distribute content to our theatres. Our DCN, which is the combination of a satellite distribution network and a terrestrial network utilizing several carriers, is used to distribute our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and </w:t>
      </w:r>
      <w:r>
        <w:rPr>
          <w:rFonts w:ascii="Arial" w:cs="Arial" w:eastAsia="Arial" w:hAnsi="Arial"/>
          <w:sz w:val="18"/>
          <w:szCs w:val="18"/>
          <w:i w:val="1"/>
          <w:iCs w:val="1"/>
          <w:color w:val="auto"/>
        </w:rPr>
        <w:t>FirstLook Play</w:t>
      </w:r>
      <w:r>
        <w:rPr>
          <w:rFonts w:ascii="Arial" w:cs="Arial" w:eastAsia="Arial" w:hAnsi="Arial"/>
          <w:sz w:val="18"/>
          <w:szCs w:val="18"/>
          <w:color w:val="auto"/>
        </w:rPr>
        <w:t xml:space="preserve"> content to 16,003 screens, 1,229 theatres and over 3.4 million seats. Our DBN satellite network is used to support our live Fathom events by broadcasting live feeds to over 860 screens in over 600 theatres and more than 217,000 theatre seats.</w:t>
      </w:r>
    </w:p>
    <w:p>
      <w:pPr>
        <w:spacing w:after="0" w:line="143" w:lineRule="exact"/>
        <w:rPr>
          <w:sz w:val="20"/>
          <w:szCs w:val="20"/>
          <w:color w:val="auto"/>
        </w:rPr>
      </w:pPr>
    </w:p>
    <w:p>
      <w:pPr>
        <w:ind w:right="680" w:firstLine="456"/>
        <w:spacing w:after="0" w:line="306" w:lineRule="auto"/>
        <w:rPr>
          <w:sz w:val="20"/>
          <w:szCs w:val="20"/>
          <w:color w:val="auto"/>
        </w:rPr>
      </w:pPr>
      <w:r>
        <w:rPr>
          <w:rFonts w:ascii="Arial" w:cs="Arial" w:eastAsia="Arial" w:hAnsi="Arial"/>
          <w:sz w:val="16"/>
          <w:szCs w:val="16"/>
          <w:color w:val="auto"/>
        </w:rPr>
        <w:t>The satellite technology we use provides a cost-effective means to deliver live and pre-recorded digital content to theatres. We employ a variety of technologies that “wrap” around the satellite process to help ensure uninterrupted service to theatres. For example, our proprietary DCS has automated implementation capabilities that allow for data files to be multicast to theatres over a large footprint. Our digital content system operated in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our network operations center (“NOC”) combined with in-theatre systems that are connected to the in-theatre management systems are interfaced with our satellite provider network to dynamically control the quality, placement, timing of playback and completeness of content within specific auditoriums. The integrated DCN (including the DCS software) is controlled by our NOC in our Centennial, Colorado headquarters, which supports and monitors approximately 61,000 in-theatre hardware devices and more than 319,000 alarm points on the network.</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Through our NOC, we have access to and can monitor and initiate repairs to the equipment in our entire digital network of theatres. Our NOC operates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24 hours a day, seven days a week. Digital content is uploaded from our NOC and distributed through the DCN to theatres in advance of playback. The content is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delivered via multicast technology to all theatres in our network and received by our theatre management system where it is held until displayed in specified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theatre auditoriums according to its contract terms. Each theatre auditorium has a client-server architecture that controls the content to be shown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auditoriums or over the LEN in the theatre lobby. After the theatre management system receives digital content, confirmation of content playback is returned via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satellite to our NOC to be included in “post” reports provided to our advertising clients.</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2009, we began the transition of our production capabilities to the new digital cinema platform, including the ability to distribute and display 3D advertising and events. As part of this effort, our capabilities are being expanded to encode digital content files for the digital cinema standard (JPEG 2000). The industry rollout of the digital cinema projectors and servers for feature films began to accelerate in 2010 when the Digital Cinema Integration Partners (“DCIP”) financing was completed by our three founding member theatre circuits. In order to provide for the connection of the new higher quality digital cinema equipment to our advertising and Fathom networks, we agreed to an amendment of the ESAs that will increase our founding member theatre access fee over time as the digital cinema system is connected to our advertising network. These new systems will not only provide higher quality 2D images, they will also expand our capability to provide 3D advertising and 3D live and pre-recorded events. It is expected that over the next 24 to 36 months the vast majority of our founding member screens will be equipped with the new digital cinema equipment. These founding member installations, combined with the digital cinema installations of our network affiliates, are expected to provide an enhanced digital cinema presentation for approximately 90% of NCM’s approximately 678 million annual theatre attendees. As of February 15, 2011 we had approximately 2,800 screens within our digital network that were connected to digital cinema projection equipment.</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Out-of-Home Networks</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2007, we invested in IdeaCast, Inc. (“IdeaCast”), a distributor of video advertising to health clubs and airlines. In 2009, the assets of IdeaCast were acquired through a debt restructuring and contributed to another digital adverting company, resulting in NCM LLC owning a minority interest in the new combined company called RMG Networks, Inc. (“RMG”). RMG operates networks that distribute advertising to out-of-home venues including fitness centers, health clubs, coffee shops, and drug stores throughout the U.S. and certain airlines. Our investment in RMG is meant to provide an incubation platform for other out-of-home digital advertising networks while our management team focuses on maximizing the growth opportunities associated with our core theatre advertising and Fathom Events businesses. As the digital out-of-home sector continues to consolidate we believe that out-of-home targeted advertising networks like RMG will grow in importance to major advertisers and agencies and thus garner increasing market share of advertising spending, providing a potential future growth engine for NCM as our cinema advertising business matures.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Competitive Strengths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key competitive strengths include: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Superior National Advertising Network</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believe that the geographic reach and market coverage of our national advertising network allows for effective targeting of marketing messages to a large, young and affluent audience that delivers measurable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results, yielding a superior return on investment for advertisers as compared to traditional national and local media platforms. As a result, we are able to compete for marketing spending by local and national advertisers through our relationships with a diversified group of local and national advertisers and agencies throughout the U.S. The following are the key competitive strengths of our advertising business:</w:t>
      </w:r>
    </w:p>
    <w:p>
      <w:pPr>
        <w:spacing w:after="0" w:line="53" w:lineRule="exact"/>
        <w:rPr>
          <w:sz w:val="20"/>
          <w:szCs w:val="20"/>
          <w:color w:val="auto"/>
        </w:rPr>
      </w:pPr>
    </w:p>
    <w:p>
      <w:pPr>
        <w:ind w:left="900" w:hanging="325"/>
        <w:spacing w:after="0" w:line="284"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Extensive National Market Coverage. </w:t>
      </w:r>
      <w:r>
        <w:rPr>
          <w:rFonts w:ascii="Arial" w:cs="Arial" w:eastAsia="Arial" w:hAnsi="Arial"/>
          <w:sz w:val="16"/>
          <w:szCs w:val="16"/>
          <w:color w:val="auto"/>
        </w:rPr>
        <w:t>Our contractual agreements with our founding members and network affiliates provide long-term exclusive</w:t>
      </w:r>
      <w:r>
        <w:rPr>
          <w:rFonts w:ascii="Arial" w:cs="Arial" w:eastAsia="Arial" w:hAnsi="Arial"/>
          <w:sz w:val="16"/>
          <w:szCs w:val="16"/>
          <w:b w:val="1"/>
          <w:bCs w:val="1"/>
          <w:color w:val="auto"/>
        </w:rPr>
        <w:t xml:space="preserve"> </w:t>
      </w:r>
      <w:r>
        <w:rPr>
          <w:rFonts w:ascii="Arial" w:cs="Arial" w:eastAsia="Arial" w:hAnsi="Arial"/>
          <w:sz w:val="16"/>
          <w:szCs w:val="16"/>
          <w:color w:val="auto"/>
        </w:rPr>
        <w:t>access, subject to limited exceptions, to the largest network of digitally equipped theatres in the U.S. and allow us to sell advertising nationwide which we distribute using our advertising network. As of December 30, 2010, our advertising network included 16,003 digital screens (14,228 operated by our founding members) and 17,302 screens in total (14,997 operated by our founding members) located in 1,376 theatres (1,150 operated by our founding members) in 47 states and the District of Columbia. The total advertising network theatre attendance was approximately 637 million during 2010 (564 million from our founding members), which represented a 4.5% decrease from 2009. Our network represented approximately 48% of the total U.S. theatre attendance, with some of the most modern and highly attended theatres in the industry, as measured by screens per location and attendance per screen. At December 30, 2010, the average screens per theatre in our network was 12.6 screens, 1.5 times the U.S. theatre industry average, and the aggregate annual attendance per screen of theatres included in our network during 2010 was 37,378, versus the U.S. theatre industry average attendance per indoor screen of 36,642, using metrics reported by the National Association of Theatre Owners (“NATO”). In addition, as of December 30, 2010, our advertising network had theatres in the largest U.S. markets, including all of the top 25, as well as 49 of the top 50, U.S. DMAs</w:t>
      </w:r>
      <w:r>
        <w:rPr>
          <w:rFonts w:ascii="Arial" w:cs="Arial" w:eastAsia="Arial" w:hAnsi="Arial"/>
          <w:sz w:val="10"/>
          <w:szCs w:val="10"/>
          <w:color w:val="auto"/>
        </w:rPr>
        <w:t>®</w:t>
      </w:r>
      <w:r>
        <w:rPr>
          <w:rFonts w:ascii="Arial" w:cs="Arial" w:eastAsia="Arial" w:hAnsi="Arial"/>
          <w:sz w:val="16"/>
          <w:szCs w:val="16"/>
          <w:color w:val="auto"/>
        </w:rPr>
        <w:t>, and 170 DMAs</w:t>
      </w:r>
      <w:r>
        <w:rPr>
          <w:rFonts w:ascii="Arial" w:cs="Arial" w:eastAsia="Arial" w:hAnsi="Arial"/>
          <w:sz w:val="10"/>
          <w:szCs w:val="10"/>
          <w:color w:val="auto"/>
        </w:rPr>
        <w:t>®</w:t>
      </w:r>
      <w:r>
        <w:rPr>
          <w:rFonts w:ascii="Arial" w:cs="Arial" w:eastAsia="Arial" w:hAnsi="Arial"/>
          <w:sz w:val="16"/>
          <w:szCs w:val="16"/>
          <w:color w:val="auto"/>
        </w:rPr>
        <w:t xml:space="preserve"> in total. As of December 30, 2010, approximately 75% of our screens (77% of our attendance) are located within the top 50 U.S. DMAs</w:t>
      </w:r>
      <w:r>
        <w:rPr>
          <w:rFonts w:ascii="Arial" w:cs="Arial" w:eastAsia="Arial" w:hAnsi="Arial"/>
          <w:sz w:val="10"/>
          <w:szCs w:val="10"/>
          <w:color w:val="auto"/>
        </w:rPr>
        <w:t>®</w:t>
      </w:r>
      <w:r>
        <w:rPr>
          <w:rFonts w:ascii="Arial" w:cs="Arial" w:eastAsia="Arial" w:hAnsi="Arial"/>
          <w:sz w:val="16"/>
          <w:szCs w:val="16"/>
          <w:color w:val="auto"/>
        </w:rPr>
        <w:t xml:space="preserve"> and approximately 35% of our screens (40% of our attendance) are located within the top 10 U.S. DMAs</w:t>
      </w:r>
      <w:r>
        <w:rPr>
          <w:rFonts w:ascii="Arial" w:cs="Arial" w:eastAsia="Arial" w:hAnsi="Arial"/>
          <w:sz w:val="10"/>
          <w:szCs w:val="10"/>
          <w:color w:val="auto"/>
        </w:rPr>
        <w:t>®</w:t>
      </w:r>
      <w:r>
        <w:rPr>
          <w:rFonts w:ascii="Arial" w:cs="Arial" w:eastAsia="Arial" w:hAnsi="Arial"/>
          <w:sz w:val="16"/>
          <w:szCs w:val="16"/>
          <w:color w:val="auto"/>
        </w:rPr>
        <w:t>. At the end of 2010, theatres within our advertising network represented nearly 70% of the total theatre attendance in theatres that showed national advertising in both the top 10 and top 25 U.S. DMAs</w:t>
      </w:r>
      <w:r>
        <w:rPr>
          <w:rFonts w:ascii="Arial" w:cs="Arial" w:eastAsia="Arial" w:hAnsi="Arial"/>
          <w:sz w:val="10"/>
          <w:szCs w:val="10"/>
          <w:color w:val="auto"/>
        </w:rPr>
        <w:t>®</w:t>
      </w:r>
      <w:r>
        <w:rPr>
          <w:rFonts w:ascii="Arial" w:cs="Arial" w:eastAsia="Arial" w:hAnsi="Arial"/>
          <w:sz w:val="16"/>
          <w:szCs w:val="16"/>
          <w:color w:val="auto"/>
        </w:rPr>
        <w:t>, providing a very attractive platform for national advertisers who want exposure in larger markets. We plan to continue to expand our network through the addition of new network affiliates and theatres built or acquired by existing network affiliates</w:t>
      </w:r>
      <w:r>
        <w:rPr>
          <w:rFonts w:ascii="Arial" w:cs="Arial" w:eastAsia="Arial" w:hAnsi="Arial"/>
          <w:sz w:val="16"/>
          <w:szCs w:val="16"/>
          <w:i w:val="1"/>
          <w:iCs w:val="1"/>
          <w:color w:val="auto"/>
        </w:rPr>
        <w:t>.</w:t>
      </w:r>
      <w:r>
        <w:rPr>
          <w:rFonts w:ascii="Arial" w:cs="Arial" w:eastAsia="Arial" w:hAnsi="Arial"/>
          <w:sz w:val="16"/>
          <w:szCs w:val="16"/>
          <w:color w:val="auto"/>
        </w:rPr>
        <w:t xml:space="preserve"> In addition, under the terms of the ESAs and Common Unit Adjustment Agreement all new theatres built or acquired (subject to existing advertising sales agreements) by our founding members will become part of our network. This expansion will continue to improve our geographic coverage and enhance our ability to compete with other national advertising mediums. Over the next 24 to 36 months, we expect the vast majority of our network in our founding member theatres and certain network affiliates will be connected to higher quality digital cinema projectors that will further improve the on-screen presentation for advertisers and allow us to display 3D advertising throughout our network.</w:t>
      </w:r>
    </w:p>
    <w:p>
      <w:pPr>
        <w:spacing w:after="0" w:line="46" w:lineRule="exact"/>
        <w:rPr>
          <w:rFonts w:ascii="Arial" w:cs="Arial" w:eastAsia="Arial" w:hAnsi="Arial"/>
          <w:sz w:val="16"/>
          <w:szCs w:val="16"/>
          <w:color w:val="auto"/>
        </w:rPr>
      </w:pPr>
    </w:p>
    <w:p>
      <w:pPr>
        <w:ind w:left="900" w:right="120" w:hanging="325"/>
        <w:spacing w:after="0" w:line="256"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Targeted, Flexible Advertising Medium. </w:t>
      </w:r>
      <w:r>
        <w:rPr>
          <w:rFonts w:ascii="Arial" w:cs="Arial" w:eastAsia="Arial" w:hAnsi="Arial"/>
          <w:sz w:val="18"/>
          <w:szCs w:val="18"/>
          <w:color w:val="auto"/>
        </w:rPr>
        <w:t>Our digital network technology gives us flexibility to distribute content to our entire audience, or to</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theatres, geographic regions, or demographic groups based on film title, film rating category or film genre grouping. As a result, our clients can deliver a targeted advertising message utilizing high quality sight, sound and motion across our entire national network or various parts of our network. Also, our technology shortens distribution lead times, reduces our client’s operating costs and enables us to respond quickly to client requests to change advertising content.</w:t>
      </w:r>
    </w:p>
    <w:p>
      <w:pPr>
        <w:spacing w:after="0" w:line="57" w:lineRule="exact"/>
        <w:rPr>
          <w:rFonts w:ascii="Arial" w:cs="Arial" w:eastAsia="Arial" w:hAnsi="Arial"/>
          <w:sz w:val="18"/>
          <w:szCs w:val="18"/>
          <w:color w:val="auto"/>
        </w:rPr>
      </w:pPr>
    </w:p>
    <w:p>
      <w:pPr>
        <w:ind w:left="900" w:hanging="325"/>
        <w:spacing w:after="0" w:line="293"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Access to a Highly Attractive Demographic Segment. </w:t>
      </w:r>
      <w:r>
        <w:rPr>
          <w:rFonts w:ascii="Arial" w:cs="Arial" w:eastAsia="Arial" w:hAnsi="Arial"/>
          <w:sz w:val="16"/>
          <w:szCs w:val="16"/>
          <w:color w:val="auto"/>
        </w:rPr>
        <w:t>We offer advertisers the ability to reach young and affluent consumers. According to a</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Nielsen Cinema Audience Report </w:t>
      </w:r>
      <w:r>
        <w:rPr>
          <w:rFonts w:ascii="Arial" w:cs="Arial" w:eastAsia="Arial" w:hAnsi="Arial"/>
          <w:sz w:val="16"/>
          <w:szCs w:val="16"/>
          <w:color w:val="auto"/>
        </w:rPr>
        <w:t>study conducted in the second quarter of 2010, typical movie-goers are young, with 48% between the ages of 12-34. These moviegoers are affluent, with a mean household income of over $77,000 compared to a national mean of approximately $70,500; and well-educated, with 33% of the head of these households having a Bachelor’s degree or higher compared to 29% of the general 12-34 year old population, according to the GfK MRI TwelvePlus Study. We believe that this demographic is highly coveted by advertisers and is far more effectively reached in cinema than most traditional media platforms.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20" w:hanging="325"/>
        <w:spacing w:after="0" w:line="255"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Engaged Theatre Audience. </w:t>
      </w:r>
      <w:r>
        <w:rPr>
          <w:rFonts w:ascii="Arial" w:cs="Arial" w:eastAsia="Arial" w:hAnsi="Arial"/>
          <w:sz w:val="18"/>
          <w:szCs w:val="18"/>
          <w:color w:val="auto"/>
        </w:rPr>
        <w:t>We believe that cinema advertising benefits from the impact of the “big screen,” including a high quality visual</w:t>
      </w:r>
      <w:r>
        <w:rPr>
          <w:rFonts w:ascii="Arial" w:cs="Arial" w:eastAsia="Arial" w:hAnsi="Arial"/>
          <w:sz w:val="18"/>
          <w:szCs w:val="18"/>
          <w:b w:val="1"/>
          <w:bCs w:val="1"/>
          <w:color w:val="auto"/>
        </w:rPr>
        <w:t xml:space="preserve"> </w:t>
      </w:r>
      <w:r>
        <w:rPr>
          <w:rFonts w:ascii="Arial" w:cs="Arial" w:eastAsia="Arial" w:hAnsi="Arial"/>
          <w:sz w:val="18"/>
          <w:szCs w:val="18"/>
          <w:color w:val="auto"/>
        </w:rPr>
        <w:t>presentation, and digital surround sound presented in a distraction-free engaged theatre environment. According to industry studies, theatre advertising is more effective than advertising shown on television as measured by unaided recall rates. Cinema advertising is one of the few media platforms that the viewer does not have the ability to skip or turn off. We believe that the impact of our on-screen advertising (representing 80% of our total advertising revenue) presentation will be further enhanced by the new digital cinema equipment currently being installed in our network theatres.</w:t>
      </w:r>
    </w:p>
    <w:p>
      <w:pPr>
        <w:spacing w:after="0" w:line="58" w:lineRule="exact"/>
        <w:rPr>
          <w:rFonts w:ascii="Arial" w:cs="Arial" w:eastAsia="Arial" w:hAnsi="Arial"/>
          <w:sz w:val="18"/>
          <w:szCs w:val="18"/>
          <w:color w:val="auto"/>
        </w:rPr>
      </w:pPr>
    </w:p>
    <w:p>
      <w:pPr>
        <w:ind w:left="900" w:right="20" w:hanging="325"/>
        <w:spacing w:after="0" w:line="289"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Superior Audience Measurability. </w:t>
      </w:r>
      <w:r>
        <w:rPr>
          <w:rFonts w:ascii="Arial" w:cs="Arial" w:eastAsia="Arial" w:hAnsi="Arial"/>
          <w:sz w:val="16"/>
          <w:szCs w:val="16"/>
          <w:color w:val="auto"/>
        </w:rPr>
        <w:t>We receive weekly attendance by film, by rating and by screen for 100% of NCM LLC’s founding member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theatres and the majority of the theatres operated by our network affiliates, which allows us to report to clients the audience size for each showing of a film and our pre-show. We also obtain third-party research that provides us with the percentage of the total attendance that is in their seats at various times prior to the advertised show time so that we can properly reflect the reduced audience size that is viewing advertisements of our national advertising clients who buy inventory in segment two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We believe this ability to provide advertisers with audience size and demography for nearly 100% of our theatre attendance gives us a distinct competitive advantage over traditional media platforms that are based on significant extrapolations of a very small sample of the total audience. We work closely with third-party research companies to measure the recall, likeability, and brand message of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and specific advertisements, allowing advertisers to determine the effectiveness of their advertisements.</w:t>
      </w:r>
    </w:p>
    <w:p>
      <w:pPr>
        <w:spacing w:after="0" w:line="20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Innovative, Branded Digital Pre-Feature Content</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We believe that our digital entertainment and advertising pre-feature programs,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and </w:t>
      </w:r>
      <w:r>
        <w:rPr>
          <w:rFonts w:ascii="Arial" w:cs="Arial" w:eastAsia="Arial" w:hAnsi="Arial"/>
          <w:sz w:val="16"/>
          <w:szCs w:val="16"/>
          <w:i w:val="1"/>
          <w:iCs w:val="1"/>
          <w:color w:val="auto"/>
        </w:rPr>
        <w:t>FirstLook Play,</w:t>
      </w:r>
      <w:r>
        <w:rPr>
          <w:rFonts w:ascii="Arial" w:cs="Arial" w:eastAsia="Arial" w:hAnsi="Arial"/>
          <w:sz w:val="16"/>
          <w:szCs w:val="16"/>
          <w:color w:val="auto"/>
        </w:rPr>
        <w:t xml:space="preserve"> provide a high-quality entertainment experience for patrons and an effective marketing platform for advertisers. In fact, our research has indicated that the percentage of theatre patrons who had a negative impression of our pre-show has dropped from approximately 25% in 2003 when our pre-show was launched to approximately 4% in 2010 and audience favorability to our pre-show has nearly tripled. We have branded our pre-feature shows,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to reinforce our goal of creating the “first release window” for advertising into the marketplace, similar to the way that films are released first in cinemas. This strategy provides more original content for the audience and more impact for the advertiser. We have also designed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programs with separate local and national “pods” to ensure that advertisements of similar production quality are shown together. In addition, in 2010 we began to produce a 3D segment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Also, our relationships with our content partners provide high quality entertainment content that is dispersed throughout the show. In addition to providing a high quality pre-show, the multi-year contracts with our content partners, our cell phone courtesy PSA and arrangements to satisfy our founding members’ on-screen marketing obligations to their beverage concessionaires provide a significant up-front revenue commitment, accounting for 27% of our total revenue for the year ended December 30, 2010. According to customer research conducted by us and independent research companies, the production of a higher quality branded pre-feature program improves the entertainment experience for patrons as well as the effectiveness of the advertising message. Our chief creative officer and other creative personnel assist our clients in the production of more cinematic advertisements and content. This combined with the design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pre-shows and our distribution technology ensures that all advertisements end approximately at the advertised show time, which we believe will continue to result in improvements in the entertainment value and marketing effectiveness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and </w:t>
      </w:r>
      <w:r>
        <w:rPr>
          <w:rFonts w:ascii="Arial" w:cs="Arial" w:eastAsia="Arial" w:hAnsi="Arial"/>
          <w:sz w:val="16"/>
          <w:szCs w:val="16"/>
          <w:i w:val="1"/>
          <w:iCs w:val="1"/>
          <w:color w:val="auto"/>
        </w:rPr>
        <w:t>FirstLook Play</w:t>
      </w:r>
      <w:r>
        <w:rPr>
          <w:rFonts w:ascii="Arial" w:cs="Arial" w:eastAsia="Arial" w:hAnsi="Arial"/>
          <w:sz w:val="16"/>
          <w:szCs w:val="16"/>
          <w:color w:val="auto"/>
        </w:rPr>
        <w:t xml:space="preserve"> pre-shows.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Integrated Marketing Products</w:t>
      </w:r>
    </w:p>
    <w:p>
      <w:pPr>
        <w:spacing w:after="0" w:line="90"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 xml:space="preserve">In addition to providing on-screen advertising opportunities, we offer advertisers the opportunity to integrate and reinforce their on-screen advertisements with various in-lobby, online marketing and Fathom Event sponsorships. According to </w:t>
      </w:r>
      <w:r>
        <w:rPr>
          <w:rFonts w:ascii="Arial" w:cs="Arial" w:eastAsia="Arial" w:hAnsi="Arial"/>
          <w:sz w:val="16"/>
          <w:szCs w:val="16"/>
          <w:i w:val="1"/>
          <w:iCs w:val="1"/>
          <w:color w:val="auto"/>
        </w:rPr>
        <w:t>Nielsen Media Research</w:t>
      </w:r>
      <w:r>
        <w:rPr>
          <w:rFonts w:ascii="Arial" w:cs="Arial" w:eastAsia="Arial" w:hAnsi="Arial"/>
          <w:sz w:val="16"/>
          <w:szCs w:val="16"/>
          <w:color w:val="auto"/>
        </w:rPr>
        <w:t xml:space="preserve"> studies conducted between first and third quarter of 2010, movie patrons spend, on average, approximately 10 minutes in the theatre lobby (before, during and after the last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87" w:lineRule="auto"/>
        <w:rPr>
          <w:sz w:val="20"/>
          <w:szCs w:val="20"/>
          <w:color w:val="auto"/>
        </w:rPr>
      </w:pPr>
      <w:r>
        <w:rPr>
          <w:rFonts w:ascii="Arial" w:cs="Arial" w:eastAsia="Arial" w:hAnsi="Arial"/>
          <w:sz w:val="16"/>
          <w:szCs w:val="16"/>
          <w:color w:val="auto"/>
        </w:rPr>
        <w:t xml:space="preserve">movie that they saw in the theatre). Our in-lobby marketing programs include advertisements displayed on television or high-definition plasma screens, posters, tickets, box office coupon handouts, popcorn bags and beverage cups and on-site product sampling opportunities. Our online marketing includes advertisement placement on our </w:t>
      </w:r>
      <w:r>
        <w:rPr>
          <w:rFonts w:ascii="Arial" w:cs="Arial" w:eastAsia="Arial" w:hAnsi="Arial"/>
          <w:sz w:val="16"/>
          <w:szCs w:val="16"/>
          <w:i w:val="1"/>
          <w:iCs w:val="1"/>
          <w:color w:val="auto"/>
        </w:rPr>
        <w:t>ncm.com, FathomEvents.com,</w:t>
      </w:r>
      <w:r>
        <w:rPr>
          <w:rFonts w:ascii="Arial" w:cs="Arial" w:eastAsia="Arial" w:hAnsi="Arial"/>
          <w:sz w:val="16"/>
          <w:szCs w:val="16"/>
          <w:color w:val="auto"/>
        </w:rPr>
        <w:t xml:space="preserve"> and </w:t>
      </w:r>
      <w:r>
        <w:rPr>
          <w:rFonts w:ascii="Arial" w:cs="Arial" w:eastAsia="Arial" w:hAnsi="Arial"/>
          <w:sz w:val="16"/>
          <w:szCs w:val="16"/>
          <w:i w:val="1"/>
          <w:iCs w:val="1"/>
          <w:color w:val="auto"/>
        </w:rPr>
        <w:t>movienightout.com</w:t>
      </w:r>
      <w:r>
        <w:rPr>
          <w:rFonts w:ascii="Arial" w:cs="Arial" w:eastAsia="Arial" w:hAnsi="Arial"/>
          <w:sz w:val="16"/>
          <w:szCs w:val="16"/>
          <w:color w:val="auto"/>
        </w:rPr>
        <w:t xml:space="preserve"> websites and on our </w:t>
      </w:r>
      <w:r>
        <w:rPr>
          <w:rFonts w:ascii="Arial" w:cs="Arial" w:eastAsia="Arial" w:hAnsi="Arial"/>
          <w:sz w:val="16"/>
          <w:szCs w:val="16"/>
          <w:i w:val="1"/>
          <w:iCs w:val="1"/>
          <w:color w:val="auto"/>
        </w:rPr>
        <w:t>Movie Mystic</w:t>
      </w:r>
      <w:r>
        <w:rPr>
          <w:rFonts w:ascii="Arial" w:cs="Arial" w:eastAsia="Arial" w:hAnsi="Arial"/>
          <w:sz w:val="16"/>
          <w:szCs w:val="16"/>
          <w:color w:val="auto"/>
        </w:rPr>
        <w:t xml:space="preserve"> and </w:t>
      </w:r>
      <w:r>
        <w:rPr>
          <w:rFonts w:ascii="Arial" w:cs="Arial" w:eastAsia="Arial" w:hAnsi="Arial"/>
          <w:sz w:val="16"/>
          <w:szCs w:val="16"/>
          <w:i w:val="1"/>
          <w:iCs w:val="1"/>
          <w:color w:val="auto"/>
        </w:rPr>
        <w:t>Movie Night Out</w:t>
      </w:r>
      <w:r>
        <w:rPr>
          <w:rFonts w:ascii="Arial" w:cs="Arial" w:eastAsia="Arial" w:hAnsi="Arial"/>
          <w:sz w:val="16"/>
          <w:szCs w:val="16"/>
          <w:color w:val="auto"/>
        </w:rPr>
        <w:t xml:space="preserve"> mobile apps, and throughout websites that are part of our online advertising network that as of December 30, 2010 includes over 43 entertainment websites (including our 100% owned sites) with approximately 56 million monthly unique visitors. By integrating our in-lobby, online and Fathom Events marketing products with on-screen advertising, patrons are exposed to consistent marketing messages through multiple touch points during the entire movie-going experience from choosing a film online through the subsequent viewing of the film in the theatres. Also, by integrating on-screen advertising with our in-lobby, online and Fathom Events marketing programs, we believe our advertisers can extend the exposure for their brands and products and create an interactive “relationship” with the consumer that is not available with broadcast or cable television or traditional display advertising. Our chief creative officer, other creative personnel and our marketing team assist advertisers in creating entertaining, fully integrated online and cinema marketing campaigns with maximum impact.</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Scalable, State-of-the-Art Digital Content Distribution Technology</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Our use of the combination of a satellite and terrestrial network technology, combined with the design and functionality of our DCS and NOC infrastructure make our network efficient and scalable. Our proprietary DCS provides many distribution, scheduling, reporting and auditing features. The flexibility of our DCS is an integral part of our DCN as it allows us to create different versions of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and </w:t>
      </w:r>
      <w:r>
        <w:rPr>
          <w:rFonts w:ascii="Arial" w:cs="Arial" w:eastAsia="Arial" w:hAnsi="Arial"/>
          <w:sz w:val="16"/>
          <w:szCs w:val="16"/>
          <w:i w:val="1"/>
          <w:iCs w:val="1"/>
          <w:color w:val="auto"/>
        </w:rPr>
        <w:t>FirstLook Play</w:t>
      </w:r>
      <w:r>
        <w:rPr>
          <w:rFonts w:ascii="Arial" w:cs="Arial" w:eastAsia="Arial" w:hAnsi="Arial"/>
          <w:sz w:val="16"/>
          <w:szCs w:val="16"/>
          <w:color w:val="auto"/>
        </w:rPr>
        <w:t xml:space="preserve"> that can be distributed by theatre, region, film, film genre group or film rating category. Our technology also provides the ability to electronically change advertisements from our Denver NOC as required by advertising clients, which shortens lead times, provides increased flexibility to change messages or target specific audiences, facilitate two-way interaction amongst participants attending meetings in our auditoriums and significantly reduces the cost as compared to distributing advertisements on 35 mm film. Our NOC, DCS and other network software provide us with the capability to directly monitor in-theatre network devices and various maintenance alarm technology within our theatre network on a real-time 24/7 basis, providing high network reliability and timely reporting as required by our advertising clients. As of December 30, 2010, we were monitoring approximately 61,000 network devices and more than 319,000 alarm points within our digital network. Our digital content system currently plays over 3.4 million digital content files per day through our DCS and other network technologies that are part of our DCN. Given the scalability of our NOC and distribution technology, we have increased the number of devices and alarm points with minimal additional expenditures and expect to benefit from this scalability in the future as we add new theatres operated by our founding members and from existing network affiliate relationships and the addition of new network affiliate circuits. During 2010 we also began to install in select theatres a new device that we created (and have applied for patent) to monitor sound levels in theatre auditoriums and report any variations from pre-set standards to our NOC. We believe that this is the first time that sound levels have been monitored by a media network at the point of consumer consumption. This provides us with an additional value proposition for our advertising clients versus TV and other competing media networks. While our network capabilities are now primarily used within the current theatre environment, we believe they could be easily adapted to the new digital cinema equipment being installed in theatres within our network as well as other out-of-home environments.</w:t>
      </w:r>
    </w:p>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Strong Operating Margins with Limited Capital Requirements</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annual adjusted OIBDA margins have been consistently strong, ranging from 50% to 52% over the last three years. See “Item 6. Selected Financial Data-Notes to the Selected Historical Financial and Operating Data” for a discussion of the calculation of adjusted OIBDA margin and the reconciliation to operating income. In addition, our founding members and their DCIP joint venture have invested substantial capital to deploy, expand and upgrade the network equipment within their theatres including the recent deployment of the higher quality digital cinema equipment. Due to the network equipment investments made by our founding members and DCIP</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joint venture in new and acquired theatres and the requirements in the ESAs to make future investments for equipment replacements and the scalable nature of our NOC and other infrastructure, we do not expect to make major capital investments to grow our operations as our network of theatres expands. We are in the process of integrating our DCS with the new digital cinema projection equipment being installed by our founding members and certain network affiliates. While this integration is not expected to increase our capital expenditures significantly, we will be contributing to a portion of the increased operating expenses associated with the higher quality digital cinema equipment primarily with maintenance and higher cost projector bulbs used by that new digital cinema equipment. As we believe that there will be opportunities to increase our advertising and Fathom revenue through access to these higher quality digital cinema projectors, we do not anticipate that the higher operating costs will significantly impact our OIBDA growth. The combination of our strong operating margins and our limited capital expenditures has allowed us to generate significant unlevered free cash flow (defined as operating income (or loss) plus depreciation and amortization and minus capital expenditures) before distributions to NCM LLC’s owners. In the year ended December 30, 2010, our capital expenditures were $10.6 million, of which $3.3 million related to investments in network equipment to add new network affiliate theatres. We believe our expected level of unlevered free cash flow generation should provide us with the strategic and financial flexibility to pursue growth opportunities and make dividend payments to our stockholders.</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Unique Combination of Management Competencies</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Our management team has a unique combination of competencies and experience in advertising sales and marketing, digital media production and post-production, theatre operations and digital network design and operations. The majority of our senior management team was assembled during the formation of RCM, one of NCM LLC’s joint predecessor companies, in early 2002 and thus has worked together for several years building our business. Our senior management has many years of experience in their respective areas of expertise. We believe that this experience and unique combination of competencies can be leveraged effectively across our existing asset base and technology infrastructure, creating significant operating efficiencies, growth opportunities and high returns on invested capital.</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 Policy</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Our dividend policy is described in “Item 5. Market for Registrant’s Common Equity, Related Stockholder Matters and Issuer Purchases of Equity Securities—Dividend Policy”.</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Strategy</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believe that the digital evolution of the media business and our unique asset base and combination of management competencies will provide us with an opportunity to become a new breed of powerful national digital media network that will gain market share within the broader media marketplace. Our primary strategic initiatives are to:</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Expand Our Geographic Coverage and Reach</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continue to expand the reach and geographic coverage of our national digital network by connecting additional theatres to our network that NCM LLC’s founding members buy or build and through the establishment of additional network affiliate agreements with other theatre circuits. The ESAs require that all founding members’ new or acquired theatres be added to our network in return for the issuance of new NCM LLC units. Since our February 2007 IPO the founding members have added 910 net new screens to our network. This excludes the 2010 acquisition of certain Kerasotes theatres by AMC and Regal as they were already a part of our network through network affiliate agreements. While these acquisitions did not expand our network it did increase our OIBDA margins and extended the term of our agreement with respect to over 900 screens from less than two years to the approximately 27 years remaining in the primary term of the ESAs. In mid-2011, the Consolidated Theatre circuit with approximately 399 screens acquired by Regal in 2008 and 475 screens recently acquired by Rave will join our network when their respective existing screen advertising agreements expire.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These 2011 additions combined with the full year effect of the 86 theatres with 826 network affiliate screens that were added to our network in 2010 is expected to increase our 2011 network attendance by approximately 32 million attendees. Our future strategy for creating relationships with new network affiliates will continue to focus primarily on regional circuits in the larger metropolitan areas or in circuits with theatres in smaller markets where we do not currently have any market coverage. We believe that this improved market coverage will be viewed favorably by several advertising client categories who spend the majority of their marketing budgets on TV due to its ubiquitous U.S market coverage. By mid-2011 with the addition of the Rave and Consolidated Theatres, we will advertise in theatres that are located in 172 total U.S. DMAs</w:t>
      </w:r>
      <w:r>
        <w:rPr>
          <w:rFonts w:ascii="Arial" w:cs="Arial" w:eastAsia="Arial" w:hAnsi="Arial"/>
          <w:sz w:val="10"/>
          <w:szCs w:val="10"/>
          <w:color w:val="auto"/>
        </w:rPr>
        <w:t>®</w:t>
      </w:r>
      <w:r>
        <w:rPr>
          <w:rFonts w:ascii="Arial" w:cs="Arial" w:eastAsia="Arial" w:hAnsi="Arial"/>
          <w:sz w:val="16"/>
          <w:szCs w:val="16"/>
          <w:color w:val="auto"/>
        </w:rPr>
        <w:t>, including 97 of the top 100 DMAs</w:t>
      </w:r>
      <w:r>
        <w:rPr>
          <w:rFonts w:ascii="Arial" w:cs="Arial" w:eastAsia="Arial" w:hAnsi="Arial"/>
          <w:sz w:val="10"/>
          <w:szCs w:val="10"/>
          <w:color w:val="auto"/>
        </w:rPr>
        <w:t>®</w:t>
      </w:r>
      <w:r>
        <w:rPr>
          <w:rFonts w:ascii="Arial" w:cs="Arial" w:eastAsia="Arial" w:hAnsi="Arial"/>
          <w:sz w:val="16"/>
          <w:szCs w:val="16"/>
          <w:color w:val="auto"/>
        </w:rPr>
        <w:t>.</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Expand Our Advertising Client Base</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intend to increase our market share of U.S. advertising spending and our advertising inventory utilization by expanding commercial relationships with our existing advertising clients and by expanding our advertising client base. During 2010, we have added 51 first-time clients and nine additional clients that last advertised with us prior to our IPO. Despite this growth, there are still thousands of clients that do not advertise with us at all or only buy time on our network periodically. For instance, NCM and cinema advertising in general has been under represented in media spending by the quick serve restaurant (“QSR”), consumer package goods (“CPG”) and retailer categories and as such we are beginning to focus more business development, marketing (through industry trade publications) and research resources on these client categories. Our primary selling approach is to aggressively market and sell the positive attributes of cinema advertising relative to other mediums and provide a high level of client service including more robust research to support our various value propositions. We also began to provide a unique integrated marketing product that bundles our in-theatre, online and Fathom Events sponsorship platforms. We have recently made progress expanding our revenues from categories such as domestic auto, video game software, home video equipment, credit cards, telecom hardware, insurance underwriters and cable television, and believe that over time, as we increase the geographic coverage and overall reach of our network and as market awareness and third-party data on the effectiveness of cinema advertising grows, we will increase our revenue from these and other client categories. We also believe that our ability to attract new clients will be enhanced as we expand our capabilities to distribute 3D advertisements with the growing number of digital cinema installations in our network and the increase in 3D feature films released.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continue to increase the amount of local advertising sold in our pre-feature show and have begun to more aggressively market and sell our local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advertising inventory. Our strategy to employ senior sales positions to focus exclusively on larger local clients that operate across entire DMAs</w:t>
      </w:r>
      <w:r>
        <w:rPr>
          <w:rFonts w:ascii="Arial" w:cs="Arial" w:eastAsia="Arial" w:hAnsi="Arial"/>
          <w:sz w:val="10"/>
          <w:szCs w:val="10"/>
          <w:color w:val="auto"/>
        </w:rPr>
        <w:t>®</w:t>
      </w:r>
      <w:r>
        <w:rPr>
          <w:rFonts w:ascii="Arial" w:cs="Arial" w:eastAsia="Arial" w:hAnsi="Arial"/>
          <w:sz w:val="16"/>
          <w:szCs w:val="16"/>
          <w:color w:val="auto"/>
        </w:rPr>
        <w:t>, multiple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DMAs</w:t>
      </w:r>
      <w:r>
        <w:rPr>
          <w:rFonts w:ascii="Arial" w:cs="Arial" w:eastAsia="Arial" w:hAnsi="Arial"/>
          <w:sz w:val="10"/>
          <w:szCs w:val="10"/>
          <w:color w:val="auto"/>
        </w:rPr>
        <w:t>®</w:t>
      </w:r>
      <w:r>
        <w:rPr>
          <w:rFonts w:ascii="Arial" w:cs="Arial" w:eastAsia="Arial" w:hAnsi="Arial"/>
          <w:sz w:val="15"/>
          <w:szCs w:val="15"/>
          <w:color w:val="auto"/>
        </w:rPr>
        <w:t xml:space="preserve"> or states such as car dealer associations has proven successful and we are now expanding this effort to the QSR, casual dining and tourism categories. We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have also utilized direct marketing campaigns to businesses within a specified radius of our network theatres, with positive results. These campaigns are often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combined with theatre lobby promotions and onscreen advertising. Due to the relatively low percentage of local advertising inventory sold today in many of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theatres, we believe that a growth opportunity exists for our local and regional business.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Increase Our National CPM</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2010, our national on-screen advertising cost per thousand (“CPM”) was approximately 2.3 times the average U.S. primetime premium network television CPM, reported by Nielsen. We believe that this premium does not yet fully reflect the positive attributes of cinema advertising relative to other advertising mediums, including the highly targeted nature of our impressions, higher recall rates, ability to provide measurable and informative demographic audience data to our clients and, most importantly, the inability to turn off or skip our advertising messages. According to research studies, cinema advertising CPMs as a multiple of primetime network television CPMs are much higher in more mature cinema advertising markets such as Europe and Australia. Given these positive attributes, we believe that our cinema CPMs in the U.S. will continue to increase over time as a result of our ability to sell more of our advertising inventory and thus create a more favorable supply-demand relationship.</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Expand our Internet/Mobile Platform</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Advertising clients are increasingly seeking new ways to create integrated marketing solutions across multiple digital platforms. By bundling our in-theatre marketing products with online inventory provided by our consumer websites </w:t>
      </w:r>
      <w:r>
        <w:rPr>
          <w:rFonts w:ascii="Arial" w:cs="Arial" w:eastAsia="Arial" w:hAnsi="Arial"/>
          <w:sz w:val="16"/>
          <w:szCs w:val="16"/>
          <w:i w:val="1"/>
          <w:iCs w:val="1"/>
          <w:color w:val="auto"/>
        </w:rPr>
        <w:t>ncm.com, fathomevents.com, movienightout.com,</w:t>
      </w:r>
      <w:r>
        <w:rPr>
          <w:rFonts w:ascii="Arial" w:cs="Arial" w:eastAsia="Arial" w:hAnsi="Arial"/>
          <w:sz w:val="16"/>
          <w:szCs w:val="16"/>
          <w:color w:val="auto"/>
        </w:rPr>
        <w:t xml:space="preserve"> our mobile apps </w:t>
      </w:r>
      <w:r>
        <w:rPr>
          <w:rFonts w:ascii="Arial" w:cs="Arial" w:eastAsia="Arial" w:hAnsi="Arial"/>
          <w:sz w:val="16"/>
          <w:szCs w:val="16"/>
          <w:i w:val="1"/>
          <w:iCs w:val="1"/>
          <w:color w:val="auto"/>
        </w:rPr>
        <w:t>Movie Mystic</w:t>
      </w:r>
      <w:r>
        <w:rPr>
          <w:rFonts w:ascii="Arial" w:cs="Arial" w:eastAsia="Arial" w:hAnsi="Arial"/>
          <w:sz w:val="16"/>
          <w:szCs w:val="16"/>
          <w:color w:val="auto"/>
        </w:rPr>
        <w:t xml:space="preserve"> and </w:t>
      </w:r>
      <w:r>
        <w:rPr>
          <w:rFonts w:ascii="Arial" w:cs="Arial" w:eastAsia="Arial" w:hAnsi="Arial"/>
          <w:sz w:val="16"/>
          <w:szCs w:val="16"/>
          <w:i w:val="1"/>
          <w:iCs w:val="1"/>
          <w:color w:val="auto"/>
        </w:rPr>
        <w:t>Movie Night Out</w:t>
      </w:r>
      <w:r>
        <w:rPr>
          <w:rFonts w:ascii="Arial" w:cs="Arial" w:eastAsia="Arial" w:hAnsi="Arial"/>
          <w:sz w:val="16"/>
          <w:szCs w:val="16"/>
          <w:color w:val="auto"/>
        </w:rPr>
        <w:t xml:space="preserve"> and the 43 entertainment websites and mobile apps that are part of our online advertising network, we allow clients to benefit from a bundle of digital marketing products focused on the entertainment consumer. Our online and mobile app advertising networks launched in 2009 create an entertainment focused advertising network that provides smaller entertainment websites access to our national and local sales force as well as rich media widgets and other content created by our media production group.</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Expand Our Live and Pre-Recorded Fathom Events Businesses by Increasing Consumer Awareness and Expanding Our Access to Entertainment Content</w:t>
      </w:r>
    </w:p>
    <w:p>
      <w:pPr>
        <w:spacing w:after="0" w:line="113"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continued expansion of the geographic reach of our live network capabilities and improvement of the technical capabilities of our DCN and DBN and the higher quality digital cinema projectors that will allow us to do live and prerecorded 3D events will improve the ability of our Fathom Consumer entertainment events business to compete with other national media networks for entertainment content. Today, virtually all of our digitally equipped screens have the capability to show pre-recorded content. We continue to expand our live broadcast capabilities and as of December 30, 2010 we have 614 live DBN locations (from approximately 500 at the end of 2009) with approximately 217,000 seats in 99 of the top 100 DMAs</w:t>
      </w:r>
      <w:r>
        <w:rPr>
          <w:rFonts w:ascii="Arial" w:cs="Arial" w:eastAsia="Arial" w:hAnsi="Arial"/>
          <w:sz w:val="10"/>
          <w:szCs w:val="10"/>
          <w:color w:val="auto"/>
        </w:rPr>
        <w:t>®</w:t>
      </w:r>
      <w:r>
        <w:rPr>
          <w:rFonts w:ascii="Arial" w:cs="Arial" w:eastAsia="Arial" w:hAnsi="Arial"/>
          <w:sz w:val="16"/>
          <w:szCs w:val="16"/>
          <w:color w:val="auto"/>
        </w:rPr>
        <w:t>, and 162 DMAs</w:t>
      </w:r>
      <w:r>
        <w:rPr>
          <w:rFonts w:ascii="Arial" w:cs="Arial" w:eastAsia="Arial" w:hAnsi="Arial"/>
          <w:sz w:val="10"/>
          <w:szCs w:val="10"/>
          <w:color w:val="auto"/>
        </w:rPr>
        <w:t>®</w:t>
      </w:r>
      <w:r>
        <w:rPr>
          <w:rFonts w:ascii="Arial" w:cs="Arial" w:eastAsia="Arial" w:hAnsi="Arial"/>
          <w:sz w:val="16"/>
          <w:szCs w:val="16"/>
          <w:color w:val="auto"/>
        </w:rPr>
        <w:t xml:space="preserve"> in total. We will continue to add additional DBN locations and upgrade the projection capabilities of our existing network and DCN and DBN technologies with the higher quality digital cinema systems as they are deployed into our network theatres. By the end of 2011 with the deployment of digital cinema technology by our founding members and certain network affiliates we are targeting an expansion of our Fathom DBN locations to approximately 1,000 screens. These improvements to the projection technology within our network and expansion of our network will promote the production of more live and pre-recorded entertainment programming, including live 3D programming that can be distributed across our network and, as a result, expand our audience and increase our event ticket revenue. To increase the flow of content through our Fathom network, we will focus on expanding direct relationships with content owners and creating strategic content supply and marketing alliances with entertainment content promoters and distributors. We believe these and other relationships will provide us with a consistent and growing supply of programming and an additional marketing channel for bands, promoters and content owners. In particular, we will continue to pursue new multi-event agreements similar to the recent agreement with the LA Philharmonic and intend to pursue more of these types of multi-event relationships in the future as event series are easier to market, provide sponsorship opportunities and provide the opportunity to build a loyal audience over time.</w:t>
      </w:r>
    </w:p>
    <w:p>
      <w:pPr>
        <w:spacing w:after="0" w:line="12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have begun a restructuring of the Fathom Events division to provide more focus on marketing, event sales, and content acquisition and are combining the event management and distribution responsibilities into our network operations group. We will also be creating a more robust event sponsorship group that will be managed by our New York based media sales group. As part of this restructuring, we are entering discussions with the founding member circuits to explore a restructuring of the Fathom Events business relationship included in the ESA. The restructuring would focus on the various value propositions provided by the Fathom business and maximize the benefits associated with the new digital cinema technology being deployed in the founding member theatres. The discussions with the founding members are preliminary and we do not know how the existing relationship might be changed or if it will be changed. Any change to the Fathom Events business relationship with the founding members will require approval of our Audit Committee and a majority of our independent directors in addition to any other required approvals by our board of directors.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6"/>
          <w:szCs w:val="16"/>
          <w:i w:val="1"/>
          <w:iCs w:val="1"/>
          <w:color w:val="auto"/>
        </w:rPr>
        <w:t>Increase Market Awareness About Our Fathom Business Division to Expand Our Business Client Base and to Increase Revenue and OIBDA</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Fathom Business division provides a unique venue for corporate communication and customer marketing that offers advantages over hotels and other traditional meeting venues. Unlike traditional hotel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venues, we provide a single point of contact for national event booking and coordination and utilize digital distribution and projection technology. In addition, we also have the ability to bundle meetings with the screening of a film or Fathom Consumer entertainment event, sometimes before the film opens to the general public. We believe we can attract more clients to our network theatres and increase the revenue of our Fathom Business division by raising market awareness of the unique benefits of hosting marketing or corporate communication events or corporate meetings at our locations and through the increase in the number of theatres equipped to host live broadcasts. In an effort to expand the awareness and client base, we have employed several local and national marketing strategies to communicate the value proposition associated with our Fathom Business division. These marketing strategies include, but are not limited to, advertising in theatres within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program and on the internet, implementing e-mail/direct mail campaigns to Fortune 500 CEOs and holding demand generation seminars for prospects in our network theatres and via webinars and virtual conferences. Our advertising sales group also cross-sells our Fathom Business products.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Upgrade our Advertising Sales and Inventory Management Systems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are currently upgrading and improving our advertising sales and inventory management systems. We believe that these upgrades and improvements should enable us to respond more promptly to client requests for proposals, and should provide real-time access to pricing and availability information that allows us to manage our inventory and CPMs more efficiently, improve our management reporting and data analysis and provide the ability to manage a larger network as we add network affiliates and additional theatres acquired or built by our founding members.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Improve Content Presentation within our Network</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During 2010 we upgraded the visual quality and sound of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and launched a 3D advertising pod within the show. We will continue to focus on improving the quality and entertainment value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through the continued expansion of our creative community relationships by our chief creative officer and other creative personnel. By working more closely with our advertising clients on the creative aspects of their marketing plans we hope to improve the overall quality and effectiveness of advertisements that play in our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pre-show. We also expect that the digital cinema projectors being installed in our network will allow us to provide upgraded creative and production capabilities to maximize the higher quality 2D and 3D advertising. In April 2010, we began our first 3D advertising campaigns that are placed in a 3D pod that runs at the end of the </w:t>
      </w:r>
      <w:r>
        <w:rPr>
          <w:rFonts w:ascii="Arial" w:cs="Arial" w:eastAsia="Arial" w:hAnsi="Arial"/>
          <w:sz w:val="16"/>
          <w:szCs w:val="16"/>
          <w:i w:val="1"/>
          <w:iCs w:val="1"/>
          <w:color w:val="auto"/>
        </w:rPr>
        <w:t>FirstLook</w:t>
      </w:r>
      <w:r>
        <w:rPr>
          <w:rFonts w:ascii="Arial" w:cs="Arial" w:eastAsia="Arial" w:hAnsi="Arial"/>
          <w:sz w:val="16"/>
          <w:szCs w:val="16"/>
          <w:color w:val="auto"/>
        </w:rPr>
        <w:t xml:space="preserve"> program prior to 3D films, which we expect to further refine in the coming year. In addition to the digital cinema integration, we have also developed and begun to deploy a patent pending sound monitoring device that captures sound levels in the auditorium and enables us to monitor them electronically from our NOC. This innovation provides sound level data that is measured at the point of consumer consumption, which is a unique service we offer to our advertisers. As of December 30, 2010 we have installed the sound monitoring device in 506 screens and during 2011 we expect to accelerate the deployment to over 3,000 screens in the top 10 markets and select other theatres.</w:t>
      </w:r>
    </w:p>
    <w:p>
      <w:pPr>
        <w:spacing w:after="0" w:line="200" w:lineRule="exact"/>
        <w:rPr>
          <w:sz w:val="20"/>
          <w:szCs w:val="20"/>
          <w:color w:val="auto"/>
        </w:rPr>
      </w:pP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Develop our People and Culture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During 2010 we began to implement policies and procedures designed to strengthen the skills of our personnel and enhance productivity as well as improve the wellness of our employees.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Leverage Our Core Management Competencies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have a high-quality management team with a unique combination of core management competencies including: (i) cinema media sales and marketing,</w:t>
      </w:r>
    </w:p>
    <w:p>
      <w:pPr>
        <w:spacing w:after="0" w:line="38" w:lineRule="exact"/>
        <w:rPr>
          <w:sz w:val="20"/>
          <w:szCs w:val="20"/>
          <w:color w:val="auto"/>
        </w:rPr>
      </w:pPr>
    </w:p>
    <w:p>
      <w:pPr>
        <w:ind w:right="20" w:firstLine="8"/>
        <w:spacing w:after="0" w:line="255" w:lineRule="auto"/>
        <w:tabs>
          <w:tab w:leader="none" w:pos="2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digital technology development and operations within cinema environment, and (iii) digital media production and post production for display within cinema. Our ability to effectively leverage these core competencies across our theatre and online advertising networks and our Fathom Events network has been a key part of our past success and will continue to be a key part of our future growth plan.</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History</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Prior to Our Initial Public Offering</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Our business operations are conducted by NCM LLC, which was formed on March 29, 2005, by AMC and Regal as a joint venture that combined the cinema advertising and Fathom Events operations of Regal’s subsidiary, RCM, and the cinema advertising operations of AMC’s subsidiary, NCN. On July 15, 2005, Cinemark joined NCM LLC as a founding member and by May 2006, all of Cinemark’s digital screens were connected to our DCN. After joining NCM LLC, AMC acquired Loews in 2006 and Cinemark acquired Century Theatres in 2006.</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Our Initial Public Offering and Secondary Offering by AMC and Regal</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February 13, 2007, we completed our IPO. In the IPO, we sold 42 million shares of our common stock, including 4 million shares pursuant to the underwriters’ over-allotment option, at $21.00 per share. As a result of the IPO and related restructuring transactions, NCM, Inc. became a member and the sole manager of NCM LLC, acquired 44.8% of the common membership units of NCM LLC and became 100% owned by the public (including management). In connection with the completion of our IPO, NCM LLC’s agreements with its founding members, including the ESAs and the NCM LLC operating agreement, were amended and restated and NCM LLC used $686.3 million of the proceeds it received in the IPO to pay our founding members for their agreeing to modify NCM LLC’s payment obligations under the ESAs. Additionally, a recapitalization of NCM LLC was completed. The recapitalization involved a split in the number of NCM LLC common membership units, a non-cash recapitalization by NCM LLC into common and preferred membership units and the redemption of all preferred membership units by NCM LLC at an aggregate price of $769.5 million. Also, a senior secured credit facility was put into place for NCM LLC.</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NCM LLC Operating Agreement provides a redemption right of the founding members to exchange common membership units of NCM LLC for shares of NCM, Inc. common stock on a one-for-one basis, or at NCM, Inc.’s option, a cash payment equal to the market price of one share of NCM, Inc. common stock. During the third quarter of 2010 in connection with the public offering of NCM, Inc. common stock by AMC and Regal, AMC and Regal exercised the redemption right of an aggregate 10,955,471 common membership units. In connection with such redemption, AMC and Regal surrendered 6,655,193 and 4,300,278 common membership units to NCM LLC for cancellation, respectively. NCM, Inc. contributed an aggregate 10,955,471 shares of its common stock to NCM LLC in exchange for a like number of newly issued common membership units. NCM LLC then distributed the shares of common stock to AMC and Regal to complete the redemptions. Such redemptions took place immediately prior to the closing of the underwritten public offering and the subsequent closing of the overallotment option. In each case the NCM, Inc. common stock was sold at a price to the public of $16.00 per share by AMC and Regal. NCM, Inc. did not receive any proceeds from the sale of its common stock by AMC and Regal. Subsequent to the completion of this offering NCM, Inc.’s ownership in NCM LLC increased to 48.3%.</w:t>
      </w:r>
    </w:p>
    <w:p>
      <w:pPr>
        <w:spacing w:after="0" w:line="20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Theatre Additions to Our Networks Subsequent to Our Initial Public Offering</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accordance with our contractual agreements with our founding members, subsequent to the IPO 5,351,764 additional LLC units have been issued to the founding members related to the addition of 76 million net attendees to our network from the net effect of new builds, acquisitions and theatre disposals, including Cinemark’s acquisition of Muvico in 2009. Additional units have been issued to Regal in conjunction with their acquisition of Consolidated Theatres in 2008 and to AMC for their acquisition of certain theatres owned by Kerasotes Showplace Theatres in 2010. All acquired theatre circuits have or will (subject to certain run-out provisions) become part of our national theatre network in mid-2011. As of December 30, 2010, NCM, Inc. owned 48.3% of NCM LLC. In addition to the growth of our network from new founding member attendees, we have also added 73.1 million attendees since the IPO through network affiliate agreements with certain third-party theatre circuits, which expire at various dates.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459" w:right="2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NCM LLC’s Founding Members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Regal Entertainment Group</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Regal operates the largest theatre circuit in the U.S. based on total number of screens. As of December 30, 2010, Regal operated 539 theatres with a total of</w:t>
      </w:r>
    </w:p>
    <w:p>
      <w:pPr>
        <w:spacing w:after="0" w:line="5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6,698 screens, all of which are located in the U.S. For the fiscal year ended December 30, 2010, Regal’s theatres had total attendance of over 224 million and Regal reported total revenue of approximately $2.8 billion.</w:t>
      </w:r>
    </w:p>
    <w:p>
      <w:pPr>
        <w:spacing w:after="0" w:line="138"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On April 30, 2008, Regal acquired Consolidated Theatres. Consolidated Theatres has an existing contract for on-screen advertising with another cinema advertising provider. Pursuant to the amended ESAs and Common Unit Adjustment Agreement, Regal elected to receive 2,913,754 newly issued NCM LLC common units prior to the expiration of the contract with the third-party advertiser. As a result, Regal must make payments pursuant to the ESAs on a quarterly basis in arrears through mid-2011 in accordance with certain run-out provisions.</w:t>
      </w:r>
    </w:p>
    <w:p>
      <w:pPr>
        <w:spacing w:after="0" w:line="11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During the third quarter of 2010, in connection with a public offering of NCM, Inc. common stock by Regal, Regal exercised its redemption right and surrendered 4,300,278 common membership units to NCM LLC for cancellation and received a like number of shares of NCM, Inc. common stock. Such redemption took place immediately prior to the closing of the underwritten public offering and the subsequent closing of the overallotment option; in each case the NCM, Inc. common stock was sold by Regal at a price to the public of $16.00 per share.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AMC Entertainment Inc.</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AMC is the second largest theatre circuit in the U.S. based on total number of screens. As of December 30, 2010, AMC owned, operated or held interests in 361 theatres with a total of 5,203 screens globally, with approximately 94%, or 4,881, of its screens in the U.S. (including AMC Loews). For the twelve months ended December 30, 2010, AMC’s theatres had total worldwide attendance of over 201 million and AMC had revenue of $2.5 billion.</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On May 24, 2010, a subsidiary of AMC acquired Kerasotes Showplace Theatres, LLC. Kerasotes was an existing network affiliate of NCM LLC. Pursuant to the amended ESAs and Common Unit Adjustment Agreement, AMC was required to add Kerasotes to our national theatre network on an exclusive basis. As a result, AMC received 6,510,209 newly issued NCM LLC common units in the second quarter 2010. The addition of Kerasotes to AMC did not increase our screen count or attendance as it represented a movement from a network affiliate agreement to the ESA structure. Certain Kerasotes theatres were later sold to Regal.</w:t>
      </w:r>
    </w:p>
    <w:p>
      <w:pPr>
        <w:spacing w:after="0" w:line="143"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During the third quarter of 2010, in connection with a public offering of NCM, Inc. common stock by AMC, AMC exercised its redemption right and surrendered 6,655,193 common membership units to NCM LLC for cancellation and received a like number of shares of NCM, Inc. common stock. Such redemption took place immediately prior to the closing of the underwritten public offering and the subsequent closing of the overallotment option; in each case the NCM, Inc. common stock was sold by AMC at a price to the public of $16.00 per share.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Cinemark, Inc.</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Cinemark is the third largest theatre circuit in the U.S. based on total number of screens. As of December 30, 2010, Cinemark operated 430 theatres with a total of 4,945 screens globally, with approximately 77%, or 3,832, of its screens in the U.S. For the twelve months ended December 30, 2010, Cinemark’s theatres had total worldwide attendance of over 241 million and reported total revenue of $2.1 billion.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Agreements with NCM LLC’s Founding Members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Exhibitor Services Agreements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NCM LLC has been the exclusive provider of in-theatre advertising (subject to certain pre-existing contractual obligations for on-screen advertising and other limited exceptions for the benefit of the founding members) in the founding members’ theatres pursuant to agreements entered into with AMC and Regal in March 2005 and with Cinemark in July 2005.</w:t>
      </w:r>
    </w:p>
    <w:p>
      <w:pPr>
        <w:spacing w:after="0" w:line="14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In connection with the completion of the IPO, we entered into amended and restated ESAs with NCM LLC’s founding members. Key provisions of the agreements include:</w:t>
      </w:r>
    </w:p>
    <w:p>
      <w:pPr>
        <w:spacing w:after="0" w:line="51" w:lineRule="exact"/>
        <w:rPr>
          <w:sz w:val="20"/>
          <w:szCs w:val="20"/>
          <w:color w:val="auto"/>
        </w:rPr>
      </w:pPr>
    </w:p>
    <w:p>
      <w:pPr>
        <w:ind w:left="900" w:right="24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term of 30 years beginning February 13, 2007 (the term relating to Fathom Events is initially five years with provisions for automatic renewal if certain financial performance conditions are met for additional five year terms through the 30 year initial term);</w:t>
      </w:r>
    </w:p>
    <w:p>
      <w:pPr>
        <w:spacing w:after="0" w:line="4" w:lineRule="exact"/>
        <w:rPr>
          <w:rFonts w:ascii="Arial" w:cs="Arial" w:eastAsia="Arial" w:hAnsi="Arial"/>
          <w:sz w:val="16"/>
          <w:szCs w:val="16"/>
          <w:color w:val="auto"/>
        </w:rPr>
      </w:pPr>
    </w:p>
    <w:p>
      <w:pPr>
        <w:ind w:left="900" w:right="14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five-year right of first refusal (except for the Fathom Business and Consumer divisions), which begins one year prior to the end of the term of the ESA;</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exclusive rights to provide advertising for the founding members’ theatres subject to the founding members’ rights to do the following on a limited basis:</w:t>
      </w:r>
    </w:p>
    <w:p>
      <w:pPr>
        <w:spacing w:after="0" w:line="50" w:lineRule="exact"/>
        <w:rPr>
          <w:rFonts w:ascii="Arial" w:cs="Arial" w:eastAsia="Arial" w:hAnsi="Arial"/>
          <w:sz w:val="18"/>
          <w:szCs w:val="18"/>
          <w:color w:val="auto"/>
        </w:rPr>
      </w:pPr>
    </w:p>
    <w:p>
      <w:pPr>
        <w:ind w:left="1480" w:hanging="446"/>
        <w:spacing w:after="0" w:line="268"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promote activities associated with theatre operations on screen, on the LEN and in the lobby (including on additional video screens in theatre lobbies); and</w:t>
      </w:r>
    </w:p>
    <w:p>
      <w:pPr>
        <w:spacing w:after="0" w:line="50" w:lineRule="exact"/>
        <w:rPr>
          <w:rFonts w:ascii="Arial" w:cs="Arial" w:eastAsia="Arial" w:hAnsi="Arial"/>
          <w:sz w:val="18"/>
          <w:szCs w:val="18"/>
          <w:color w:val="auto"/>
        </w:rPr>
      </w:pPr>
    </w:p>
    <w:p>
      <w:pPr>
        <w:ind w:left="1480" w:right="160" w:hanging="446"/>
        <w:spacing w:after="0" w:line="332" w:lineRule="auto"/>
        <w:tabs>
          <w:tab w:leader="none" w:pos="14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promote, on the LEN and in theatre lobbies only, certain non-exclusive cross-marketing arrangements with third parties entered into by the founding members which are designed to promote the theatres and the movie-going experience to increase attendance and revenue;</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payment of a monthly theatre access fee to the founding members;</w:t>
      </w:r>
    </w:p>
    <w:p>
      <w:pPr>
        <w:spacing w:after="0" w:line="90" w:lineRule="exact"/>
        <w:rPr>
          <w:rFonts w:ascii="Arial" w:cs="Arial" w:eastAsia="Arial" w:hAnsi="Arial"/>
          <w:sz w:val="18"/>
          <w:szCs w:val="18"/>
          <w:color w:val="auto"/>
        </w:rPr>
      </w:pPr>
    </w:p>
    <w:p>
      <w:pPr>
        <w:ind w:left="900" w:hanging="325"/>
        <w:spacing w:after="0" w:line="323" w:lineRule="auto"/>
        <w:tabs>
          <w:tab w:leader="none" w:pos="90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 right for the founding members to purchase up to 90 seconds of on-screen advertising time during the pre-feature program at a specified rate (intended to initially approximate a market rate with annual increases of 8% in year one and two and 6% in years three and four and market increases thereafter). This time, which was 60 seconds for 2010 and is expected to be 60 seconds in the foreseeable future, satisfies the founding members’ obligation to provide certain on-screen advertising to their beverage concessionaires pursuant to their beverage concessionaire agreements;</w:t>
      </w:r>
    </w:p>
    <w:p>
      <w:pPr>
        <w:spacing w:after="0" w:line="16" w:lineRule="exact"/>
        <w:rPr>
          <w:rFonts w:ascii="Arial" w:cs="Arial" w:eastAsia="Arial" w:hAnsi="Arial"/>
          <w:sz w:val="15"/>
          <w:szCs w:val="15"/>
          <w:color w:val="auto"/>
        </w:rPr>
      </w:pPr>
    </w:p>
    <w:p>
      <w:pPr>
        <w:ind w:left="900" w:right="40" w:hanging="325"/>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requires founding members to make available to NCM LLC all acquired and newly constructed theatres for connection to the DCN, less the effect of any closed (prior to the expiration of their existing lease term) or sold theatres in exchange for newly issued NCM LLC units;</w:t>
      </w:r>
    </w:p>
    <w:p>
      <w:pPr>
        <w:spacing w:after="0" w:line="4" w:lineRule="exact"/>
        <w:rPr>
          <w:rFonts w:ascii="Arial" w:cs="Arial" w:eastAsia="Arial" w:hAnsi="Arial"/>
          <w:sz w:val="16"/>
          <w:szCs w:val="16"/>
          <w:color w:val="auto"/>
        </w:rPr>
      </w:pPr>
    </w:p>
    <w:p>
      <w:pPr>
        <w:ind w:left="900" w:right="3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primary responsibility of the founding members to install network equipment in newly built theatres and to ensure that 90% of screens owned by founding members are digital; and</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primary responsibility of NCM LLC to obtain, repair, maintain and replace the equipment not included in or on the theatre necessary to operate the DCN.</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October 2010, we agreed to an amendment of the ESAs to allow for the connection of our national advertising and Fathom Events networks to the founding members’ new, higher quality digital projection systems. These new systems will not only provide higher quality 2D images, they will also expand our capability to provide 3D advertising and 3D live and pre-recorded events. Under these amendments, the founding members must connect to the DCN any theatre screen that they choose to convert to a digital projection system. The founding member will be responsible for purchasing, installing and maintaining the digital cinema equipment, and NCM LLC will no longer be obligated to maintain or repair the formerly used lower-resolution projection equipment. In addition, NCM LLC will have the right, in any theatre auditorium capable of exhibiting 3D movies, to exhibit 3D advertising and, subject to additional conditions, meeting and programming services. Any advertising, which will only be permitted at the founding member’s sole discretion, on 3D glasses provided by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NCM LLC will be subject to all of the provisions of the ESA. NCM LLC has agreed to pay the founding members an amended monthly theatre access fee, along with specified percentages of revenue for Fathom events, for each theatre screen that has been converted to digital cinema equipment. The founding members are obligated to provide us with information on completed, ongoing and planned conversions. It is expected that over the next 24 to 36 months the vast majority of our founding member screens will be equipped with the new digital cinema equipment. These founding member installations, combined with the digital cinema installations of our network affiliates, are expected to provide an enhanced digital cinema presentation for approximately 90% of NCM’s approximately 678 million annual theatre attendance.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Intellectual Property Rights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have been granted a perpetual, royalty-free license from NCM LLC’s founding members to use certain proprietary software for the delivery of digital advertising and other content through our DCN to screens in the U.S. We have made improvements to this software since the IPO date and we own those improvements, except for improvements that were developed jointly by us and the founding members.</w:t>
      </w:r>
    </w:p>
    <w:p>
      <w:pPr>
        <w:spacing w:after="0" w:line="14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We also have licensed intellectual property that is the subject of several U.S. patent applications relating to scheduling in-theatre advertising and digital content as well as matters relating to digital projector automation. These licenses are governed by the pre-IPO license agreement.</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secured U.S. trademark registrations for NCM, National CineMedia and NCM Media Networks and have applied for several others. It is our practice to defend our trademarks and other intellectual property rights, including the associated goodwill, from infringement by others. We are aware that other persons or entities may use names and marks containing variations of our registered trademarks and other marks and trade names. Potentially, claims alleging infringement of intellectual property rights, such as trademark infringement, could be brought against us by the users of those other names and marks. If any such infringement claim were to prove successful in preventing us from either using or prohibiting a competitor’s use of our registered trademarks or other marks or trade names then our ability to build brand identity could be negatively impacted.</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Customers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Advertising Customers. </w:t>
      </w:r>
      <w:r>
        <w:rPr>
          <w:rFonts w:ascii="Arial" w:cs="Arial" w:eastAsia="Arial" w:hAnsi="Arial"/>
          <w:sz w:val="16"/>
          <w:szCs w:val="16"/>
          <w:color w:val="auto"/>
        </w:rPr>
        <w:t>Our advertising business has a diverse customer base, consisting of national and local advertisers. As of December 30, 2010,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business relationships with 145 national advertisers across a wide variety of industries. During the year ended December 30, 2010, we derived 71.7% of our advertising revenue from national clients (including advertising agencies that represent our clients), 9.8% from founding member beverage agreements and 18.5% from our relationships with thousands of local advertisers across the country (including advertising agencies that represent these clients).</w:t>
      </w:r>
    </w:p>
    <w:p>
      <w:pPr>
        <w:spacing w:after="0" w:line="113"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Each of NCM LLC’s founding members have a relationship with a beverage concessionaire under which they are obligated to provide on-screen advertising time as part of their agreement to purchase syrup. During 2010, we provided 60 seconds of on-screen advertising time to our founding members. The ESAs provide for the founding members to purchase this on-screen advertising time at a rate (intended to approximate a market rate) that is provided in the ESA.</w:t>
      </w:r>
    </w:p>
    <w:p>
      <w:pPr>
        <w:spacing w:after="0" w:line="8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Content Partners and Cell Phone PSAs. </w:t>
      </w:r>
      <w:r>
        <w:rPr>
          <w:rFonts w:ascii="Arial" w:cs="Arial" w:eastAsia="Arial" w:hAnsi="Arial"/>
          <w:sz w:val="16"/>
          <w:szCs w:val="16"/>
          <w:color w:val="auto"/>
        </w:rPr>
        <w:t>We have multi-year contractual relationships that provide entertainment content segments in the</w:t>
      </w:r>
      <w:r>
        <w:rPr>
          <w:rFonts w:ascii="Arial" w:cs="Arial" w:eastAsia="Arial" w:hAnsi="Arial"/>
          <w:sz w:val="16"/>
          <w:szCs w:val="16"/>
          <w:i w:val="1"/>
          <w:iCs w:val="1"/>
          <w:color w:val="auto"/>
        </w:rPr>
        <w:t xml:space="preserve"> FirstLook </w:t>
      </w:r>
      <w:r>
        <w:rPr>
          <w:rFonts w:ascii="Arial" w:cs="Arial" w:eastAsia="Arial" w:hAnsi="Arial"/>
          <w:sz w:val="16"/>
          <w:szCs w:val="16"/>
          <w:color w:val="auto"/>
        </w:rPr>
        <w:t>program and minimum annual advertising spending commitments with several entertainment and media companies. These agreements require that the content partners will provide non-commercial content segments that are entertaining, informative or educational in nature and will purchase a specified dollar amount of advertising at a specified CPM over a two-year period with options to renew, exercisable at the content partner’s option. We also have an exclusive cell phone courtesy public service announcement (“PSA”) reminding moviegoers to silence their cell phones and refrain from texting during feature films. During 2010, the total advertising purchased by these content partners and cell phone PSAs represented 18.2% of our total revenues.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advertising business competes in the estimated $162 billion plus U.S. advertising industry with many other forms of marketing media, including television, radio, print media, internet and outdoor display advertising. While cinema advertising represents a small portion of the advertising industry today, we believe it is well positioned to capitalize on the shift of advertising spending away from traditional mass media to more targeted and measurable forms of digital media. As the number of digital media platforms continues to increase, the ability to target narrow consumer demographics and to provide measurable third-party marketing information has become increasingly important. We believe that proliferation of digital technology enabling improved data collection may increase advertisers’ demand for digital advertising platforms and that cinema advertising is well positioned to benefit from these broad market trends.</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Through the visual quality and impact of the “big screen” and surround sound, we are able to display high impact advertising impressions to our audiences. According to Nielsen IAG Research studies conducted over the course of 2010, in certain instances our cinema advertising generated message recall rates up to four times greater than the same advertising shown on television. Given the scale and technical capabilities of our digital network, we are able to tailor our advertising programs with more flexibility and to a broader audience than other cinema advertising companies, providing a more entertaining consumer experience and a more effective advertising platform for advertisers.</w:t>
      </w:r>
    </w:p>
    <w:p>
      <w:pPr>
        <w:spacing w:after="0" w:line="143"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Our advertising business also competes with other providers of cinema advertising, which vary substantially in size, including Screenvision and Unique Screen Media (owned by Cinedigm Digital Cinema Corp.). As one of the largest providers of cinema advertising in the U.S., we believe that we are able to generate economies of scale, operating efficiencies and enhanced opportunities for our clients to access a national and local audience as well as allowing us to better compete with television and other national advertising networks.</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Our Fathom Consumer entertainment programming business competes with other broadcast and cable networks, large-scale public venues, including concert halls and other public meeting venues, and cable, broadcast and on-demand television events. We believe that the combination of our national theatre network, geographic distribution and high quality sight and sound presentation offers content owners and sponsors an effective venue for live and pre-recorded events such as music, sporting and other entertainment events.</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Fathom Business division competes with a number of venues including hotels, conference facilities, restaurants, arenas and other convention properties, as well as virtual meetings hosted online and across private teleconferencing networks. We believe that the combination of our ability to offer clients access to conveniently located theatres with big screens, stadium seating, high-resolution digital projection and audio in multiple locations with ample free parking in most locations offers clients an attractive venue for meetings. Also, we offer a single point of contact and standardized pricing for our services, which is a competitive advantage when booking multi-location marketing or other types of corporate events. In addition, we offer clients the ability to combine a movie or Fathom event with the meeting, which also differentiates us from other meeting venues.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revenue and operating results are seasonal in nature, coinciding with the attendance patterns within the film exhibition industry as well as the timing of marketing expenditures by our advertising clients. Advertising expenditures tend to be higher during the second, third, and fourth fiscal quarters and are correlated to theatre attendance levels and new product releases and advertising client marketing priorities and cycles. The actual quarterly results for each quarter could differ materially depending on these factors or other risks and uncertainties. Based on our historical experience, our first quarter typically has less revenue than the other quarters of a given year due primarily to lower theatre industry attendance levels and lower advertising spending by our clients. Accordingly, there can be no assurances that seasonal variations will not materially affect our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results of operations in the future. The following table reflects the quarterly percentage of total revenue for the fiscal years ended 2008, 2009 and 2010.</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2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First</w:t>
            </w: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2"/>
              </w:rPr>
              <w:t>Second</w:t>
            </w:r>
          </w:p>
        </w:tc>
        <w:tc>
          <w:tcPr>
            <w:tcW w:w="320" w:type="dxa"/>
            <w:vAlign w:val="bottom"/>
          </w:tcPr>
          <w:p>
            <w:pPr>
              <w:spacing w:after="0"/>
              <w:rPr>
                <w:sz w:val="14"/>
                <w:szCs w:val="14"/>
                <w:color w:val="auto"/>
              </w:rPr>
            </w:pPr>
          </w:p>
        </w:tc>
        <w:tc>
          <w:tcPr>
            <w:tcW w:w="12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Third</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Fourth</w:t>
            </w:r>
          </w:p>
        </w:tc>
      </w:tr>
      <w:tr>
        <w:trPr>
          <w:trHeight w:val="161"/>
        </w:trPr>
        <w:tc>
          <w:tcPr>
            <w:tcW w:w="3320" w:type="dxa"/>
            <w:vAlign w:val="bottom"/>
          </w:tcPr>
          <w:p>
            <w:pPr>
              <w:spacing w:after="0"/>
              <w:rPr>
                <w:sz w:val="14"/>
                <w:szCs w:val="14"/>
                <w:color w:val="auto"/>
              </w:rPr>
            </w:pPr>
          </w:p>
        </w:tc>
        <w:tc>
          <w:tcPr>
            <w:tcW w:w="396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Quarter</w:t>
            </w: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0"/>
              </w:rPr>
              <w:t>Quarter</w:t>
            </w:r>
          </w:p>
        </w:tc>
        <w:tc>
          <w:tcPr>
            <w:tcW w:w="15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Quarter</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Quarter</w:t>
            </w:r>
          </w:p>
        </w:tc>
      </w:tr>
      <w:tr>
        <w:trPr>
          <w:trHeight w:val="20"/>
        </w:trPr>
        <w:tc>
          <w:tcPr>
            <w:tcW w:w="33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FY 2008</w:t>
            </w:r>
          </w:p>
        </w:tc>
        <w:tc>
          <w:tcPr>
            <w:tcW w:w="27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17.0%</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23.5%</w:t>
            </w:r>
          </w:p>
        </w:tc>
        <w:tc>
          <w:tcPr>
            <w:tcW w:w="15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29.1%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w:t>
            </w:r>
          </w:p>
        </w:tc>
      </w:tr>
      <w:tr>
        <w:trPr>
          <w:trHeight w:val="216"/>
        </w:trPr>
        <w:tc>
          <w:tcPr>
            <w:tcW w:w="3320" w:type="dxa"/>
            <w:vAlign w:val="bottom"/>
          </w:tcPr>
          <w:p>
            <w:pPr>
              <w:spacing w:after="0"/>
              <w:rPr>
                <w:sz w:val="20"/>
                <w:szCs w:val="20"/>
                <w:color w:val="auto"/>
              </w:rPr>
            </w:pPr>
            <w:r>
              <w:rPr>
                <w:rFonts w:ascii="Arial" w:cs="Arial" w:eastAsia="Arial" w:hAnsi="Arial"/>
                <w:sz w:val="18"/>
                <w:szCs w:val="18"/>
                <w:color w:val="auto"/>
              </w:rPr>
              <w:t>FY 2009</w:t>
            </w:r>
          </w:p>
        </w:tc>
        <w:tc>
          <w:tcPr>
            <w:tcW w:w="3960" w:type="dxa"/>
            <w:vAlign w:val="bottom"/>
            <w:gridSpan w:val="3"/>
          </w:tcPr>
          <w:p>
            <w:pPr>
              <w:jc w:val="right"/>
              <w:ind w:right="640"/>
              <w:spacing w:after="0"/>
              <w:rPr>
                <w:sz w:val="20"/>
                <w:szCs w:val="20"/>
                <w:color w:val="auto"/>
              </w:rPr>
            </w:pPr>
            <w:r>
              <w:rPr>
                <w:rFonts w:ascii="Arial" w:cs="Arial" w:eastAsia="Arial" w:hAnsi="Arial"/>
                <w:sz w:val="18"/>
                <w:szCs w:val="18"/>
                <w:color w:val="auto"/>
              </w:rPr>
              <w:t>19.3%</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24.4%</w:t>
            </w:r>
          </w:p>
        </w:tc>
        <w:tc>
          <w:tcPr>
            <w:tcW w:w="1580" w:type="dxa"/>
            <w:vAlign w:val="bottom"/>
            <w:gridSpan w:val="3"/>
          </w:tcPr>
          <w:p>
            <w:pPr>
              <w:jc w:val="right"/>
              <w:ind w:right="640"/>
              <w:spacing w:after="0"/>
              <w:rPr>
                <w:sz w:val="20"/>
                <w:szCs w:val="20"/>
                <w:color w:val="auto"/>
              </w:rPr>
            </w:pPr>
            <w:r>
              <w:rPr>
                <w:rFonts w:ascii="Arial" w:cs="Arial" w:eastAsia="Arial" w:hAnsi="Arial"/>
                <w:sz w:val="18"/>
                <w:szCs w:val="18"/>
                <w:color w:val="auto"/>
              </w:rPr>
              <w:t>25.1%</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31.2%</w:t>
            </w:r>
          </w:p>
        </w:tc>
      </w:tr>
      <w:tr>
        <w:trPr>
          <w:trHeight w:val="216"/>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FY 2010</w:t>
            </w:r>
          </w:p>
        </w:tc>
        <w:tc>
          <w:tcPr>
            <w:tcW w:w="396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19.8%</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23.2%</w:t>
            </w:r>
          </w:p>
        </w:tc>
        <w:tc>
          <w:tcPr>
            <w:tcW w:w="15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29.4%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27.6%</w:t>
            </w: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employed 609 people as of December 30, 2010, which includes employees in our Centennial, Colorado headquarters, people employed in our advertising sales offices in New York, Los Angeles and Chicago, our software development office in Minneapolis and local advertising account executives and field maintenance technicians that work primarily from their homes throughout the U.S. None of our employees are covered by collective bargaining agreements. We believe that our relationship with our employees is good.</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Government Regulation</w:t>
      </w:r>
    </w:p>
    <w:p>
      <w:pPr>
        <w:spacing w:after="0" w:line="90"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Currently, we are not subject to regulations specific to the sale and distribution of cinema advertising that we need to comply with in our operations. We are subject to federal, state and local laws that govern businesses generally such as wage and hour and worker compensation laws.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We maintain a website at </w:t>
      </w:r>
      <w:r>
        <w:rPr>
          <w:rFonts w:ascii="Arial" w:cs="Arial" w:eastAsia="Arial" w:hAnsi="Arial"/>
          <w:sz w:val="16"/>
          <w:szCs w:val="16"/>
          <w:i w:val="1"/>
          <w:iCs w:val="1"/>
          <w:color w:val="auto"/>
        </w:rPr>
        <w:t>ncm.com</w:t>
      </w:r>
      <w:r>
        <w:rPr>
          <w:rFonts w:ascii="Arial" w:cs="Arial" w:eastAsia="Arial" w:hAnsi="Arial"/>
          <w:sz w:val="16"/>
          <w:szCs w:val="16"/>
          <w:color w:val="auto"/>
        </w:rPr>
        <w:t xml:space="preserve">, on which we will post free of charge our annual reports on Form 10-K, quarterly reports on Form 10-Q, current reports on Form 8-K, and any amendments to these reports under the heading “Investor Relations” located at the bottom of the page as soon as reasonably practicable after we electronically file such material with, or furnish it to, the Securities and Exchange Commission (the “SEC”). We also regularly post information about the Company on the Investor Relations page. We do not incorporate the information on our website into this document and you should not consider any information on, or that can be accessed through, our website as part of this document. You may read and copy any materials we file with the SEC at the Securities and Exchange Commission Public Reference Room at 100 F. Street, N.E., Washington, D.C. 20549. The SEC also maintains a website that contains our reports and other information at </w:t>
      </w:r>
      <w:r>
        <w:rPr>
          <w:rFonts w:ascii="Arial" w:cs="Arial" w:eastAsia="Arial" w:hAnsi="Arial"/>
          <w:sz w:val="16"/>
          <w:szCs w:val="16"/>
          <w:i w:val="1"/>
          <w:iCs w:val="1"/>
          <w:color w:val="auto"/>
        </w:rPr>
        <w:t>www.sec.gov.</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Officers of the Registrant</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Shown below are the names, ages as of December 30, 2010, and current positions of our executive officers. There are no family relationships between any of the persons listed below, or between any of such persons and any of the directors of the Company or any persons nominated or chosen by the Company to become a director or executive officer of the Company.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300" w:type="dxa"/>
            <w:vAlign w:val="bottom"/>
          </w:tcPr>
          <w:p>
            <w:pPr>
              <w:spacing w:after="0"/>
              <w:rPr>
                <w:sz w:val="15"/>
                <w:szCs w:val="15"/>
                <w:color w:val="auto"/>
              </w:rPr>
            </w:pPr>
          </w:p>
        </w:tc>
        <w:tc>
          <w:tcPr>
            <w:tcW w:w="6380" w:type="dxa"/>
            <w:vAlign w:val="bottom"/>
          </w:tcPr>
          <w:p>
            <w:pPr>
              <w:ind w:left="296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20" w:type="dxa"/>
            <w:vAlign w:val="bottom"/>
          </w:tcPr>
          <w:p>
            <w:pPr>
              <w:spacing w:after="0"/>
              <w:rPr>
                <w:sz w:val="18"/>
                <w:szCs w:val="18"/>
                <w:color w:val="auto"/>
              </w:rPr>
            </w:pPr>
          </w:p>
        </w:tc>
        <w:tc>
          <w:tcPr>
            <w:tcW w:w="4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Kurt C. Hall</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shd w:val="clear" w:color="auto" w:fill="CCEEFF"/>
          </w:tcPr>
          <w:p>
            <w:pPr>
              <w:spacing w:after="0"/>
              <w:rPr>
                <w:sz w:val="18"/>
                <w:szCs w:val="18"/>
                <w:color w:val="auto"/>
              </w:rPr>
            </w:pPr>
          </w:p>
        </w:tc>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Chief Executive Officer and Chairman</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Clifford E. Marks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6680" w:type="dxa"/>
            <w:vAlign w:val="bottom"/>
            <w:gridSpan w:val="2"/>
          </w:tcPr>
          <w:p>
            <w:pPr>
              <w:ind w:left="300"/>
              <w:spacing w:after="0"/>
              <w:rPr>
                <w:sz w:val="20"/>
                <w:szCs w:val="20"/>
                <w:color w:val="auto"/>
              </w:rPr>
            </w:pPr>
            <w:r>
              <w:rPr>
                <w:rFonts w:ascii="Arial" w:cs="Arial" w:eastAsia="Arial" w:hAnsi="Arial"/>
                <w:sz w:val="18"/>
                <w:szCs w:val="18"/>
                <w:color w:val="auto"/>
              </w:rPr>
              <w:t>President of Sales and Marketing</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Gary W. Ferrera</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Ralph E. Hardy</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6680" w:type="dxa"/>
            <w:vAlign w:val="bottom"/>
            <w:gridSpan w:val="2"/>
          </w:tcPr>
          <w:p>
            <w:pPr>
              <w:ind w:left="300"/>
              <w:spacing w:after="0"/>
              <w:rPr>
                <w:sz w:val="20"/>
                <w:szCs w:val="20"/>
                <w:color w:val="auto"/>
              </w:rPr>
            </w:pPr>
            <w:r>
              <w:rPr>
                <w:rFonts w:ascii="Arial" w:cs="Arial" w:eastAsia="Arial" w:hAnsi="Arial"/>
                <w:sz w:val="18"/>
                <w:szCs w:val="18"/>
                <w:color w:val="auto"/>
              </w:rPr>
              <w:t>Executive Vice President and General Counsel</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Earl B. Weihe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6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Executive Vice President and Chief Operations Officer</w:t>
            </w:r>
          </w:p>
        </w:tc>
      </w:tr>
    </w:tbl>
    <w:p>
      <w:pPr>
        <w:spacing w:after="0" w:line="154"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 xml:space="preserve">Kurt C. Hall. </w:t>
      </w:r>
      <w:r>
        <w:rPr>
          <w:rFonts w:ascii="Arial" w:cs="Arial" w:eastAsia="Arial" w:hAnsi="Arial"/>
          <w:sz w:val="16"/>
          <w:szCs w:val="16"/>
          <w:color w:val="auto"/>
        </w:rPr>
        <w:t>Mr. Hall was appointed President, Chief Executive Officer and Chairman of NCM, Inc. in February 2007 and held those same positions with</w:t>
      </w:r>
      <w:r>
        <w:rPr>
          <w:rFonts w:ascii="Arial" w:cs="Arial" w:eastAsia="Arial" w:hAnsi="Arial"/>
          <w:sz w:val="16"/>
          <w:szCs w:val="16"/>
          <w:i w:val="1"/>
          <w:iCs w:val="1"/>
          <w:color w:val="auto"/>
        </w:rPr>
        <w:t xml:space="preserve"> </w:t>
      </w:r>
      <w:r>
        <w:rPr>
          <w:rFonts w:ascii="Arial" w:cs="Arial" w:eastAsia="Arial" w:hAnsi="Arial"/>
          <w:sz w:val="16"/>
          <w:szCs w:val="16"/>
          <w:color w:val="auto"/>
        </w:rPr>
        <w:t>NCM LLC since March 2005. He has also served as Chairman, President and Chief Executive Officer of NCM, Inc. since October 2006. Prior to his current position, from May 2002 to May 2005, Mr. Hall served as Co-Chairman and Co-Chief Executive Officer of Regal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Entertainment Group and President and Chief Executive Officer of its media subsidiary Regal CineMedia Corporation. Since 1988, Mr. Hall has held various executive positions with United Artists Theatre Company, and its predecessor companies, including CEO when it became part of Regal Entertainment Group in 2002. In 2009, Mr. Hall joined the board of directors of RMG and serves as a member of its compensation committee.</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 xml:space="preserve">Clifford E. Marks. </w:t>
      </w:r>
      <w:r>
        <w:rPr>
          <w:rFonts w:ascii="Arial" w:cs="Arial" w:eastAsia="Arial" w:hAnsi="Arial"/>
          <w:sz w:val="16"/>
          <w:szCs w:val="16"/>
          <w:color w:val="auto"/>
        </w:rPr>
        <w:t>Mr. Marks was appointed NCM, Inc.’s President of Sales and Marketing in February 2007 and held those same positions with NCM</w:t>
      </w:r>
      <w:r>
        <w:rPr>
          <w:rFonts w:ascii="Arial" w:cs="Arial" w:eastAsia="Arial" w:hAnsi="Arial"/>
          <w:sz w:val="16"/>
          <w:szCs w:val="16"/>
          <w:i w:val="1"/>
          <w:iCs w:val="1"/>
          <w:color w:val="auto"/>
        </w:rPr>
        <w:t xml:space="preserve"> </w:t>
      </w:r>
      <w:r>
        <w:rPr>
          <w:rFonts w:ascii="Arial" w:cs="Arial" w:eastAsia="Arial" w:hAnsi="Arial"/>
          <w:sz w:val="16"/>
          <w:szCs w:val="16"/>
          <w:color w:val="auto"/>
        </w:rPr>
        <w:t>LLC since March 2005. He has been an advertising, marketing and sales professional for 25 years. Prior to his current position, Mr. Marks served as president of sales and marketing with Regal Entertainment Group’s media subsidiary, Regal CineMedia Corporation, from May 2002 to May 2005. Before joining Regal CineMedia, Mr. Marks was a senior vice president at ESPN/ABC Sports where he oversaw its advertising sales organization from 1998 to May 2002.</w:t>
      </w:r>
    </w:p>
    <w:p>
      <w:pPr>
        <w:spacing w:after="0" w:line="113"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i w:val="1"/>
          <w:iCs w:val="1"/>
          <w:color w:val="auto"/>
        </w:rPr>
        <w:t xml:space="preserve">Gary W. Ferrera. </w:t>
      </w:r>
      <w:r>
        <w:rPr>
          <w:rFonts w:ascii="Arial" w:cs="Arial" w:eastAsia="Arial" w:hAnsi="Arial"/>
          <w:sz w:val="16"/>
          <w:szCs w:val="16"/>
          <w:color w:val="auto"/>
        </w:rPr>
        <w:t>Mr. Ferrera was appointed Executive Vice President and Chief Financial Officer of NCM, Inc. in February 2007 and held those same</w:t>
      </w:r>
      <w:r>
        <w:rPr>
          <w:rFonts w:ascii="Arial" w:cs="Arial" w:eastAsia="Arial" w:hAnsi="Arial"/>
          <w:sz w:val="16"/>
          <w:szCs w:val="16"/>
          <w:i w:val="1"/>
          <w:iCs w:val="1"/>
          <w:color w:val="auto"/>
        </w:rPr>
        <w:t xml:space="preserve"> </w:t>
      </w:r>
      <w:r>
        <w:rPr>
          <w:rFonts w:ascii="Arial" w:cs="Arial" w:eastAsia="Arial" w:hAnsi="Arial"/>
          <w:sz w:val="16"/>
          <w:szCs w:val="16"/>
          <w:color w:val="auto"/>
        </w:rPr>
        <w:t>positions with NCM LLC since May 2006. Mr. Ferrera has held positions in accounting and finance since 1991. From October 2005 to May 2006, he served as an independent consultant. Mr. Ferrera served as the interim Chief Financial Officer of the German cable company iesy Hessen, GmbH (now known as Unity Media), from March to October 2005. From February 2000 to February 2005, Mr. Ferrera held positions in both the U.S. and Europe with Citigroup’s Global Corporate and Investment Bank where he spent the majority of that time advising and financing European media companies. Prior to his business career,</w:t>
      </w:r>
    </w:p>
    <w:p>
      <w:pPr>
        <w:spacing w:after="0" w:line="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 xml:space="preserve">Mr. Ferrera served for over seven years in U.S. Army Special Operations and Intelligence. Mr. Ferrera graduated </w:t>
      </w:r>
      <w:r>
        <w:rPr>
          <w:rFonts w:ascii="Arial" w:cs="Arial" w:eastAsia="Arial" w:hAnsi="Arial"/>
          <w:sz w:val="18"/>
          <w:szCs w:val="18"/>
          <w:i w:val="1"/>
          <w:iCs w:val="1"/>
          <w:color w:val="auto"/>
        </w:rPr>
        <w:t>magna cum laude</w:t>
      </w:r>
      <w:r>
        <w:rPr>
          <w:rFonts w:ascii="Arial" w:cs="Arial" w:eastAsia="Arial" w:hAnsi="Arial"/>
          <w:sz w:val="18"/>
          <w:szCs w:val="18"/>
          <w:color w:val="auto"/>
        </w:rPr>
        <w:t xml:space="preserve"> with a BS in Accounting from Bentley College and received an MBA from the Kellogg School of Management, Northwestern University.</w:t>
      </w:r>
    </w:p>
    <w:p>
      <w:pPr>
        <w:spacing w:after="0" w:line="138"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i w:val="1"/>
          <w:iCs w:val="1"/>
          <w:color w:val="auto"/>
        </w:rPr>
        <w:t xml:space="preserve">Ralph E. Hardy. </w:t>
      </w:r>
      <w:r>
        <w:rPr>
          <w:rFonts w:ascii="Arial" w:cs="Arial" w:eastAsia="Arial" w:hAnsi="Arial"/>
          <w:sz w:val="18"/>
          <w:szCs w:val="18"/>
          <w:color w:val="auto"/>
        </w:rPr>
        <w:t>Mr. Hardy was appointed Executive Vice President and General Counsel of NCM, Inc. in February 2007 and held those same positions</w:t>
      </w:r>
      <w:r>
        <w:rPr>
          <w:rFonts w:ascii="Arial" w:cs="Arial" w:eastAsia="Arial" w:hAnsi="Arial"/>
          <w:sz w:val="18"/>
          <w:szCs w:val="18"/>
          <w:i w:val="1"/>
          <w:iCs w:val="1"/>
          <w:color w:val="auto"/>
        </w:rPr>
        <w:t xml:space="preserve"> </w:t>
      </w:r>
      <w:r>
        <w:rPr>
          <w:rFonts w:ascii="Arial" w:cs="Arial" w:eastAsia="Arial" w:hAnsi="Arial"/>
          <w:sz w:val="18"/>
          <w:szCs w:val="18"/>
          <w:color w:val="auto"/>
        </w:rPr>
        <w:t>with NCM LLC since March 2005. Prior to his current position, from May 2002 to May 2005, Mr. Hardy served as Executive Vice President and General Counsel for Regal CineMedia Corporation. Since 1989, Mr. Hardy has held various legal executive positions with United Artists Theatre Company and its predecessors.</w:t>
      </w:r>
    </w:p>
    <w:p>
      <w:pPr>
        <w:spacing w:after="0" w:line="143"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i w:val="1"/>
          <w:iCs w:val="1"/>
          <w:color w:val="auto"/>
        </w:rPr>
        <w:t xml:space="preserve">Earl B. Weihe. </w:t>
      </w:r>
      <w:r>
        <w:rPr>
          <w:rFonts w:ascii="Arial" w:cs="Arial" w:eastAsia="Arial" w:hAnsi="Arial"/>
          <w:sz w:val="16"/>
          <w:szCs w:val="16"/>
          <w:color w:val="auto"/>
        </w:rPr>
        <w:t>Mr. Weihe was appointed as Executive Vice President and Chief Operations Officer of NCM, Inc. in January 2010. Prior to this</w:t>
      </w:r>
      <w:r>
        <w:rPr>
          <w:rFonts w:ascii="Arial" w:cs="Arial" w:eastAsia="Arial" w:hAnsi="Arial"/>
          <w:sz w:val="16"/>
          <w:szCs w:val="16"/>
          <w:i w:val="1"/>
          <w:iCs w:val="1"/>
          <w:color w:val="auto"/>
        </w:rPr>
        <w:t xml:space="preserve"> </w:t>
      </w:r>
      <w:r>
        <w:rPr>
          <w:rFonts w:ascii="Arial" w:cs="Arial" w:eastAsia="Arial" w:hAnsi="Arial"/>
          <w:sz w:val="16"/>
          <w:szCs w:val="16"/>
          <w:color w:val="auto"/>
        </w:rPr>
        <w:t>appointment, Mr. Weihe served as Senior Vice President of Operations for NCM LLC since July 2005. From his original hire in March 2002 until July 2005, Mr. Weihe served as Vice President of Operations for NCM LLC and its predecessor, Regal CineMedia Corporation.</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addition to historical information, some of the information in this Annual Report on Form 10-K includes “forward-looking statements” within the meaning of Section 27A of the Securities Act of 1933, as amended, or the Securities Act, and Section 21E of the Securities Exchange Act of 1934, as amended, or the Exchange Act. All statements other than statements of historical facts included in this Form 10-K, including, without limitation, certain statements under “Business”, “Risk Factors” and “Management’s Discussion and Analysis of Financial Condition and Results of Operations”, may constitute forward-looking statements. In some cases, you can identify these “forward-looking statements” by the specific words, including but not limited to “may,” “will,” “should,” “expects,” “forecast,” “project,” “intend,” “plans,” “anticipates,” “believes,” “estimates,” “predicts,” “potential” or “continue” or the negative of those words and other comparable words. These forward-looking statements involve known and unknown risks and uncertainties, assumptions and other factors, including, but not limited to, the following:</w:t>
      </w:r>
    </w:p>
    <w:p>
      <w:pPr>
        <w:spacing w:after="0" w:line="37"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ESAs or lack of support by the founding members;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non-competition provisions of the ESAs being deemed unenforceable;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bankruptcy of one of the founding members;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national, regional and local economic conditions that may affect the markets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levels of expenditures on advertising in general and cinema advertising in particular;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competition within the overall advertising industry;</w:t>
      </w:r>
    </w:p>
    <w:p>
      <w:pPr>
        <w:spacing w:after="0" w:line="90" w:lineRule="exact"/>
        <w:rPr>
          <w:rFonts w:ascii="Arial" w:cs="Arial" w:eastAsia="Arial" w:hAnsi="Arial"/>
          <w:sz w:val="18"/>
          <w:szCs w:val="18"/>
          <w:color w:val="auto"/>
        </w:rPr>
      </w:pPr>
    </w:p>
    <w:p>
      <w:pPr>
        <w:ind w:left="900" w:right="6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technological changes and innovations, including 3D, digital cinema, alternative methods for delivering movies to consumers and failures or disruptions of our technology systems;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effectively manage or continue our growth;</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popularity of major motion picture releases and level of theatre attendance, including at founding members’ theatres;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retain our senior management;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shifts in population and other demographics;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infringement of our technology on intellectual property rights owned by others;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ability to renew expiring advertising contracts at favorable rates, or to replace them with new contracts that are comparably favorable to us;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need for, and ability to obtain, additional funding for acquisitions and operations;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founding members ability to compete with us, influence our affairs and benefit from corporate opportunities that might otherwise be available to us;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risks and uncertainties relating to our significant indebtedness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operating costs, capital expenditures, revenue and Adjusted OIBDA;</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future issuance of membership units by NCM LLC or issuance of preferred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determination that we are an investment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determination that any amount of our tax benefits should not have been available;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market interest rates and our stock prices;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accounting principles, policies, guidelines or internal control over financial reporting.</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This list of factors that may affect future performance and the accuracy of forward-looking statements are illustrative and not exhaustive. Our actual results, performance or achievements could differ materially from those indicated in these statements as a result of certain factors as more fully discussed under “Risk Factors” below. Our historical financial data discussed prior to the completion of our IPO reflects the historical results of operations and financial position of NCM LLC. Accordingly, that historical financial data does not give effect to the reorganization and the NCM LLC senior secured credit facility completed as part of the NCM, Inc. IPO.</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Ownership of the common stock of the Company involves certain risks. Holders of the Company’s securities and prospective investors should consider carefully the following risks and other information in this document, including our historical financial statements and related notes, in evaluating an investment in the Company’s common stock. If any of the following risks actually occur, our business, financial condition and operating results could be adversely affected. As a result, the trading price of our common stock could decline, perhaps significantly.</w:t>
      </w:r>
    </w:p>
    <w:p>
      <w:pPr>
        <w:spacing w:after="0" w:line="269"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Changes in the ESAs with, or lack of support by, NCM LLC’s founding members could adversely affect our revenue, growth and profitability</w:t>
      </w:r>
    </w:p>
    <w:p>
      <w:pPr>
        <w:spacing w:after="0" w:line="113"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The ESAs with NCM LLC’s founding members are critical to our business. The three ESAs each have an initial term of 30 years beginning February 13, 2007 and provide us with a five-year right of first refusal, which begins one year prior to the end of the term of the ESA. The term of the ESAs as they relate to each of the Fathom consumer and business event divisions, is approximately five years from the IPO with provisions for automatic renewals for a series of additional five year terms through February 2037, if certain financial performance conditions are met with respect to each division. NCM LLC’s founding members’ theatres represent approximately 87% of the screens and approximately 89% of the attendance in our network as of December 30, 2010. If any one of the ESAs were terminated, not renewed at its expiration or found to be unenforceable, it would have a material adverse effect on our revenue, profitability and financial condition.</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ESAs require the cooperation, investment and support of the founding members, the absence of which could adversely affect us. Pursuant to the ESAs, NCM LLC’s founding members must make investments to replace digital network equipment within their theatres and equip newly constructed theatres with digital network equipment. If the founding members do not have adequate financial resources or operational strength, and if they do not replace equipment or equip new theatres to maintain the level of operating functionality that we have today, or if such equipment becomes obsolete, we may have to make additional capital expenditures or our advertising, Fathom Events revenue and operating margins may decline. If the founding members reject advertising or choose not to participate in certain Fathom Business or Consumer events under the terms of the ESAs because they believe it would adversely affect their film attendance levels or the reputation of their company, our revenue from these businesses would be reduced.</w:t>
      </w:r>
    </w:p>
    <w:p>
      <w:pPr>
        <w:spacing w:after="0" w:line="199" w:lineRule="exact"/>
        <w:rPr>
          <w:sz w:val="20"/>
          <w:szCs w:val="20"/>
          <w:color w:val="auto"/>
        </w:rPr>
      </w:pPr>
    </w:p>
    <w:p>
      <w:pPr>
        <w:ind w:left="240" w:right="380"/>
        <w:spacing w:after="0" w:line="268" w:lineRule="auto"/>
        <w:rPr>
          <w:sz w:val="20"/>
          <w:szCs w:val="20"/>
          <w:color w:val="auto"/>
        </w:rPr>
      </w:pPr>
      <w:r>
        <w:rPr>
          <w:rFonts w:ascii="Arial" w:cs="Arial" w:eastAsia="Arial" w:hAnsi="Arial"/>
          <w:sz w:val="18"/>
          <w:szCs w:val="18"/>
          <w:b w:val="1"/>
          <w:bCs w:val="1"/>
          <w:i w:val="1"/>
          <w:iCs w:val="1"/>
          <w:color w:val="auto"/>
        </w:rPr>
        <w:t>If the non-competition provisions of the ESAs are deemed unenforceable, NCM LLC’s founding members could compete against us and our business could be adversely affected</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With certain limited exceptions, each of the ESAs prohibits the applicable founding member from engaging in any of the business activities that we provide in the founding member’s theatres under the ESA, and from owning interests in other entities that compete with us. These provisions are intended to prevent the founding members from harming our business by providing cinema advertising services directly to their theatres or by entering into agreements with third-party cinema advertising providers. However, under state and federal law, a court may determine that a non-competition covenant is unenforceable, in whole or in part, for reasons including, but not limited to, the court’s determination that the covenant:</w:t>
      </w:r>
    </w:p>
    <w:p>
      <w:pPr>
        <w:spacing w:after="0" w:line="35"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 not necessary to protect a legitimate business interest of the party seeking enforcement;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unreasonably restrains the party against whom enforcement is sought;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 contrary to the public interest.</w:t>
      </w:r>
    </w:p>
    <w:p>
      <w:pPr>
        <w:spacing w:after="0" w:line="171"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Enforceability of a non-competition covenant is determined by a court based on all of the facts and circumstances of the specific case at the time enforcement is sought. For this reason, it is not possible for us 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predict whether, or to what extent, a court would enforce the non-competition provisions contained in the ESAs. If a court were to determine that the non-competition provisions are unenforceable, the founding members could compete directly against us or enter into an agreement with another cinema advertising provider that competes against us. Any inability to enforce the non-competition provisions, in whole or in part could cause our revenue to decline.</w:t>
      </w:r>
    </w:p>
    <w:p>
      <w:pPr>
        <w:spacing w:after="0" w:line="188" w:lineRule="exact"/>
        <w:rPr>
          <w:sz w:val="20"/>
          <w:szCs w:val="20"/>
          <w:color w:val="auto"/>
        </w:rPr>
      </w:pPr>
    </w:p>
    <w:p>
      <w:pPr>
        <w:jc w:val="both"/>
        <w:ind w:left="240" w:right="180"/>
        <w:spacing w:after="0" w:line="259" w:lineRule="auto"/>
        <w:rPr>
          <w:sz w:val="20"/>
          <w:szCs w:val="20"/>
          <w:color w:val="auto"/>
        </w:rPr>
      </w:pPr>
      <w:r>
        <w:rPr>
          <w:rFonts w:ascii="Arial" w:cs="Arial" w:eastAsia="Arial" w:hAnsi="Arial"/>
          <w:sz w:val="18"/>
          <w:szCs w:val="18"/>
          <w:b w:val="1"/>
          <w:bCs w:val="1"/>
          <w:i w:val="1"/>
          <w:iCs w:val="1"/>
          <w:color w:val="auto"/>
        </w:rPr>
        <w:t>Because we rely heavily on NCM LLC’s founding members’ ability to attract customers, any reduction in attendance at founding member theatres could reduce our revenue, or if one of NCM LLC’s founding members declared bankruptcy, the ESA with that founding member may be rejected, renegotiated or deemed unenforceable</w:t>
      </w:r>
    </w:p>
    <w:p>
      <w:pPr>
        <w:spacing w:after="0" w:line="5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business is affected by the success of NCM LLC’s founding members, who operate in a highly competitive industry. From the late 1990s through 2002, the number of movie screens and the level of theatre attendance in the U.S. increased substantially, as movie theatres began to offer new amenities such as stadium seating, improved projection quality and superior sound systems. Annual theatre attendance has fluctuated over the last several years depending on the quality of motion pictures released by the major and independent studios. Over the last 20 years theatre attendance has fluctuated from year to year but on average has grown by an aggregate annual rate of approximately 1%. If future theatre attendance declines significantly over an extended time period, one or more of NCM LLC’s founding members may face financial difficulties and could be forced to sell or close theatres or reduce the number of screens it builds or upgrades. Attendance may also decline if the founding members fail to maintain their theatres and provide amenities that consumers prefer, or if they cannot compete successfully on pricing. NCM LLC’s founding members also may not successfully compete for licenses to exhibit quality films and are not assured a consistent supply of motion pictures since they do not have long-term arrangements with major film distributors. Any of these circumstances could reduce our revenue because our national advertising revenue, and local advertising to a lesser extent, depends on the number of theatre patrons who view our advertising and pre-feature show.</w:t>
      </w:r>
    </w:p>
    <w:p>
      <w:pPr>
        <w:spacing w:after="0" w:line="127" w:lineRule="exact"/>
        <w:rPr>
          <w:sz w:val="20"/>
          <w:szCs w:val="20"/>
          <w:color w:val="auto"/>
        </w:rPr>
      </w:pPr>
    </w:p>
    <w:p>
      <w:pPr>
        <w:ind w:right="60" w:firstLine="456"/>
        <w:spacing w:after="0" w:line="307" w:lineRule="auto"/>
        <w:rPr>
          <w:sz w:val="20"/>
          <w:szCs w:val="20"/>
          <w:color w:val="auto"/>
        </w:rPr>
      </w:pPr>
      <w:r>
        <w:rPr>
          <w:rFonts w:ascii="Arial" w:cs="Arial" w:eastAsia="Arial" w:hAnsi="Arial"/>
          <w:sz w:val="15"/>
          <w:szCs w:val="15"/>
          <w:color w:val="auto"/>
        </w:rPr>
        <w:t>Each of NCM LLC’s founding members currently has a significant amount of indebtedness, which is below investment grade. In 2000 and 2001, several major motion picture exhibition companies filed for bankruptcy. For example, each of United Artists, Edwards Theatres and Regal Cinemas (which are predecessor companies to Regal), and General Cinemas and Loews Cineplex (which are predecessor companies to AMC) filed for bankruptcy during 2000 or 2001. The industry-wide construction of larger, more expensive megaplexes featuring stadium seating in the late 1990s that rendered existing, smaller, sloped-floor theatres under long-term leases obsolete and unprofitable, were significant contributing factors to these bankruptcies. If a bankruptcy case were commenced by or against a founding member, it is possible that all or part of the ESA with that founding member could be rejected by a trustee in the bankruptcy case pursuant to Section 365 or Section 1123 of the United States Bankruptcy Code, or by the founding member, and thus not be enforceable. Alternatively, the founding member could seek to renegotiate the ESA in a manner less favorable to us than the existing agreement. In addition, the founding member could seek to sell or otherwise dispose of theatres, which might result in the removal of those theatres from our network if the acquirer did not agree to continue to allow us to sell advertising in the acquired theatres, which would likely result in the surrender of LLC units from the founding member. Because we sell advertising based on the number of theatre patrons that will view the advertisement, a reduction in the number of theatres in our network could reduce our advertising revenue.</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recent and ongoing global economic uncertainty may adversely impact our business, operating results or financial condition</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widely reported, financial markets in the U.S., Europe and Asia have experienced extreme disruption since late 2008, and while there has been improvement during 2010, uncertainty remains regarding when the economy will improve to historical growth levels. Any return to the conditions that existed during the recent recession or other unfavorable changes in economic conditions, including declining consumer confidence, concerns about inflation or deflation, the threat of another recession, increases in the rates of default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bankruptcy and extreme volatility in the credit and equity markets, may lead to decreased demand or delay in payments by our customers or to slowing of their payments to us, and our results of operations and financial condition could be adversely affected by these actions. These challenging economic conditions also may result in:</w:t>
      </w:r>
    </w:p>
    <w:p>
      <w:pPr>
        <w:spacing w:after="0" w:line="59"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competition for fewer advertising, business meeting and entertainment programming dollars;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pricing pressure that may adversely affect revenue and gross margin;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credit availability and/or access to capital markets;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difficulty forecasting, budgeting and planning due to limited visibility into the spending plans of current or prospective customers;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financial difficulty and increased risk of doubtful accounts receivable.</w:t>
      </w:r>
    </w:p>
    <w:p>
      <w:pPr>
        <w:spacing w:after="0" w:line="171"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Additionally, we use interest rate swaps to reduce our exposure to various interest rate risks, which qualify for hedge accounting for financial reporting purposes. Failure through bankruptcy or otherwise of the interest rate swap counterparties could cause these instruments to become ineffective for hedge accounting purposes, which could require any gains or losses associated with these instruments to be reported in our earnings each period. Uncertainty about current global economic conditions could also continue to increase the volatility of our stock price. We are unable to predict the timing, duration or severity of any new disruption in financial markets and adverse economic conditions in the U.S. and other countries.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The markets for advertising, meeting management and event content are competitive and we may be unable to compete successfully</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market for advertising is very competitive. Cinema advertising is a small component of the overall U.S. advertising market and thus we must compete with established, larger and better known national and local media platforms such as cable, broadcast and satellite television networks and newly emerging media platforms such as the Internet. We compete for advertising directly with all media platforms, including radio and television broadcasting, cable and satellite television services, various local print media, billboards and Internet portals and search engines.</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also compete directly with other cinema advertising companies. We expect these competitors to devote significant effort to maintaining and growing their respective positions in the cinema advertising segment. We also expect existing competitors and new entrants to the cinema advertising business to constantly revise and improve their business models in light of challenges from us or competing media platforms. If we cannot respond effectively to advances by our competitors, our business may be adversely affected.</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Fathom Business division facilitates live and pre-recorded events in theatre auditoriums. These events are typically, but not exclusively scheduled from Monday through Thursday during off-peak hours while theatre attendance for movies is traditionally low. This business competes for customers with a number of venues including hotels, conference facilities, restaurants, arenas and other convention properties, as well as virtual meetings hosted online or over private teleconferencing networks. Accordingly, our ability to increase sales in our Fathom Business division is contingent on our ability to attract new customers and compete effectively against other well-established and well-capitalized venues.</w:t>
      </w:r>
    </w:p>
    <w:p>
      <w:pPr>
        <w:spacing w:after="0" w:line="116"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Our Fathom Consumer division focuses on the distribution of entertainment programming products. It includes live and pre-recorded concerts, opera, symphony and other types of music events, concert and DVD product releases, theatrical premieres, Broadway plays, as well as live sports and other special events. This business competes for music, sports and other entertainment programming with event venues and other national entertainment networks, some of which offer greater geographic reach and larger audiences. Accordingly, our ability to source a consistent flow of programming is contingent on our ability to develop and sustain relationships with content owners and our ability to continue to expand our network.</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Significant declines in theatre attendance could reduce the attractiveness of cinema advertising</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value of our advertising business could be adversely affected by a long-term multi-year decline in theatre attendance or even the perception by media buyers that our network attendance and geographic coverage were expected to decline significantly over the next several years. Factors that could reduce attendance at our network theatres include the following:</w:t>
      </w:r>
    </w:p>
    <w:p>
      <w:pPr>
        <w:spacing w:after="0" w:line="59" w:lineRule="exact"/>
        <w:rPr>
          <w:sz w:val="20"/>
          <w:szCs w:val="20"/>
          <w:color w:val="auto"/>
        </w:rPr>
      </w:pPr>
    </w:p>
    <w:p>
      <w:pPr>
        <w:ind w:left="900" w:right="8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shortening of the “release window” between the release of major motion pictures in the theatres and release to alternative methods for delivering movies to consumers, such as DVD or HD DVD, cable television, downloads via the Internet, video discs and cassettes, video on demand, satellite and pay-per-view services;</w:t>
      </w:r>
    </w:p>
    <w:p>
      <w:pPr>
        <w:spacing w:after="0" w:line="59"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reduction in consumer confidence or disposable income in general that reduces the demand for motion pictures or adversely affects the motion picture production industry; and</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first-run motion pictures, which depends upon the production and marketing efforts of the major studios and the attractiveness of the movies to patrons.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loss of any major content partner or advertising customer could significantly reduce our revenue</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derive a significant portion of our revenue from our contracts with our content partners, cell phone PSA and NCM LLC’s founding members’ agreements to purchase on-screen advertising for their beverage concessionaires. NCM LLC’s or its predecessor company’s relationships with certain content partners date back as far as December 2002. None of these companies individually accounted for over 10% of our total revenue during the year ended December 30, 2010. However, the agreements with the content partners, cell phone PSA and beverage advertising with the founding members in aggregate accounted for approximately 27% of our total revenue during the year ended December 30, 2010. Because we derive a significant percentage of our total revenue from a relatively small number of large companies, the loss of any one or more of them as a customer could decrease our revenue and adversely affect our current and future operating results.</w:t>
      </w:r>
    </w:p>
    <w:p>
      <w:pPr>
        <w:spacing w:after="0" w:line="228"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We generate a high percentage of our revenue and OIBDA from advertising, and the reduction in spending by or loss of advertisers could have a serious adverse effect on our business</w:t>
      </w:r>
    </w:p>
    <w:p>
      <w:pPr>
        <w:spacing w:after="0" w:line="51"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generated approximately 89% of our total revenue in the year ended December 30, 2010 from advertising sales. A substantial portion of our advertising inventory is covered by contracts with terms as short as one month. Advertisers will not continue to do business with us if they believe our advertising medium is ineffective or overly expensive. In addition, large advertisers generally have set advertising budgets, most of which are focused on traditional media platforms like television. Reductions in the size of advertisers’ budgets due to local or national economic trends or other factors could result in lower spending on cinema advertising in general or our advertising business in particular. If we are unable to remain competitive and provide value to our advertising clients, they may reduce their advertising purchases or stop placing advertisements with us, which would negatively affect our revenue and ability to generate new business from advertising clients.</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If we do not maintain our technological advantage, our business could fail to grow and revenue and operating margins could decline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Failure to successfully or cost-effectively implement upgrades to our software systems to maintain our technological competitiveness could limit our ability to increase our revenue and more effectively leverage our digital platform. Any failure by us to upgrade our technology to remain current with technological changes, including digital cinema, that may be adopted by other advertising platforms could hurt our ability to compete with those companies. Under the terms of the ESAs with NCM LLC’s founding members, the founding members are required to provide technology that is consistent with that in place at the signing of the ESA. We may request that NCM LLC’s founding members upgrade the equipment or software installed in their theatres. We must negotiate with NCM LLC’s founding members as to the terms of such upgrade, including cost sharing terms, if</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any. For instance during 2010 we entered into an amendment to the ESA to allow us to connect our digital network to the founding members new digital cinema projection systems so that we could display our advertising (including 3D) and Fathom events on their systems. As of February 15, 2011 we had approximately 2,800 screens within our digital network that were connected to digital cinema projection equipment and expect substantially all of the founding member screens to be deployed with digital cinema equipment over the next 24 to 36 months. If we are not able to come to an agreement on an upgrade request, we may elect to pay for the upgrades requested which could result in our incurring significant capital expenditures, which could adversely affect our results of operations. In addition, the failure or delay in implementation of such upgrades or problems with the integration of our systems and software with the digital cinema systems, could slow or prevent the growth of our business.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business relies heavily on our technology systems, and any failures or disruptions may materially and adversely affect our operations</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temporary or permanent loss of our computer equipment and software systems, through sabotage, operating malfunction, software virus, human error, natural disaster, power loss, terrorist attacks, or other catastrophic events, could disrupt our operations and cause a material adverse impact. These problems may arise in both internally developed systems and the systems of third-party service providers. If our technology systems were to fail and we were unable to recover in a timely way, we would be unable to fulfill critical business functions, which could lead to a loss of customers and could harm our reputation. Technological breakdown could also interfere with our ability to comply with financial reporting and other regulatory requirements.</w:t>
      </w:r>
    </w:p>
    <w:p>
      <w:pPr>
        <w:spacing w:after="0" w:line="197" w:lineRule="exact"/>
        <w:rPr>
          <w:sz w:val="20"/>
          <w:szCs w:val="20"/>
          <w:color w:val="auto"/>
        </w:rPr>
      </w:pPr>
    </w:p>
    <w:p>
      <w:pPr>
        <w:ind w:left="240" w:right="400"/>
        <w:spacing w:after="0" w:line="268" w:lineRule="auto"/>
        <w:rPr>
          <w:sz w:val="20"/>
          <w:szCs w:val="20"/>
          <w:color w:val="auto"/>
        </w:rPr>
      </w:pPr>
      <w:r>
        <w:rPr>
          <w:rFonts w:ascii="Arial" w:cs="Arial" w:eastAsia="Arial" w:hAnsi="Arial"/>
          <w:sz w:val="18"/>
          <w:szCs w:val="18"/>
          <w:b w:val="1"/>
          <w:bCs w:val="1"/>
          <w:i w:val="1"/>
          <w:iCs w:val="1"/>
          <w:color w:val="auto"/>
        </w:rPr>
        <w:t>Our business and operations are experiencing rapid growth, and we may be unable to effectively manage or continue our growth of our network and advertising inventory</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experienced, and may continue to experience, rapid growth in our headcount and operations, which has placed, and could continue to place, significant demands on our management and operational infrastructure. If we do not effectively manage our growth, the quality of our services could suffer which could negatively affect our brand and our relationships with our current advertising clients. Additionally, we may not be able to continue to expand our network and our advertising inventory which could negatively affect our ability to add new advertising clients and providers of content for our Fathom business. To effectively manage this growth and continue to expand our network and inventory, we will need to continue to improve our digital content system distribution software and our internal management systems, including our advertising inventory optimization, management and reporting systems. These enhancements and improvements will require allocation of financial and management resources. If the improvements are not implemented successfully in a timely manner or at all, our ability to manage our limited advertising inventory and continue our growth in the future will be impaired and we may have to make significant additional expenditures to address these issues.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plans for developing additional revenue opportunities may not be implemented, may require substantial expenditures and may not be achieved</w:t>
      </w:r>
    </w:p>
    <w:p>
      <w:pPr>
        <w:spacing w:after="0" w:line="12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addition to our strategy to grow our advertising and Fathom Events divisions, we are also considering other potential opportunities for revenue growth, which we describe in “Business—Our Strategy—Expand our Internet/Mobile Platform”. The development of our internet and mobile advertising business is at an early stage, and may not deliver the benefits we have projected. In addition, we also have a minority interest in a company called RMG that operates out-of-home targeted advertising networks. Should these networks not continue to grow in importance to advertising clients and agencies, they may not provide a future growth engine for NCM as our cinema advertising business matures.</w:t>
      </w:r>
    </w:p>
    <w:p>
      <w:pPr>
        <w:spacing w:after="0" w:line="197" w:lineRule="exact"/>
        <w:rPr>
          <w:sz w:val="20"/>
          <w:szCs w:val="20"/>
          <w:color w:val="auto"/>
        </w:rPr>
      </w:pPr>
    </w:p>
    <w:p>
      <w:pPr>
        <w:ind w:left="240" w:right="400"/>
        <w:spacing w:after="0" w:line="332" w:lineRule="auto"/>
        <w:rPr>
          <w:sz w:val="20"/>
          <w:szCs w:val="20"/>
          <w:color w:val="auto"/>
        </w:rPr>
      </w:pPr>
      <w:r>
        <w:rPr>
          <w:rFonts w:ascii="Arial" w:cs="Arial" w:eastAsia="Arial" w:hAnsi="Arial"/>
          <w:sz w:val="16"/>
          <w:szCs w:val="16"/>
          <w:b w:val="1"/>
          <w:bCs w:val="1"/>
          <w:i w:val="1"/>
          <w:iCs w:val="1"/>
          <w:color w:val="auto"/>
        </w:rPr>
        <w:t>Because of acquisitions by our founding members and changing contractual arrangements between us and our founding members and other theatre circuits, it is difficult to compare our business performance across financial periods and evaluate our prospects</w:t>
      </w:r>
    </w:p>
    <w:p>
      <w:pPr>
        <w:spacing w:after="0" w:line="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NCM LLC’s predecessor company, RCM, began operations in February 2002. NCM LLC was formed on March 29, 2005, as a joint venture that combined the operations of subsidiaries of AMC and Regal. Cinemark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joined as a founding member on July 15, 2005. Since 2006 through 2010, our founding members have made several acquisitions including Century, Loews, Consolidated Theatres and Kerasotes. We completed our IPO in February 2007 and entered into various restructuring transactions with our founding members at that time, including amending our ESAs. We have entered into new network affiliate agreements with Cobb Theatres, Galaxy Theatres, LLC, Storyteller Theatres Corporation, Starplex Cinemas, ShowBiz Cinemas, Picture Show Theatres, Metropolitan Theatres Corporation, LA Live Theatre, Great Escape Theatres, RC Theatres, and Rave Cinemas, LLC and may enter into more in the future. As a result, the size of our theatre network changes frequently, which may make it difficult to compare our financial performance across corresponding periods and evaluate our business. We also may encounter risks and difficulties frequently experienced by companies in rapidly evolving businesses. If we are unsuccessful in executing our business strategy, we may be unable to:</w:t>
      </w:r>
    </w:p>
    <w:p>
      <w:pPr>
        <w:spacing w:after="0" w:line="37"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our revenue and expand our client base;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integrate into our network theatres and screens that are newly built or acquired by our founding members or network affiliates on a timely basis: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operate, support, expand, develop and improve our software and other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produce high operating income margins;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respond to technological changes.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depend upon our senior management and our business may be adversely affected if we cannot retain them</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success depends upon the retention of our experienced senior management with specialized industry and technical knowledge and/or industry relationships. We might not be able to find qualified replacements for our senior management if their services were no longer available to us; accordingly, the loss of critical members of our senior management team could have a material adverse effect on our ability to effectively pursue our business strategy and our relationships with advertisers and content partners. We do not have key-man life insurance covering any of our employees.</w:t>
      </w:r>
    </w:p>
    <w:p>
      <w:pPr>
        <w:spacing w:after="0" w:line="194" w:lineRule="exact"/>
        <w:rPr>
          <w:sz w:val="20"/>
          <w:szCs w:val="20"/>
          <w:color w:val="auto"/>
        </w:rPr>
      </w:pPr>
    </w:p>
    <w:p>
      <w:pPr>
        <w:ind w:left="240" w:right="20"/>
        <w:spacing w:after="0" w:line="268" w:lineRule="auto"/>
        <w:rPr>
          <w:sz w:val="20"/>
          <w:szCs w:val="20"/>
          <w:color w:val="auto"/>
        </w:rPr>
      </w:pPr>
      <w:r>
        <w:rPr>
          <w:rFonts w:ascii="Arial" w:cs="Arial" w:eastAsia="Arial" w:hAnsi="Arial"/>
          <w:sz w:val="18"/>
          <w:szCs w:val="18"/>
          <w:b w:val="1"/>
          <w:bCs w:val="1"/>
          <w:i w:val="1"/>
          <w:iCs w:val="1"/>
          <w:color w:val="auto"/>
        </w:rPr>
        <w:t>Our business, services, or technology may infringe on intellectual property rights owned by others, which may interfere with our ability to provide services or expose us to increased liability or expense</w:t>
      </w:r>
    </w:p>
    <w:p>
      <w:pPr>
        <w:spacing w:after="0" w:line="51"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Patents, copyrights, and other intellectual property rights cover our business and our in-theatre, online, and mobile services, including the websites we operate at </w:t>
      </w:r>
      <w:r>
        <w:rPr>
          <w:rFonts w:ascii="Arial" w:cs="Arial" w:eastAsia="Arial" w:hAnsi="Arial"/>
          <w:sz w:val="16"/>
          <w:szCs w:val="16"/>
          <w:i w:val="1"/>
          <w:iCs w:val="1"/>
          <w:color w:val="auto"/>
        </w:rPr>
        <w:t>ncm.com, movienightout.com</w:t>
      </w:r>
      <w:r>
        <w:rPr>
          <w:rFonts w:ascii="Arial" w:cs="Arial" w:eastAsia="Arial" w:hAnsi="Arial"/>
          <w:sz w:val="16"/>
          <w:szCs w:val="16"/>
          <w:color w:val="auto"/>
        </w:rPr>
        <w:t xml:space="preserve"> and </w:t>
      </w:r>
      <w:r>
        <w:rPr>
          <w:rFonts w:ascii="Arial" w:cs="Arial" w:eastAsia="Arial" w:hAnsi="Arial"/>
          <w:sz w:val="16"/>
          <w:szCs w:val="16"/>
          <w:i w:val="1"/>
          <w:iCs w:val="1"/>
          <w:color w:val="auto"/>
        </w:rPr>
        <w:t>FathomEvents.com</w:t>
      </w:r>
      <w:r>
        <w:rPr>
          <w:rFonts w:ascii="Arial" w:cs="Arial" w:eastAsia="Arial" w:hAnsi="Arial"/>
          <w:sz w:val="16"/>
          <w:szCs w:val="16"/>
          <w:color w:val="auto"/>
        </w:rPr>
        <w:t xml:space="preserve"> and the features, functionality, content, and software we make available through those websites. We rely on our own intellectual property rights as well as intellectual property rights obtained from third parties to conduct our business and provide our in-theatre, online, and mobile services. We may discover that our business or the technology we use to provide our in-theatre, online, or mobile services infringes patent, copyright, or other intellectual property rights owned by others. In addition, our competitors or others may claim rights in patents, copyrights, or other intellectual property rights that will prevent, limit or interfere with our ability to provide our in-theatre, online, or mobile services either in the U.S. or in international markets. Further, the laws of certain foreign countries may not protect our intellectual property rights to the same extent as do the laws of the U.S.</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content we distribute through our in-theatre, online or mobile services may expose us to liability</w:t>
      </w:r>
    </w:p>
    <w:p>
      <w:pPr>
        <w:spacing w:after="0" w:line="90"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Our in-theatre, online, and mobile services facilitate the distribution of content. This content includes advertising-related content, as well as content regarding movies, television and other media, much of which is obtained from third parties. Our websites also include features enabling users to upload or add their own content to the websites and modify certain content on the websites. As a distributor of content, we face potential liability for negligence, copyright, patent or trademark infringement, or other claims based on the content that we distribute. We may not be adequately insured or indemnified to cover claims of these types or liability that may be imposed on us.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personal information we collect and maintain through our online and mobile services may expose us to liability</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order to take advantage of some of the online and mobile services we provide users are required to establish an account on one of our websites. As a result, we will collect and maintain personal information about those users. We also collect and maintain personal information about users who view certain advertising displayed through our online and mobile services. Our collection and use of information regarding users of our online and mobile services could result in legal liability. For example, the failure, or perceived failure, to comply with federal, state or international privacy or consumer protection-related laws or regulations or our posted privacy policies could result in actions against us by governmental entities or others.</w:t>
      </w:r>
    </w:p>
    <w:p>
      <w:pPr>
        <w:spacing w:after="0" w:line="197" w:lineRule="exact"/>
        <w:rPr>
          <w:sz w:val="20"/>
          <w:szCs w:val="20"/>
          <w:color w:val="auto"/>
        </w:rPr>
      </w:pPr>
    </w:p>
    <w:p>
      <w:pPr>
        <w:ind w:left="240" w:right="380"/>
        <w:spacing w:after="0" w:line="268" w:lineRule="auto"/>
        <w:rPr>
          <w:sz w:val="20"/>
          <w:szCs w:val="20"/>
          <w:color w:val="auto"/>
        </w:rPr>
      </w:pPr>
      <w:r>
        <w:rPr>
          <w:rFonts w:ascii="Arial" w:cs="Arial" w:eastAsia="Arial" w:hAnsi="Arial"/>
          <w:sz w:val="18"/>
          <w:szCs w:val="18"/>
          <w:b w:val="1"/>
          <w:bCs w:val="1"/>
          <w:i w:val="1"/>
          <w:iCs w:val="1"/>
          <w:color w:val="auto"/>
        </w:rPr>
        <w:t>Changes in regulations relating to the Internet or other areas of our online or mobile services may result in the need to alter our business practices or incur greater operating expenses</w:t>
      </w:r>
    </w:p>
    <w:p>
      <w:pPr>
        <w:spacing w:after="0" w:line="51"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A number of regulations, including those referenced below, may impact our business as a result of our online or mobile services. The Digital Millennium Copyright Act has provisions that limit, but do not necessarily eliminate, liability for posting, or linking to third-party websites that include, materials that infringe copyrights or other rights. Portions of the Communications Decency Act are intended to provide statutory protections to online service providers who distribute third-party content. The Child Online Protection Act and the Children’s Online Privacy Protection Act restrict the distribution of materials considered harmful to children and impose additional restrictions on the ability of online services to collect information from minors. The costs of compliance with these regulations, and other regulations relating to our online and mobile services or other areas of our business, may be significant. The manner in which these and other regulations may be interpreted or enforced may subject us to potential liability, which in turn could have an adverse effect on our business, results of operations, or financial condition. Changes to these and other regulations may impose additional burdens on us or otherwise adversely affect our business and financial results because of, for example, increased costs relating to legal compliance, defense against adverse claims or damages, or the reduction or elimination of features, functionality or content from our online or mobile services. Likewise, any failure on our part to comply with these and other regulations may subject us to additional liabilities.</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revenue and Adjusted OIBDA fluctuate from quarter to quarter and may be unpredictable, which could increase the volatility of our stock price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Typically, our revenue and Adjusted OIBDA are lowest in the first quarter of the calendar year as advertising clients scale back their advertising budgets following the year-end holiday season, and our revenue is highest during the summer and the holiday season when theatre attendance is normally highest. However, a weak advertising market or the shift in spending of a major client from one quarter to another, the poor performance of films released in a given quarter or a disruption in the release schedule of films could affect results for the entire fiscal year and significantly affect quarter-to-quarter results. Because our results vary widely from quarter to quarter and may be unpredictable, our financial results for one quarter cannot necessarily be compared to another quarter and may not be indicative of our financial performance in subsequent quarters. These variations in our financial results could contribute to volatility in our stock price.</w:t>
      </w:r>
    </w:p>
    <w:p>
      <w:pPr>
        <w:spacing w:after="0" w:line="201"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The ESAs allow the founding members to engage in activities that might compete with certain elements of our business, which could reduce our revenue and growth potential</w:t>
      </w:r>
    </w:p>
    <w:p>
      <w:pPr>
        <w:spacing w:after="0" w:line="51"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ESAs contain certain limited exceptions to our exclusive right to use the founding members’ theatres for our advertising business. The founding members have the right to enter into strategic cross-marketing relationships with third-party, unaffiliated businesses for the purpose of generating increased attendance or revenue (other than revenue from the sale of advertising) and, subject to certain limits, can use one minute on the LEN and certain types of lobby promotions, at no cost, for the purpose of promoting the products or services of those businesses while at the same time promoting the theatre circuit or the movie-going experience. Subject to certain limits, they can also purchase an additional minute of advertising on the LEN for these cross-marketing</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promotions. The use of LEN or lobby promotions by NCM LLC’s founding members for these advertisements and programs could result in the founding members creating relationships with advertisers that could adversely affect our current LEN and lobby promotions advertising revenue and profitability as well as the potential we have to grow that advertising revenue in the future. The LEN and lobby promotions represented 5.3% of our total advertising revenue for the year ended December 30, 2010. The founding members will not have the right to use their movie screens (including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or otherwise) for promoting these cross-marketing relationships, and thus we will have the exclusive rights to advertise on the movie screens, except for limited advertising related to theatre operations.</w:t>
      </w:r>
    </w:p>
    <w:p>
      <w:pPr>
        <w:spacing w:after="0" w:line="144"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founding members also have the right to install a second network of video monitors in the theatre lobbies in excess of those required to be installed by the founding members for the LEN. This additional lobby video network, which we refer to as the founders’ lobby network, is to be used by the founding members to promote products or services related to operating the theatres, such as concessions and loyalty programs. The presence of the founders’ lobby network within the lobby areas could reduce the effectiveness of our LEN, thereby reducing our current LEN advertising revenue and profitability and adversely affecting future revenue potential associated with that marketing platform.</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177" w:lineRule="exact"/>
        <w:rPr>
          <w:sz w:val="20"/>
          <w:szCs w:val="20"/>
          <w:color w:val="auto"/>
        </w:rPr>
      </w:pPr>
    </w:p>
    <w:p>
      <w:pPr>
        <w:ind w:left="240" w:right="60"/>
        <w:spacing w:after="0" w:line="332" w:lineRule="auto"/>
        <w:rPr>
          <w:sz w:val="20"/>
          <w:szCs w:val="20"/>
          <w:color w:val="auto"/>
        </w:rPr>
      </w:pPr>
      <w:r>
        <w:rPr>
          <w:rFonts w:ascii="Arial" w:cs="Arial" w:eastAsia="Arial" w:hAnsi="Arial"/>
          <w:sz w:val="16"/>
          <w:szCs w:val="16"/>
          <w:b w:val="1"/>
          <w:bCs w:val="1"/>
          <w:i w:val="1"/>
          <w:iCs w:val="1"/>
          <w:color w:val="auto"/>
        </w:rPr>
        <w:t>We are a holding company with no operations of our own, and we depend on distributions and payments under the NCM LLC operating and management services agreements from NCM LLC to meet our ongoing obligations and to pay cash dividends on our common stock</w:t>
      </w:r>
    </w:p>
    <w:p>
      <w:pPr>
        <w:spacing w:after="0" w:line="4"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are a holding company with no operations of our own and have no independent ability to generate revenue. Consequently, our ability to obtain operating funds depends upon distributions from NCM LLC. The distribution of cash flows and other transfers of funds by NCM LLC to us are subject to statutory and contractual restrictions based upon NCM LLC’s financial performance, including NCM LLC’s compliance with the covenants in its senior secured credit facility and the NCM LLC operating agreement. The NCM LLC senior secured credit facility limits NCM LLC’s ability to distribute cash to its members, including us, based upon certain leverage tests, with exceptions for, among other things, payment of our income taxes and a management fee to NCM, Inc. pursuant to the terms of the management services agreement. We will be unable to pay dividends to our stockholders or pay other expenses outside the ordinary course of business if NCM LLC fails to comply with these covenants and is unable to distribute cash to us.</w:t>
      </w:r>
    </w:p>
    <w:p>
      <w:pPr>
        <w:spacing w:after="0" w:line="118"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Pursuant to the management services agreement between us and NCM LLC, NCM LLC makes payments to us to fund our day-to-day operating expenses, such as payroll. However, if NCM LLC cannot make the payments pursuant to the management services agreement, we may be unable to cover these expenses.</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a member of NCM LLC, we incur income taxes on our proportionate share of any net taxable income of NCM LLC. We have structured the NCM LLC senior secured credit facility to allow NCM LLC to distribute cash to its members (including us and the founding members) in amounts sufficient to cover their tax liabilities and management fees, if any. To the extent we need funds to pay such taxes or for any other purpose, and NCM LLC is unable to provide such funds because of limitations in the NCM LLC senior secured credit facility or other restrictions, it could have a material adverse effect on our business, financial condition, results of operations or prospects.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NCM LLC’s substantial debt obligations could impair our financial condition or prevent us from achieving our business goals</w:t>
      </w:r>
    </w:p>
    <w:p>
      <w:pPr>
        <w:spacing w:after="0" w:line="9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NCM LLC is party to a $725.0 million term loan that is part of a senior secured credit facility. The agreements governing NCM LLC’s debt obligations contain restrictive covenants that limit NCM LLC’s ability to take specified actions and prescribe minimum financial maintenance requirements that NCM LLC must meet.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Because NCM LLC is our only operating subsidiary, complying with these restrictions may prevent NCM LLC from taking actions that we believe would help us to grow our business. For example, NCM LLC may be unable to make acquisitions, investments or capital expenditures as a result of such covenants. Moreover, if NCM LLC violates those restrictive covenants or fails to meet the minimum financial requirements, it would be in default, which could, in turn, result in defaults under other obligations of NCM LLC or us. Any such defaults could materially impair our financial condition and liquidity.</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senior secured credit facility also includes an $80 million revolving credit facility of which $14.0 million related to the revolving credit commitments of Lehman Brothers Holdings Inc. (“Lehman”) was effectively converted to a term loan and the aggregate revolving credit commitments were reduced to $66.0 million. As of December 30, 2010, the amount outstanding under the revolving credit facility was $50.0 million. The amount outstanding under the revolving credit facility fluctuates based on our working capital needs.</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NCM LLC is unable to meet its debt service obligations, it or we could be forced to restructure or refinance the obligations, seek additional equity financing or sell assets. We may be unable to restructure or refinance these obligations, obtain additional equity financing or sell assets on satisfactory terms or at all. In addition, NCM LLC’s indebtedness could have other negative consequences for us, including without limitation:</w:t>
      </w:r>
    </w:p>
    <w:p>
      <w:pPr>
        <w:spacing w:after="0" w:line="26"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NCM LLC’s ability to obtain financing in the future;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requiring much of NCM LLC’s cash flow to be dedicated to interest obligations and making it unavailable for other purposes;</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NCM LLC’s liquidity and operational flexibility in changing economic, business and competitive conditions which could require NCM LLC to consider deferring planned capital expenditures, reducing discretionary spending, selling assets, restructuring existing debt or deferring acquisitions or other strategic opportunities; and</w:t>
      </w:r>
    </w:p>
    <w:p>
      <w:pPr>
        <w:spacing w:after="0" w:line="59"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making NCM LLC more vulnerable to an increase in interest rates, a downturn in our operating performance or a decline in general economic conditions.</w:t>
      </w:r>
    </w:p>
    <w:p>
      <w:pPr>
        <w:spacing w:after="0" w:line="13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NCM LLC, Lehman Brothers Holdings Inc. (“Lehman”) and Barclays Bank PLC (“Barclays”) entered into an agreement in March 2010 whereby Lehman resigned its agency function and restructured its outstanding $14.0 million revolving credit loan. NCM LLC and the remaining revolving credit lenders consented to the appointment of Barclays as successor administrative agent and swing line lender under the credit agreement. Additionally, the revolving credit commitments of Lehman were reduced to zero and the aggregate revolving credit commitments were reduced to $66.0 million. The $14.0 million outstanding principal of the revolving credit loans held by Lehman will not be repaid in connection with any future prepayments of revolving credit loans, but rather Lehman’s share of the revolving credit facility will be paid in full by NCM LLC, along with any accrued and unpaid fees and interest, on the revolving credit termination date, February 13, 2013.</w:t>
      </w:r>
    </w:p>
    <w:p>
      <w:pPr>
        <w:spacing w:after="0" w:line="228"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NCM LLC’s founding members or their affiliates may have interests that differ from those of our public stockholders and they may be able to influence our affairs</w:t>
      </w:r>
    </w:p>
    <w:p>
      <w:pPr>
        <w:spacing w:after="0" w:line="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So long as a founding member beneficially owns at least 5% of NCM LLC’s issued and outstanding common membership units, approval of at least 90% of the directors then in office (provided that if the board has less than ten directors, then the approval of at least 80% of the directors then in office) will be required before we may take any of the following actions or we, in our capacity as manager of NCM LLC, may authorize NCM LLC to take any of the following actions:</w:t>
      </w:r>
    </w:p>
    <w:p>
      <w:pPr>
        <w:spacing w:after="0" w:line="62"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assign, transfer, sell or pledge all or a portion of the membership units of NCM LLC beneficially owned by NCM, Inc.;</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dispose, lease or license assets with an aggregate value exceeding 20% of the fair market value of the business of NCM LLC operating as a going concern;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merge, reorganize, recapitalize, reclassify, consolidate, dissolve, liquidate or enter into a similar transaction;</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incur any funded indebtedness or repay, before due, any funded indebtedness with a fixed term in an aggregate amount in excess of $15 million per year;</w:t>
      </w:r>
    </w:p>
    <w:p>
      <w:pPr>
        <w:spacing w:after="0" w:line="5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 grant or sell shares of NCM, Inc. common stock, preferred stock or rights with respect to common or preferred stock, or NCM LLC membership units or rights with respect to membership units, except under specified circumstances;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amend, modify, restate or repeal any provision of NCM, Inc.’s certificate of incorporation or bylaws or the NCM LLC operating agreement;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enter into, modify or terminate certain material contracts not in the ordinary course of business as defined under applicable securities laws;</w:t>
      </w:r>
    </w:p>
    <w:p>
      <w:pPr>
        <w:spacing w:after="0" w:line="113" w:lineRule="exact"/>
        <w:rPr>
          <w:rFonts w:ascii="Arial" w:cs="Arial" w:eastAsia="Arial" w:hAnsi="Arial"/>
          <w:sz w:val="16"/>
          <w:szCs w:val="16"/>
          <w:color w:val="auto"/>
        </w:rPr>
      </w:pPr>
    </w:p>
    <w:p>
      <w:pPr>
        <w:ind w:left="900" w:right="5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except as specifically set forth in the NCM LLC operating agreement, declare, set aside or pay any redemption of, or dividends with respect to membership interests;</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amend any material terms or provisions (as defined in the Nasdaq rules) of NCM, Inc.’s equity incentive plan or enter into any new equity incentive compensation plan;</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make any change in the current business purpose of NCM, Inc. to serve solely as the manager of NCM LLC or any change in the current business purpose of NCM LLC to provide the services as set forth in the ESAs;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approve any actions relating to NCM LLC that could reasonably be expected to have a material adverse tax effect on the founding members.</w:t>
      </w:r>
    </w:p>
    <w:p>
      <w:pPr>
        <w:spacing w:after="0" w:line="19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Pursuant to a director designation agreement, so long as a founding member owns at least 5% of NCM LLC’s issued and outstanding common membership units, such founding member will have the right to designate a total of two nominees to our ten-member board of directors who will be voted upon by our stockholders. One such designee by each founding member must meet the independence requirements of the stock exchange on which our common stock is listed. If, at any time, any founding member owns less than 5% of NCM LLC’s then issued and outstanding common membership units, then such founding member shall cease to have any rights of designation.</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If any director designee to our board designated by NCM LLC’s founding members is not appointed to our board, nominated by us or elected by our stockholders, as applicable, then each of the founding members (so long as such founding member continues to own 5% of NCM LLC’s issued and outstanding common membership units) will be entitled to approve specified actions of NCM LLC.</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purposes of calculating the 5% ownership threshold for the supermajority director approval rights and director designation agreement provisions discussed above, shares of our common stock held by a founding member and received upon redemption of NCM LLC common membership units will be counted toward the threshold. Common membership units issued to NCM, Inc. in connection with the redemption of common membership units by a founding member will be excluded, so long as such founding member continues to hold the common stock acquired through such redemption or such founding member has disposed of such shares of common stock to another founding member. Shares of our common stock otherwise acquired by the founding members will also be excluded, unless such shares of common stock were transferred by one founding member to another and were originally received by the transferring founding member upon redemption of NCM LLC common membership units.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Under these circumstances, our corporate governance documents will allow NCM LLC’s founding members and their affiliates to exercise a greater degree of influence in the operation of our business and that of NCM LLC and the management of our affairs and those of NCM LLC than is typically available to stockholders of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publicly-traded company. Even if NCM LLC’s founding members or their affiliates own a minority economic interest (but not less than 5%) in NCM LLC, they may be able to continue exerting such degree of influence over us and NCM LLC.</w:t>
      </w:r>
    </w:p>
    <w:p>
      <w:pPr>
        <w:spacing w:after="0" w:line="213" w:lineRule="exact"/>
        <w:rPr>
          <w:sz w:val="20"/>
          <w:szCs w:val="20"/>
          <w:color w:val="auto"/>
        </w:rPr>
      </w:pPr>
    </w:p>
    <w:p>
      <w:pPr>
        <w:ind w:left="240" w:right="620"/>
        <w:spacing w:after="0" w:line="268" w:lineRule="auto"/>
        <w:rPr>
          <w:sz w:val="20"/>
          <w:szCs w:val="20"/>
          <w:color w:val="auto"/>
        </w:rPr>
      </w:pPr>
      <w:r>
        <w:rPr>
          <w:rFonts w:ascii="Arial" w:cs="Arial" w:eastAsia="Arial" w:hAnsi="Arial"/>
          <w:sz w:val="18"/>
          <w:szCs w:val="18"/>
          <w:b w:val="1"/>
          <w:bCs w:val="1"/>
          <w:i w:val="1"/>
          <w:iCs w:val="1"/>
          <w:color w:val="auto"/>
        </w:rPr>
        <w:t>Different interests among NCM LLC’s founding members or between NCM LLC’s founding members and us could prevent us from achieving our business goals</w:t>
      </w:r>
    </w:p>
    <w:p>
      <w:pPr>
        <w:spacing w:after="0" w:line="51"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For the foreseeable future, we expect that our board of directors will include directors and executive officers of NCM LLC’s founding members and other directors who may have commercial or other relationships with NCM LLC’s founding members. NCM LLC’s founding members compete with each other in the operation of their respective businesses and could have individual business interests that may conflict with those of the other founding members. Their differing interests could make it difficult for us to pursue strategic initiatives that require consensus among NCM LLC’s founding members.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addition, the structural relationship we have with NCM LLC’s founding members could create conflicts of interest among the founding members, or between the founding members and us, in a number of areas relating to our past and ongoing relationships. There is not any formal dispute resolution procedure in place to resolve conflicts between us and a founding member or between founding members. We may not be able to resolve any potential conflicts between us and a founding member and, even if we do, the resolution may be less favorable to us than if we were negotiating with an unaffiliated party.</w:t>
      </w:r>
    </w:p>
    <w:p>
      <w:pPr>
        <w:spacing w:after="0" w:line="194" w:lineRule="exact"/>
        <w:rPr>
          <w:sz w:val="20"/>
          <w:szCs w:val="20"/>
          <w:color w:val="auto"/>
        </w:rPr>
      </w:pPr>
    </w:p>
    <w:p>
      <w:pPr>
        <w:ind w:left="240" w:right="200"/>
        <w:spacing w:after="0" w:line="268" w:lineRule="auto"/>
        <w:rPr>
          <w:sz w:val="20"/>
          <w:szCs w:val="20"/>
          <w:color w:val="auto"/>
        </w:rPr>
      </w:pPr>
      <w:r>
        <w:rPr>
          <w:rFonts w:ascii="Arial" w:cs="Arial" w:eastAsia="Arial" w:hAnsi="Arial"/>
          <w:sz w:val="18"/>
          <w:szCs w:val="18"/>
          <w:b w:val="1"/>
          <w:bCs w:val="1"/>
          <w:i w:val="1"/>
          <w:iCs w:val="1"/>
          <w:color w:val="auto"/>
        </w:rPr>
        <w:t>The corporate opportunity provisions in our certificate of incorporation could enable the founding members to benefit from corporate opportunities that might otherwise be available to us</w:t>
      </w:r>
    </w:p>
    <w:p>
      <w:pPr>
        <w:spacing w:after="0" w:line="51"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certificate of incorporation contains provisions related to corporate opportunities that may be of interest to both NCM LLC’s founding members and us. It provides that if a corporate opportunity is offered to us, NCM LLC or one or more of the officers, directors or stockholders (both direct and indirect) of NCM, Inc. or a member of NCM LLC that relates to the provision of services to motion picture theatres, use of theatres for any purpose, sale of advertising and promotional services in and around theatres and any other business related to the motion picture theatre business (except services as provided in the ESAs as from time to time amended and except as may be offered to one of our officers in his capacity as an officer), no such person shall be liable to us or any of our stockholders (or any affiliate thereof) for breach of any fiduciary or other duty by reason of the fact that such person pursues or acquires such business opportunity, directs such business opportunity to another person or fails to present such business opportunity, or information regarding such business opportunity, to us. This provision applies even if the business opportunity is one that we might reasonably be deemed to have pursued or had the ability or desire to pursue if granted the opportunity to do so.</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our certificate of incorporation and the NCM LLC operating agreement expressly provide that NCM LLC’s founding members may have other business interests and may engage in any other businesses not specifically prohibited by the terms of the certificate of incorporation, including the exclusivity provisions of the ESAs. The parent companies of the founding members are not bound by the ESAs and therefore could develop new media platforms that could compete for advertising dollars with our services. Further, we may also compete with the founding members or their affiliates in the area of employee recruiting and retention. These potential conflicts of interest could have a material adverse effect on our business, financial condition, results of operations or prospects if attractive corporate opportunities are allocated by the founding members to themselves or their other affiliates or we lose key personnel to them.</w:t>
      </w:r>
    </w:p>
    <w:p>
      <w:pPr>
        <w:spacing w:after="0" w:line="201"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The agreements between us and NCM LLC’s founding members were made in the context of an affiliated relationship and may contain different terms than comparable agreements with unaffiliated third parties</w:t>
      </w:r>
    </w:p>
    <w:p>
      <w:pPr>
        <w:spacing w:after="0" w:line="51"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ESAs and the other contractual agreements that we have with NCM LLC’s founding members were negotiated in the context of an affiliated relationship in which representatives of NCM LLC’s founding members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and their affiliates comprised our entire board of directors. As a result, the financial provisions and the other terms of these agreements, such as covenants, contractual obligations on our part and on the part of NCM LLC’s founding members, and termination and default provisions may be less favorable to us than terms that we might have obtained in negotiations with unaffiliated third parties in similar circumstances.</w:t>
      </w:r>
    </w:p>
    <w:p>
      <w:pPr>
        <w:spacing w:after="0" w:line="188"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Our certificate of incorporation and bylaws contain anti-takeover protections that may discourage or prevent strategic transactions, including a takeover of our company, even if such a transaction would be beneficial to our stockholders</w:t>
      </w:r>
    </w:p>
    <w:p>
      <w:pPr>
        <w:spacing w:after="0" w:line="5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Provisions contained in our certificate of incorporation and bylaws, the NCM LLC operating agreement, provisions of the Delaware General Corporation Law (“DGCL”), could delay or prevent a third party from entering into a strategic transaction with us, even if such a transaction would benefit our stockholders. For example, our certificate of incorporation and bylaws:</w:t>
      </w:r>
    </w:p>
    <w:p>
      <w:pPr>
        <w:spacing w:after="0" w:line="59"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supermajority approval requirements by our directors before our board may take certain actions;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increase the number of outstanding shares, making a takeover more difficult and expensive;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a classified board of directors;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allow removal of directors only for cause;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90" w:lineRule="exact"/>
        <w:rPr>
          <w:rFonts w:ascii="Arial" w:cs="Arial" w:eastAsia="Arial" w:hAnsi="Arial"/>
          <w:sz w:val="18"/>
          <w:szCs w:val="18"/>
          <w:color w:val="auto"/>
        </w:rPr>
      </w:pPr>
    </w:p>
    <w:p>
      <w:pPr>
        <w:ind w:left="900" w:right="46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otherwise allow less than a majority of stockholders to elect director candidates; and</w:t>
      </w:r>
    </w:p>
    <w:p>
      <w:pPr>
        <w:spacing w:after="0" w:line="50" w:lineRule="exact"/>
        <w:rPr>
          <w:rFonts w:ascii="Arial" w:cs="Arial" w:eastAsia="Arial" w:hAnsi="Arial"/>
          <w:sz w:val="18"/>
          <w:szCs w:val="18"/>
          <w:color w:val="auto"/>
        </w:rPr>
      </w:pPr>
    </w:p>
    <w:p>
      <w:pPr>
        <w:ind w:left="900" w:right="220" w:hanging="325"/>
        <w:spacing w:after="0" w:line="332"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provide that the founding members will be able to exercise a greater degree of influence over the operations of NCM LLC, which may discourage other nominations to our board of directors, if any director nominee designated by the founding members is not elected by our stockholders.</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restrictions could keep us from pursuing relationships with strategic partners and from raising additional capital, which could impede our ability to expand our business and strengthen our competitive position. These restrictions could also limit stockholder value by impeding a sale of us or NCM LLC.</w:t>
      </w:r>
    </w:p>
    <w:p>
      <w:pPr>
        <w:spacing w:after="0" w:line="166"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b w:val="1"/>
          <w:bCs w:val="1"/>
          <w:i w:val="1"/>
          <w:iCs w:val="1"/>
          <w:color w:val="auto"/>
        </w:rPr>
        <w:t>Any future issuance of membership units by NCM LLC and subsequent redemption of such units for common stock could dilute the voting power of our existing common stockholders and adversely affect the market value of our common stock</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Common Unit Adjustment Agreement and the ESAs provide that we will issue common membership units of NCM LLC to account for changes in the number of theatre screens NCM LLC’s founding members operate. Historically, each of the founding members has increased the number of screens it operates. If this trend continues, NCM LLC may issue additional common membership units to the founding members to reflect their increase in net screen count. Each common membership unit may be redeemed in exchange for, at our option, shares of our common stock on a one-for-one basis or a cash payment equal to the market price of one share of our common stock. If a significant number of common membership units were issued to NCM LLC’s founding members, the founding members elected to redeem such units, and we elected to issue common stock rather than cash upon redemption, the voting power of our common stockholders could be diluted. Other than the maximum number of authorized shares of common stock in our certificate of incorporation, there is no limit on the number of shares of our common stock that we may issue upon redemption of a founding member’s common membership units in NCM LLC.</w:t>
      </w:r>
    </w:p>
    <w:p>
      <w:pPr>
        <w:spacing w:after="0" w:line="118"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During the third quarter of 2010, in connection with a public offering of NCM, Inc. common stock by AMC and Regal, AMC and Regal exercised the redemption right of an aggregate 10,955,471 common membership</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units, whereby AMC and Regal surrendered 6,655,193 and 4,300,278 common membership units to NCM LLC for cancellation, respectively. NCM, Inc. contributed an aggregate 10,955,471 shares of its common stock to NCM LLC in exchange for a like number of newly issued common membership units. NCM LLC then distributed the shares of common stock to AMC and Regal to complete the redemptions. Such redemptions took place immediately prior to the closing of the underwritten public offering and the subsequent closing of the overallotment option; in each case the NCM, Inc. common stock was sold at a price to the public of $16.00 per share by AMC and Regal. NCM, Inc. did not receive any proceeds from the sale of its common stock by AMC and Regal.</w:t>
      </w:r>
    </w:p>
    <w:p>
      <w:pPr>
        <w:spacing w:after="0" w:line="197"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Our future issuance of preferred stock could dilute the voting power of our common stockholders and adversely affect the market value of our common stock</w:t>
      </w:r>
    </w:p>
    <w:p>
      <w:pPr>
        <w:spacing w:after="0" w:line="5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future issuance of shares of preferred stock with voting rights may adversely affect the voting power of the holders of our other classes of voting stock, either by diluting the voting power of our other classes of voting stock if they vote together as a single class, or by giving the holders of any such preferred stock the right to block an action on which they have a separate class vote even if the action were approved by the holders of our other classes of voting stock.</w:t>
      </w:r>
    </w:p>
    <w:p>
      <w:pPr>
        <w:spacing w:after="0" w:line="10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future issuance of shares of preferred stock with dividend or conversion rights, liquidation preferences or other economic terms favorable to the holders of preferred stock could adversely affect the market price for our common stock by making an investment in the common stock less attractive. For example, investors in the common stock may not wish to purchase common stock at a price above the conversion price of a series of convertible preferred stock because the holders of the preferred stock would effectively be entitled to purchase common stock at the lower conversion price causing economic dilution to the holders of common stock.</w:t>
      </w:r>
    </w:p>
    <w:p>
      <w:pPr>
        <w:spacing w:after="0" w:line="224"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If we or NCM LLC’s founding members are determined to be an investment company, we would become subject to burdensome regulatory requirements and our business activities could be restricted</w:t>
      </w:r>
    </w:p>
    <w:p>
      <w:pPr>
        <w:spacing w:after="0" w:line="51"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We do not believe that we are an “investment company” under the Investment Company Act of 1940, as amended. As sole manager of NCM LLC, we control NCM LLC, and our interest in NCM LLC is not an “investment security” as that term is used in the Investment Company Act. If we were to stop participating in the management of NCM LLC, our interest in NCM LLC could be deemed an “investment security” for purposes of the Investment Company Act. Generally, a company is an “investment company” if it owns investment securities having a value exceeding 40% of the value of its total assets (excluding U.S. government securities and cash items). Our sole material asset is our equity interest in NCM LLC. A determination that such asset was an investment security could result in our being considered an investment company under the Investment Company Act. As a result, we would become subject to registration and other burdensome requirements of the Investment Company Act. In addition, the requirements of the Investment Company Act could restrict our business activities, including our ability to issue securities.</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and NCM LLC intend to conduct our operations so that we are not deemed an investment company under the Investment Company Act. However, if anything were to occur that would cause us to be deemed an investment company, we would become subject to restrictions imposed by the Investment Company Act. These restrictions, including limitations on our capital structure and our ability to enter into transactions with our affiliates, could make it impractical for us to continue our business as currently conducted and could have a material adverse effect on our financial performance and operations.</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also rely on representations of NCM LLC’s founding members that they are not investment companies under the Investment Company Act. If any founding member were deemed an investment company, the restrictions placed upon that founding member might inhibit its ability to fulfill its obligations under its ESA or restrict NCM LLC’s ability to borrow funds.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300"/>
        <w:spacing w:after="0" w:line="268" w:lineRule="auto"/>
        <w:rPr>
          <w:sz w:val="20"/>
          <w:szCs w:val="20"/>
          <w:color w:val="auto"/>
        </w:rPr>
      </w:pPr>
      <w:r>
        <w:rPr>
          <w:rFonts w:ascii="Arial" w:cs="Arial" w:eastAsia="Arial" w:hAnsi="Arial"/>
          <w:sz w:val="18"/>
          <w:szCs w:val="18"/>
          <w:b w:val="1"/>
          <w:bCs w:val="1"/>
          <w:i w:val="1"/>
          <w:iCs w:val="1"/>
          <w:color w:val="auto"/>
        </w:rPr>
        <w:t>Our tax receivable agreement with the founding members is expected to reduce the amount of overall cash flow that would otherwise be available to us and will increase our potential exposure to the financial condition of the founding members</w:t>
      </w:r>
    </w:p>
    <w:p>
      <w:pPr>
        <w:spacing w:after="0" w:line="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initial public offering and related transactions have the effect of reducing the amounts NCM, Inc. would otherwise pay in the future to various tax authorities as a result of an increase in its proportionate share of tax basis in NCM LLC’s tangible and intangible assets. We have agreed in our tax receivable agreement with the founding members to pay to the founding members 90% of the amount by which NCM, Inc.’s tax payments to various tax authorities are reduced as a result of the increase in tax basis. Pursuant to the terms of the tax receivable agreement, we made payments of $14.0 million and $16.0 million to the founding members for our 2009 and 2008 taxable years, respectively and we estimate that in 2011 an additional $20.0 million and $1.6 million will be payable with respect to the 2010 and 2009 taxable years, respectively. After paying these reduced amounts to tax authorities, if it is determined as a result of an income tax audit or examination that any amount of NCM, Inc.’s claimed tax benefits should not have been available, NCM, Inc. may be required to pay additional taxes and possibly penalties and interest to one or more tax authorities. If this were to occur, and if one or more of the founding members was insolvent or bankrupt or otherwise unable to make payment under its indemnification obligation under the tax receivable agreement, then NCM, Inc.’s financial condition could be materially impaired.</w:t>
      </w:r>
    </w:p>
    <w:p>
      <w:pPr>
        <w:spacing w:after="0" w:line="204"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The substantial number of shares that are eligible for sale could cause the market price for our common stock to decline or make it difficult for us to sell equity securities in the future</w:t>
      </w:r>
    </w:p>
    <w:p>
      <w:pPr>
        <w:spacing w:after="0" w:line="51" w:lineRule="exact"/>
        <w:rPr>
          <w:sz w:val="20"/>
          <w:szCs w:val="20"/>
          <w:color w:val="auto"/>
        </w:rPr>
      </w:pPr>
    </w:p>
    <w:p>
      <w:pPr>
        <w:jc w:val="both"/>
        <w:ind w:right="340" w:firstLine="456"/>
        <w:spacing w:after="0" w:line="298" w:lineRule="auto"/>
        <w:rPr>
          <w:sz w:val="20"/>
          <w:szCs w:val="20"/>
          <w:color w:val="auto"/>
        </w:rPr>
      </w:pPr>
      <w:r>
        <w:rPr>
          <w:rFonts w:ascii="Arial" w:cs="Arial" w:eastAsia="Arial" w:hAnsi="Arial"/>
          <w:sz w:val="16"/>
          <w:szCs w:val="16"/>
          <w:color w:val="auto"/>
        </w:rPr>
        <w:t>We cannot predict the effect, if any, that market sales of shares of common stock or the availability of shares of common stock for sale will have on the market price of our common stock from time to time. Sales of substantial amounts of shares of our common stock in the public market, or the perception that those sales will occur, could cause the market price of our common stock to decline or make future offerings of our equity securities more difficult. If we are unable to sell equity securities at times and prices that we deem appropriate, we may be unable to fund growth.</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53,549,477 shares of common stock outstanding at December 30, 2010 are freely tradable, except for 223,433 shares held by our affiliates. In addition, the founding members may receive up to 57,202,715 shares of common stock, which initially will be unregistered, upon redemption of their outstanding common membership units of NCM LLC. These shares of common stock will constitute “restricted securities” under the Securities Act. Provided the holders comply with the holding periods and other conditions prescribed in Rule 144 under the Securities Act, all but 223,433 of these unregistered shares of common stock cease to be restricted securities and become freely tradable.</w:t>
      </w:r>
    </w:p>
    <w:p>
      <w:pPr>
        <w:spacing w:after="0" w:line="143"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Additionally, 915,584 shares of non-vested restricted stock are outstanding and 3,876,224 shares of our common stock will be issuable upon exercise of stock options that vest through 2013. As of December 30, 2010, 1,030,120 stock options have vested and are exercisable. Once the options and restricted stock become vested and/or exercisable, as applicable, to the extent they are not held by one of our affiliates, the shares acquired upon vesting or exercise are freely tradable.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Our stock price may be volatile</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Before our initial public offering in February 2007, there was no public market for our common stock, and an active trading market for our common stock may not continue. The stock market in general has experienced extreme price and volume fluctuations over the last several months as investment companies have been forced to sell to pay-off debt. These broad market fluctuations or actions of individual holders of our stock may adversely affect the market price of our common stock, regardless of our actual operating performance. Our stock price may fluctuate or decline due to a variety of factors, including:</w:t>
      </w:r>
    </w:p>
    <w:p>
      <w:pPr>
        <w:spacing w:after="0" w:line="32"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quarterly fluctuations in our operating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expectations of future financial performance or changes in estimates of securities analysts;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market valuations of other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relating to actions of other media companies, strategic relationships, acquisitions or industry consolidation;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terrorist acts or wars;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market and political conditions not related to our business.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Failure of our internal control over financial reporting could harm our business and financial results</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GAAP.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could limit our ability to report our financial results accurately and timely or to detect and prevent fraud. The identification of a material weakness in the future could cause a loss of investor confidence and decline in the market price of our common stock. We may not be able to timely remediate any material weaknesses that may be identified in future periods or maintain all of the controls necessary for continued compliance. Likewise, we cannot assure you that we will be able to retain sufficient skilled finance and accounting personnel.</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Information with respect to our corporate headquarters and regional offices is presented below. We own no material real property. We believe that all of our present facilities are adequate for our current needs and that additional space is available for future expansion on acceptable terms.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180" w:type="dxa"/>
            <w:vAlign w:val="bottom"/>
            <w:gridSpan w:val="3"/>
          </w:tcPr>
          <w:p>
            <w:pPr>
              <w:spacing w:after="0"/>
              <w:rPr>
                <w:sz w:val="20"/>
                <w:szCs w:val="20"/>
                <w:color w:val="auto"/>
              </w:rPr>
            </w:pPr>
            <w:r>
              <w:rPr>
                <w:rFonts w:ascii="Arial" w:cs="Arial" w:eastAsia="Arial" w:hAnsi="Arial"/>
                <w:sz w:val="14"/>
                <w:szCs w:val="14"/>
                <w:b w:val="1"/>
                <w:bCs w:val="1"/>
                <w:color w:val="auto"/>
              </w:rPr>
              <w:t>Location</w:t>
            </w:r>
          </w:p>
        </w:tc>
        <w:tc>
          <w:tcPr>
            <w:tcW w:w="6720" w:type="dxa"/>
            <w:vAlign w:val="bottom"/>
          </w:tcPr>
          <w:p>
            <w:pPr>
              <w:ind w:left="3140"/>
              <w:spacing w:after="0"/>
              <w:rPr>
                <w:sz w:val="20"/>
                <w:szCs w:val="20"/>
                <w:color w:val="auto"/>
              </w:rPr>
            </w:pPr>
            <w:r>
              <w:rPr>
                <w:rFonts w:ascii="Arial" w:cs="Arial" w:eastAsia="Arial" w:hAnsi="Arial"/>
                <w:sz w:val="14"/>
                <w:szCs w:val="14"/>
                <w:b w:val="1"/>
                <w:bCs w:val="1"/>
                <w:color w:val="auto"/>
              </w:rPr>
              <w:t>Facility</w:t>
            </w:r>
          </w:p>
        </w:tc>
        <w:tc>
          <w:tcPr>
            <w:tcW w:w="220" w:type="dxa"/>
            <w:vAlign w:val="bottom"/>
          </w:tcPr>
          <w:p>
            <w:pPr>
              <w:spacing w:after="0"/>
              <w:rPr>
                <w:sz w:val="15"/>
                <w:szCs w:val="15"/>
                <w:color w:val="auto"/>
              </w:rPr>
            </w:pPr>
          </w:p>
        </w:tc>
        <w:tc>
          <w:tcPr>
            <w:tcW w:w="1300" w:type="dxa"/>
            <w:vAlign w:val="bottom"/>
            <w:gridSpan w:val="2"/>
          </w:tcPr>
          <w:p>
            <w:pPr>
              <w:ind w:left="480"/>
              <w:spacing w:after="0"/>
              <w:rPr>
                <w:sz w:val="20"/>
                <w:szCs w:val="20"/>
                <w:color w:val="auto"/>
              </w:rPr>
            </w:pPr>
            <w:r>
              <w:rPr>
                <w:rFonts w:ascii="Arial" w:cs="Arial" w:eastAsia="Arial" w:hAnsi="Arial"/>
                <w:sz w:val="14"/>
                <w:szCs w:val="14"/>
                <w:b w:val="1"/>
                <w:bCs w:val="1"/>
                <w:color w:val="auto"/>
              </w:rPr>
              <w:t>Size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Centennial, CO (1)</w:t>
            </w: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Headquarters (including the network operations center)</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79,433 sq. ft.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Centennial, CO (2)</w:t>
            </w:r>
          </w:p>
        </w:tc>
        <w:tc>
          <w:tcPr>
            <w:tcW w:w="6720" w:type="dxa"/>
            <w:vAlign w:val="bottom"/>
          </w:tcPr>
          <w:p>
            <w:pPr>
              <w:spacing w:after="0"/>
              <w:rPr>
                <w:sz w:val="20"/>
                <w:szCs w:val="20"/>
                <w:color w:val="auto"/>
              </w:rPr>
            </w:pPr>
            <w:r>
              <w:rPr>
                <w:rFonts w:ascii="Arial" w:cs="Arial" w:eastAsia="Arial" w:hAnsi="Arial"/>
                <w:sz w:val="18"/>
                <w:szCs w:val="18"/>
                <w:color w:val="auto"/>
              </w:rPr>
              <w:t>Additional headquarters space</w:t>
            </w: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12,881 sq. ft.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Chicago, IL (3)</w:t>
            </w: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Regional Office</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3,242 sq. ft.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New York, NY (4)</w:t>
            </w:r>
          </w:p>
        </w:tc>
        <w:tc>
          <w:tcPr>
            <w:tcW w:w="6720" w:type="dxa"/>
            <w:vAlign w:val="bottom"/>
          </w:tcPr>
          <w:p>
            <w:pPr>
              <w:spacing w:after="0"/>
              <w:rPr>
                <w:sz w:val="20"/>
                <w:szCs w:val="20"/>
                <w:color w:val="auto"/>
              </w:rPr>
            </w:pPr>
            <w:r>
              <w:rPr>
                <w:rFonts w:ascii="Arial" w:cs="Arial" w:eastAsia="Arial" w:hAnsi="Arial"/>
                <w:sz w:val="18"/>
                <w:szCs w:val="18"/>
                <w:color w:val="auto"/>
              </w:rPr>
              <w:t>Regional Office</w:t>
            </w:r>
          </w:p>
        </w:tc>
        <w:tc>
          <w:tcPr>
            <w:tcW w:w="2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16,186 sq. ft.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Woodland Hills, CA (5)</w:t>
            </w: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Regional Office</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6,062 sq. ft.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Minneapolis, MN (6)</w:t>
            </w:r>
          </w:p>
        </w:tc>
        <w:tc>
          <w:tcPr>
            <w:tcW w:w="6720" w:type="dxa"/>
            <w:vAlign w:val="bottom"/>
          </w:tcPr>
          <w:p>
            <w:pPr>
              <w:spacing w:after="0"/>
              <w:rPr>
                <w:sz w:val="20"/>
                <w:szCs w:val="20"/>
                <w:color w:val="auto"/>
              </w:rPr>
            </w:pPr>
            <w:r>
              <w:rPr>
                <w:rFonts w:ascii="Arial" w:cs="Arial" w:eastAsia="Arial" w:hAnsi="Arial"/>
                <w:sz w:val="18"/>
                <w:szCs w:val="18"/>
                <w:color w:val="auto"/>
              </w:rPr>
              <w:t>Regional Office</w:t>
            </w:r>
          </w:p>
        </w:tc>
        <w:tc>
          <w:tcPr>
            <w:tcW w:w="22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5,926 sq. ft.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facility is leased through June 30, 2021.</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facility is leased through April 30, 2011 and the lease will not be renewed.</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facility is leased through September 30, 2014.</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facility is leased through April 30, 2017.</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facility is leased through May 31, 2012.</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This facility is leased through February 29, 2015.</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litigation currently pending that would have a material adverse affect on our operating results or financial condition.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Removed and Reserved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Market for Registrant’s Common Equity, Related Stockholder Matters and Issuer Purchases of Equity Securities</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common stock, $0.01 par value, is traded on The NASDAQ Global Market under the symbol “NCMI” since February 8, 2007 (our IPO closed on February 13, 2007). There were approximately 106 stockholders of record as of February 22, 2011 (not including beneficial holders of shares held in “street name”). The following table sets forth the historical high and low sales prices per share for our common stock as reported on The NASDAQ Global Market for the fiscal periods indicated.</w:t>
      </w:r>
    </w:p>
    <w:p>
      <w:pPr>
        <w:spacing w:after="0" w:line="17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8"/>
              </w:rPr>
              <w:t>Fiscal 2010</w:t>
            </w: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Declared</w:t>
            </w:r>
          </w:p>
        </w:tc>
        <w:tc>
          <w:tcPr>
            <w:tcW w:w="100" w:type="dxa"/>
            <w:vAlign w:val="bottom"/>
          </w:tcPr>
          <w:p>
            <w:pPr>
              <w:spacing w:after="0"/>
              <w:rPr>
                <w:sz w:val="11"/>
                <w:szCs w:val="11"/>
                <w:color w:val="auto"/>
              </w:rPr>
            </w:pPr>
          </w:p>
        </w:tc>
      </w:tr>
      <w:tr>
        <w:trPr>
          <w:trHeight w:val="161"/>
        </w:trPr>
        <w:tc>
          <w:tcPr>
            <w:tcW w:w="5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64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Dividend</w:t>
            </w:r>
          </w:p>
        </w:tc>
      </w:tr>
      <w:tr>
        <w:trPr>
          <w:trHeight w:val="20"/>
        </w:trPr>
        <w:tc>
          <w:tcPr>
            <w:tcW w:w="5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(January 1, 2010 – April 1, 2010)</w:t>
            </w:r>
          </w:p>
        </w:tc>
        <w:tc>
          <w:tcPr>
            <w:tcW w:w="2180" w:type="dxa"/>
            <w:vAlign w:val="bottom"/>
            <w:gridSpan w:val="3"/>
            <w:shd w:val="clear" w:color="auto" w:fill="CCEEFF"/>
          </w:tcPr>
          <w:p>
            <w:pPr>
              <w:jc w:val="center"/>
              <w:ind w:left="1032"/>
              <w:spacing w:after="0"/>
              <w:rPr>
                <w:sz w:val="20"/>
                <w:szCs w:val="20"/>
                <w:color w:val="auto"/>
              </w:rPr>
            </w:pPr>
            <w:r>
              <w:rPr>
                <w:rFonts w:ascii="Arial" w:cs="Arial" w:eastAsia="Arial" w:hAnsi="Arial"/>
                <w:sz w:val="18"/>
                <w:szCs w:val="18"/>
                <w:color w:val="auto"/>
                <w:w w:val="90"/>
              </w:rPr>
              <w:t>$18.74</w:t>
            </w:r>
          </w:p>
        </w:tc>
        <w:tc>
          <w:tcPr>
            <w:tcW w:w="840" w:type="dxa"/>
            <w:vAlign w:val="bottom"/>
            <w:gridSpan w:val="2"/>
            <w:shd w:val="clear" w:color="auto" w:fill="CCEEFF"/>
          </w:tcPr>
          <w:p>
            <w:pPr>
              <w:jc w:val="center"/>
              <w:ind w:left="256"/>
              <w:spacing w:after="0"/>
              <w:rPr>
                <w:sz w:val="20"/>
                <w:szCs w:val="20"/>
                <w:color w:val="auto"/>
              </w:rPr>
            </w:pPr>
            <w:r>
              <w:rPr>
                <w:rFonts w:ascii="Arial" w:cs="Arial" w:eastAsia="Arial" w:hAnsi="Arial"/>
                <w:sz w:val="18"/>
                <w:szCs w:val="18"/>
                <w:color w:val="auto"/>
                <w:w w:val="90"/>
              </w:rPr>
              <w:t>$14.20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0.16</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Second Quarter (April 2, 2010 – July 1, 2010)</w:t>
            </w:r>
          </w:p>
        </w:tc>
        <w:tc>
          <w:tcPr>
            <w:tcW w:w="2180" w:type="dxa"/>
            <w:vAlign w:val="bottom"/>
            <w:gridSpan w:val="3"/>
          </w:tcPr>
          <w:p>
            <w:pPr>
              <w:jc w:val="center"/>
              <w:ind w:left="1032"/>
              <w:spacing w:after="0"/>
              <w:rPr>
                <w:sz w:val="20"/>
                <w:szCs w:val="20"/>
                <w:color w:val="auto"/>
              </w:rPr>
            </w:pPr>
            <w:r>
              <w:rPr>
                <w:rFonts w:ascii="Arial" w:cs="Arial" w:eastAsia="Arial" w:hAnsi="Arial"/>
                <w:sz w:val="18"/>
                <w:szCs w:val="18"/>
                <w:color w:val="auto"/>
                <w:w w:val="90"/>
              </w:rPr>
              <w:t>$20.23</w:t>
            </w:r>
          </w:p>
        </w:tc>
        <w:tc>
          <w:tcPr>
            <w:tcW w:w="840" w:type="dxa"/>
            <w:vAlign w:val="bottom"/>
            <w:gridSpan w:val="2"/>
          </w:tcPr>
          <w:p>
            <w:pPr>
              <w:jc w:val="center"/>
              <w:ind w:left="256"/>
              <w:spacing w:after="0"/>
              <w:rPr>
                <w:sz w:val="20"/>
                <w:szCs w:val="20"/>
                <w:color w:val="auto"/>
              </w:rPr>
            </w:pPr>
            <w:r>
              <w:rPr>
                <w:rFonts w:ascii="Arial" w:cs="Arial" w:eastAsia="Arial" w:hAnsi="Arial"/>
                <w:sz w:val="18"/>
                <w:szCs w:val="18"/>
                <w:color w:val="auto"/>
                <w:w w:val="90"/>
              </w:rPr>
              <w:t>$16.35</w:t>
            </w:r>
          </w:p>
        </w:tc>
        <w:tc>
          <w:tcPr>
            <w:tcW w:w="6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0.18</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Third Quarter (July 2, 2010 – September 30, 2010)</w:t>
            </w:r>
          </w:p>
        </w:tc>
        <w:tc>
          <w:tcPr>
            <w:tcW w:w="2180" w:type="dxa"/>
            <w:vAlign w:val="bottom"/>
            <w:gridSpan w:val="3"/>
            <w:shd w:val="clear" w:color="auto" w:fill="CCEEFF"/>
          </w:tcPr>
          <w:p>
            <w:pPr>
              <w:jc w:val="center"/>
              <w:ind w:left="1032"/>
              <w:spacing w:after="0"/>
              <w:rPr>
                <w:sz w:val="20"/>
                <w:szCs w:val="20"/>
                <w:color w:val="auto"/>
              </w:rPr>
            </w:pPr>
            <w:r>
              <w:rPr>
                <w:rFonts w:ascii="Arial" w:cs="Arial" w:eastAsia="Arial" w:hAnsi="Arial"/>
                <w:sz w:val="18"/>
                <w:szCs w:val="18"/>
                <w:color w:val="auto"/>
                <w:w w:val="90"/>
              </w:rPr>
              <w:t>$18.99</w:t>
            </w:r>
          </w:p>
        </w:tc>
        <w:tc>
          <w:tcPr>
            <w:tcW w:w="840" w:type="dxa"/>
            <w:vAlign w:val="bottom"/>
            <w:gridSpan w:val="2"/>
            <w:shd w:val="clear" w:color="auto" w:fill="CCEEFF"/>
          </w:tcPr>
          <w:p>
            <w:pPr>
              <w:jc w:val="center"/>
              <w:ind w:left="256"/>
              <w:spacing w:after="0"/>
              <w:rPr>
                <w:sz w:val="20"/>
                <w:szCs w:val="20"/>
                <w:color w:val="auto"/>
              </w:rPr>
            </w:pPr>
            <w:r>
              <w:rPr>
                <w:rFonts w:ascii="Arial" w:cs="Arial" w:eastAsia="Arial" w:hAnsi="Arial"/>
                <w:sz w:val="18"/>
                <w:szCs w:val="18"/>
                <w:color w:val="auto"/>
                <w:w w:val="90"/>
              </w:rPr>
              <w:t>$15.70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0.18</w:t>
            </w:r>
          </w:p>
        </w:tc>
        <w:tc>
          <w:tcPr>
            <w:tcW w:w="100" w:type="dxa"/>
            <w:vAlign w:val="bottom"/>
            <w:shd w:val="clear" w:color="auto" w:fill="CCEEFF"/>
          </w:tcPr>
          <w:p>
            <w:pPr>
              <w:spacing w:after="0"/>
              <w:rPr>
                <w:sz w:val="18"/>
                <w:szCs w:val="18"/>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Fourth Quarter (October 1, 2010 – December 30, 2010)</w:t>
            </w:r>
          </w:p>
        </w:tc>
        <w:tc>
          <w:tcPr>
            <w:tcW w:w="2180" w:type="dxa"/>
            <w:vAlign w:val="bottom"/>
            <w:gridSpan w:val="3"/>
          </w:tcPr>
          <w:p>
            <w:pPr>
              <w:jc w:val="center"/>
              <w:ind w:left="1032"/>
              <w:spacing w:after="0"/>
              <w:rPr>
                <w:sz w:val="20"/>
                <w:szCs w:val="20"/>
                <w:color w:val="auto"/>
              </w:rPr>
            </w:pPr>
            <w:r>
              <w:rPr>
                <w:rFonts w:ascii="Arial" w:cs="Arial" w:eastAsia="Arial" w:hAnsi="Arial"/>
                <w:sz w:val="18"/>
                <w:szCs w:val="18"/>
                <w:color w:val="auto"/>
                <w:w w:val="90"/>
              </w:rPr>
              <w:t>$20.13</w:t>
            </w:r>
          </w:p>
        </w:tc>
        <w:tc>
          <w:tcPr>
            <w:tcW w:w="840" w:type="dxa"/>
            <w:vAlign w:val="bottom"/>
            <w:gridSpan w:val="2"/>
          </w:tcPr>
          <w:p>
            <w:pPr>
              <w:jc w:val="center"/>
              <w:ind w:left="256"/>
              <w:spacing w:after="0"/>
              <w:rPr>
                <w:sz w:val="20"/>
                <w:szCs w:val="20"/>
                <w:color w:val="auto"/>
              </w:rPr>
            </w:pPr>
            <w:r>
              <w:rPr>
                <w:rFonts w:ascii="Arial" w:cs="Arial" w:eastAsia="Arial" w:hAnsi="Arial"/>
                <w:sz w:val="18"/>
                <w:szCs w:val="18"/>
                <w:color w:val="auto"/>
                <w:w w:val="90"/>
              </w:rPr>
              <w:t>$17.50</w:t>
            </w:r>
          </w:p>
        </w:tc>
        <w:tc>
          <w:tcPr>
            <w:tcW w:w="6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0.20</w:t>
            </w:r>
          </w:p>
        </w:tc>
        <w:tc>
          <w:tcPr>
            <w:tcW w:w="100" w:type="dxa"/>
            <w:vAlign w:val="bottom"/>
          </w:tcPr>
          <w:p>
            <w:pPr>
              <w:spacing w:after="0"/>
              <w:rPr>
                <w:sz w:val="19"/>
                <w:szCs w:val="19"/>
                <w:color w:val="auto"/>
              </w:rPr>
            </w:pPr>
          </w:p>
        </w:tc>
      </w:tr>
      <w:tr>
        <w:trPr>
          <w:trHeight w:val="358"/>
        </w:trPr>
        <w:tc>
          <w:tcPr>
            <w:tcW w:w="5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8"/>
              </w:rPr>
              <w:t>Fiscal 2009</w:t>
            </w: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53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Declared</w:t>
            </w:r>
          </w:p>
        </w:tc>
        <w:tc>
          <w:tcPr>
            <w:tcW w:w="100" w:type="dxa"/>
            <w:vAlign w:val="bottom"/>
          </w:tcPr>
          <w:p>
            <w:pPr>
              <w:spacing w:after="0"/>
              <w:rPr>
                <w:sz w:val="11"/>
                <w:szCs w:val="11"/>
                <w:color w:val="auto"/>
              </w:rPr>
            </w:pPr>
          </w:p>
        </w:tc>
      </w:tr>
      <w:tr>
        <w:trPr>
          <w:trHeight w:val="161"/>
        </w:trPr>
        <w:tc>
          <w:tcPr>
            <w:tcW w:w="5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2"/>
              </w:rPr>
              <w:t>Low</w:t>
            </w:r>
          </w:p>
        </w:tc>
        <w:tc>
          <w:tcPr>
            <w:tcW w:w="640" w:type="dxa"/>
            <w:vAlign w:val="bottom"/>
          </w:tcPr>
          <w:p>
            <w:pPr>
              <w:spacing w:after="0"/>
              <w:rPr>
                <w:sz w:val="14"/>
                <w:szCs w:val="14"/>
                <w:color w:val="auto"/>
              </w:rPr>
            </w:pP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Dividend</w:t>
            </w:r>
          </w:p>
        </w:tc>
      </w:tr>
      <w:tr>
        <w:trPr>
          <w:trHeight w:val="20"/>
        </w:trPr>
        <w:tc>
          <w:tcPr>
            <w:tcW w:w="5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(January 2, 2009 – April 2, 2009)</w:t>
            </w:r>
          </w:p>
        </w:tc>
        <w:tc>
          <w:tcPr>
            <w:tcW w:w="2180" w:type="dxa"/>
            <w:vAlign w:val="bottom"/>
            <w:gridSpan w:val="3"/>
            <w:shd w:val="clear" w:color="auto" w:fill="CCEEFF"/>
          </w:tcPr>
          <w:p>
            <w:pPr>
              <w:jc w:val="center"/>
              <w:ind w:left="1032"/>
              <w:spacing w:after="0"/>
              <w:rPr>
                <w:sz w:val="20"/>
                <w:szCs w:val="20"/>
                <w:color w:val="auto"/>
              </w:rPr>
            </w:pPr>
            <w:r>
              <w:rPr>
                <w:rFonts w:ascii="Arial" w:cs="Arial" w:eastAsia="Arial" w:hAnsi="Arial"/>
                <w:sz w:val="18"/>
                <w:szCs w:val="18"/>
                <w:color w:val="auto"/>
                <w:w w:val="90"/>
              </w:rPr>
              <w:t>$14.85</w:t>
            </w:r>
          </w:p>
        </w:tc>
        <w:tc>
          <w:tcPr>
            <w:tcW w:w="840" w:type="dxa"/>
            <w:vAlign w:val="bottom"/>
            <w:gridSpan w:val="2"/>
            <w:shd w:val="clear" w:color="auto" w:fill="CCEEFF"/>
          </w:tcPr>
          <w:p>
            <w:pPr>
              <w:jc w:val="center"/>
              <w:ind w:left="256"/>
              <w:spacing w:after="0"/>
              <w:rPr>
                <w:sz w:val="20"/>
                <w:szCs w:val="20"/>
                <w:color w:val="auto"/>
              </w:rPr>
            </w:pPr>
            <w:r>
              <w:rPr>
                <w:rFonts w:ascii="Arial" w:cs="Arial" w:eastAsia="Arial" w:hAnsi="Arial"/>
                <w:sz w:val="18"/>
                <w:szCs w:val="18"/>
                <w:color w:val="auto"/>
                <w:w w:val="99"/>
              </w:rPr>
              <w:t>$ 7.97</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0.16</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Arial" w:cs="Arial" w:eastAsia="Arial" w:hAnsi="Arial"/>
                <w:sz w:val="18"/>
                <w:szCs w:val="18"/>
                <w:color w:val="auto"/>
              </w:rPr>
              <w:t>Second Quarter (April 3, 2009 – July 2, 2009)</w:t>
            </w:r>
          </w:p>
        </w:tc>
        <w:tc>
          <w:tcPr>
            <w:tcW w:w="2180" w:type="dxa"/>
            <w:vAlign w:val="bottom"/>
            <w:gridSpan w:val="3"/>
          </w:tcPr>
          <w:p>
            <w:pPr>
              <w:jc w:val="center"/>
              <w:ind w:left="1032"/>
              <w:spacing w:after="0"/>
              <w:rPr>
                <w:sz w:val="20"/>
                <w:szCs w:val="20"/>
                <w:color w:val="auto"/>
              </w:rPr>
            </w:pPr>
            <w:r>
              <w:rPr>
                <w:rFonts w:ascii="Arial" w:cs="Arial" w:eastAsia="Arial" w:hAnsi="Arial"/>
                <w:sz w:val="18"/>
                <w:szCs w:val="18"/>
                <w:color w:val="auto"/>
                <w:w w:val="90"/>
              </w:rPr>
              <w:t>$15.79</w:t>
            </w:r>
          </w:p>
        </w:tc>
        <w:tc>
          <w:tcPr>
            <w:tcW w:w="840" w:type="dxa"/>
            <w:vAlign w:val="bottom"/>
            <w:gridSpan w:val="2"/>
          </w:tcPr>
          <w:p>
            <w:pPr>
              <w:jc w:val="center"/>
              <w:ind w:left="256"/>
              <w:spacing w:after="0"/>
              <w:rPr>
                <w:sz w:val="20"/>
                <w:szCs w:val="20"/>
                <w:color w:val="auto"/>
              </w:rPr>
            </w:pPr>
            <w:r>
              <w:rPr>
                <w:rFonts w:ascii="Arial" w:cs="Arial" w:eastAsia="Arial" w:hAnsi="Arial"/>
                <w:sz w:val="18"/>
                <w:szCs w:val="18"/>
                <w:color w:val="auto"/>
                <w:w w:val="83"/>
              </w:rPr>
              <w:t>$ 11.03</w:t>
            </w:r>
          </w:p>
        </w:tc>
        <w:tc>
          <w:tcPr>
            <w:tcW w:w="64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0.16</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Third Quarter (July 3, 2009 – October 1, 2009)</w:t>
            </w:r>
          </w:p>
        </w:tc>
        <w:tc>
          <w:tcPr>
            <w:tcW w:w="2180" w:type="dxa"/>
            <w:vAlign w:val="bottom"/>
            <w:gridSpan w:val="3"/>
            <w:shd w:val="clear" w:color="auto" w:fill="CCEEFF"/>
          </w:tcPr>
          <w:p>
            <w:pPr>
              <w:jc w:val="center"/>
              <w:ind w:left="1032"/>
              <w:spacing w:after="0"/>
              <w:rPr>
                <w:sz w:val="20"/>
                <w:szCs w:val="20"/>
                <w:color w:val="auto"/>
              </w:rPr>
            </w:pPr>
            <w:r>
              <w:rPr>
                <w:rFonts w:ascii="Arial" w:cs="Arial" w:eastAsia="Arial" w:hAnsi="Arial"/>
                <w:sz w:val="18"/>
                <w:szCs w:val="18"/>
                <w:color w:val="auto"/>
                <w:w w:val="90"/>
              </w:rPr>
              <w:t>$17.78</w:t>
            </w:r>
          </w:p>
        </w:tc>
        <w:tc>
          <w:tcPr>
            <w:tcW w:w="840" w:type="dxa"/>
            <w:vAlign w:val="bottom"/>
            <w:gridSpan w:val="2"/>
            <w:shd w:val="clear" w:color="auto" w:fill="CCEEFF"/>
          </w:tcPr>
          <w:p>
            <w:pPr>
              <w:jc w:val="center"/>
              <w:ind w:left="256"/>
              <w:spacing w:after="0"/>
              <w:rPr>
                <w:sz w:val="20"/>
                <w:szCs w:val="20"/>
                <w:color w:val="auto"/>
              </w:rPr>
            </w:pPr>
            <w:r>
              <w:rPr>
                <w:rFonts w:ascii="Arial" w:cs="Arial" w:eastAsia="Arial" w:hAnsi="Arial"/>
                <w:sz w:val="18"/>
                <w:szCs w:val="18"/>
                <w:color w:val="auto"/>
                <w:w w:val="90"/>
              </w:rPr>
              <w:t>$12.18</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0.16</w:t>
            </w:r>
          </w:p>
        </w:tc>
        <w:tc>
          <w:tcPr>
            <w:tcW w:w="100" w:type="dxa"/>
            <w:vAlign w:val="bottom"/>
            <w:shd w:val="clear" w:color="auto" w:fill="CCEEFF"/>
          </w:tcPr>
          <w:p>
            <w:pPr>
              <w:spacing w:after="0"/>
              <w:rPr>
                <w:sz w:val="18"/>
                <w:szCs w:val="18"/>
                <w:color w:val="auto"/>
              </w:rPr>
            </w:pPr>
          </w:p>
        </w:tc>
      </w:tr>
      <w:tr>
        <w:trPr>
          <w:trHeight w:val="222"/>
        </w:trPr>
        <w:tc>
          <w:tcPr>
            <w:tcW w:w="5300" w:type="dxa"/>
            <w:vAlign w:val="bottom"/>
          </w:tcPr>
          <w:p>
            <w:pPr>
              <w:spacing w:after="0"/>
              <w:rPr>
                <w:sz w:val="20"/>
                <w:szCs w:val="20"/>
                <w:color w:val="auto"/>
              </w:rPr>
            </w:pPr>
            <w:r>
              <w:rPr>
                <w:rFonts w:ascii="Arial" w:cs="Arial" w:eastAsia="Arial" w:hAnsi="Arial"/>
                <w:sz w:val="18"/>
                <w:szCs w:val="18"/>
                <w:color w:val="auto"/>
              </w:rPr>
              <w:t>Fourth Quarter (October 2, 2009 – December 31, 2009)</w:t>
            </w:r>
          </w:p>
        </w:tc>
        <w:tc>
          <w:tcPr>
            <w:tcW w:w="2180" w:type="dxa"/>
            <w:vAlign w:val="bottom"/>
            <w:gridSpan w:val="3"/>
          </w:tcPr>
          <w:p>
            <w:pPr>
              <w:jc w:val="center"/>
              <w:ind w:left="1032"/>
              <w:spacing w:after="0"/>
              <w:rPr>
                <w:sz w:val="20"/>
                <w:szCs w:val="20"/>
                <w:color w:val="auto"/>
              </w:rPr>
            </w:pPr>
            <w:r>
              <w:rPr>
                <w:rFonts w:ascii="Arial" w:cs="Arial" w:eastAsia="Arial" w:hAnsi="Arial"/>
                <w:sz w:val="18"/>
                <w:szCs w:val="18"/>
                <w:color w:val="auto"/>
                <w:w w:val="90"/>
              </w:rPr>
              <w:t>$17.22</w:t>
            </w:r>
          </w:p>
        </w:tc>
        <w:tc>
          <w:tcPr>
            <w:tcW w:w="840" w:type="dxa"/>
            <w:vAlign w:val="bottom"/>
            <w:gridSpan w:val="2"/>
          </w:tcPr>
          <w:p>
            <w:pPr>
              <w:jc w:val="center"/>
              <w:ind w:left="256"/>
              <w:spacing w:after="0"/>
              <w:rPr>
                <w:sz w:val="20"/>
                <w:szCs w:val="20"/>
                <w:color w:val="auto"/>
              </w:rPr>
            </w:pPr>
            <w:r>
              <w:rPr>
                <w:rFonts w:ascii="Arial" w:cs="Arial" w:eastAsia="Arial" w:hAnsi="Arial"/>
                <w:sz w:val="18"/>
                <w:szCs w:val="18"/>
                <w:color w:val="auto"/>
                <w:w w:val="90"/>
              </w:rPr>
              <w:t>$14.07</w:t>
            </w:r>
          </w:p>
        </w:tc>
        <w:tc>
          <w:tcPr>
            <w:tcW w:w="64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0.16</w:t>
            </w:r>
          </w:p>
        </w:tc>
        <w:tc>
          <w:tcPr>
            <w:tcW w:w="10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 Policy</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intend to distribute over time a substantial portion of our free cash flow (distributions from NCM LLC less income taxes and payments under the tax sharing agreement with the founding members) in the form of quarterly dividends to our stockholders. The declaration, payment, timing and amount of any future dividends payable by us will be at the sole discretion of our board of directors who will take into account general economic and business conditions, our financial condition, our available cash, our current and anticipated cash needs, and any other factors that the board considers relevant. Under Delaware law, dividends may be payable only out of surplus, which is our total assets minus total liabilities less the par value of our common stock, or, if we have no surplus, out of our net profits for the fiscal year in which the dividend is declared and/or the preceding fiscal year.</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Proceeds from Sale of Registered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Unregistered Sales of Equity Securities and Use of Proceeds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Compensation Plan</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See “Item 12. Security Ownership of Certain Beneficial Owners and Management and Related Stockholder Matters” for information regarding securities authorized for issuance under our equity compensation plans.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following graph compares the cumulative total stockholder return on the common stock of the Company for the period February 8, 2007 (the closing price on the first trading date) through December 30, 2010 with the Russell 2000 Index and the Dow Jones US Media Agencies TSM. The comparisons in the graph below are based upon historical data and are not indicative of, 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124460</wp:posOffset>
            </wp:positionV>
            <wp:extent cx="4862195" cy="38931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862195" cy="389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February 8,</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5"/>
              </w:rPr>
              <w:t>December 27,</w:t>
            </w:r>
          </w:p>
        </w:tc>
        <w:tc>
          <w:tcPr>
            <w:tcW w:w="6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6"/>
              </w:rPr>
              <w:t>January 1,</w:t>
            </w:r>
          </w:p>
        </w:tc>
        <w:tc>
          <w:tcPr>
            <w:tcW w:w="6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83"/>
              </w:rPr>
              <w:t>December 31,</w:t>
            </w:r>
          </w:p>
        </w:tc>
        <w:tc>
          <w:tcPr>
            <w:tcW w:w="66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30,</w:t>
            </w:r>
          </w:p>
        </w:tc>
      </w:tr>
      <w:tr>
        <w:trPr>
          <w:trHeight w:val="161"/>
        </w:trPr>
        <w:tc>
          <w:tcPr>
            <w:tcW w:w="4980" w:type="dxa"/>
            <w:vAlign w:val="bottom"/>
          </w:tcPr>
          <w:p>
            <w:pPr>
              <w:spacing w:after="0"/>
              <w:rPr>
                <w:sz w:val="14"/>
                <w:szCs w:val="14"/>
                <w:color w:val="auto"/>
              </w:rPr>
            </w:pPr>
          </w:p>
        </w:tc>
        <w:tc>
          <w:tcPr>
            <w:tcW w:w="6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8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National CineMedia Inc.</w:t>
            </w:r>
          </w:p>
        </w:tc>
        <w:tc>
          <w:tcPr>
            <w:tcW w:w="1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96.19</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89.92</w:t>
            </w: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The Russell 2000 Index</w:t>
            </w:r>
          </w:p>
        </w:tc>
        <w:tc>
          <w:tcPr>
            <w:tcW w:w="1340" w:type="dxa"/>
            <w:vAlign w:val="bottom"/>
            <w:gridSpan w:val="2"/>
          </w:tcPr>
          <w:p>
            <w:pPr>
              <w:ind w:left="200"/>
              <w:spacing w:after="0"/>
              <w:rPr>
                <w:sz w:val="20"/>
                <w:szCs w:val="20"/>
                <w:color w:val="auto"/>
              </w:rPr>
            </w:pPr>
            <w:r>
              <w:rPr>
                <w:rFonts w:ascii="Arial" w:cs="Arial" w:eastAsia="Arial" w:hAnsi="Arial"/>
                <w:sz w:val="18"/>
                <w:szCs w:val="18"/>
                <w:color w:val="auto"/>
              </w:rPr>
              <w:t>100.00</w:t>
            </w:r>
          </w:p>
        </w:tc>
        <w:tc>
          <w:tcPr>
            <w:tcW w:w="800" w:type="dxa"/>
            <w:vAlign w:val="bottom"/>
          </w:tcPr>
          <w:p>
            <w:pPr>
              <w:jc w:val="right"/>
              <w:spacing w:after="0"/>
              <w:rPr>
                <w:sz w:val="20"/>
                <w:szCs w:val="20"/>
                <w:color w:val="auto"/>
              </w:rPr>
            </w:pPr>
            <w:r>
              <w:rPr>
                <w:rFonts w:ascii="Arial" w:cs="Arial" w:eastAsia="Arial" w:hAnsi="Arial"/>
                <w:sz w:val="18"/>
                <w:szCs w:val="18"/>
                <w:color w:val="auto"/>
              </w:rPr>
              <w:t>96.81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64.10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81.52</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103.41</w:t>
            </w: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Dow Jones US Media Agencies TSM</w:t>
            </w:r>
          </w:p>
        </w:tc>
        <w:tc>
          <w:tcPr>
            <w:tcW w:w="1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100.00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100" w:type="dxa"/>
            <w:vAlign w:val="bottom"/>
            <w:shd w:val="clear" w:color="auto" w:fill="CCEEFF"/>
          </w:tcPr>
          <w:p>
            <w:pPr>
              <w:spacing w:after="0"/>
              <w:rPr>
                <w:sz w:val="18"/>
                <w:szCs w:val="18"/>
                <w:color w:val="auto"/>
              </w:rPr>
            </w:pPr>
          </w:p>
        </w:tc>
      </w:tr>
      <w:tr>
        <w:trPr>
          <w:trHeight w:val="363"/>
        </w:trPr>
        <w:tc>
          <w:tcPr>
            <w:tcW w:w="4980" w:type="dxa"/>
            <w:vAlign w:val="bottom"/>
          </w:tcPr>
          <w:p>
            <w:pPr>
              <w:spacing w:after="0"/>
              <w:rPr>
                <w:sz w:val="24"/>
                <w:szCs w:val="24"/>
                <w:color w:val="auto"/>
              </w:rPr>
            </w:pPr>
          </w:p>
        </w:tc>
        <w:tc>
          <w:tcPr>
            <w:tcW w:w="1340" w:type="dxa"/>
            <w:vAlign w:val="bottom"/>
            <w:gridSpan w:val="2"/>
          </w:tcPr>
          <w:p>
            <w:pPr>
              <w:ind w:left="640"/>
              <w:spacing w:after="0"/>
              <w:rPr>
                <w:sz w:val="20"/>
                <w:szCs w:val="20"/>
                <w:color w:val="auto"/>
              </w:rPr>
            </w:pPr>
            <w:r>
              <w:rPr>
                <w:rFonts w:ascii="Arial" w:cs="Arial" w:eastAsia="Arial" w:hAnsi="Arial"/>
                <w:sz w:val="18"/>
                <w:szCs w:val="18"/>
                <w:color w:val="auto"/>
              </w:rPr>
              <w:t>43</w:t>
            </w: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Selected Historical Financial and Operating Data</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following table sets forth our historical selected financial and operating data for the periods indicated. The selected financial and operating data should be read together with the other information contained in this document, including “Business-Corporate History”, “Business-Reorganization,” “Management’s Discussion and Analysis of Financial Condition and Results of Operations,” the audited historical financial statements and the notes thereto included elsewhere in this document, and historical interim consolidated financial statements, which have not been included in this document.</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results of operations data for the years ended December 30, 2010, December 31, 2009 and January 1, 2009 and the balance sheet data as of December 30, 2010 and December 31, 2009 are derived from the audited financial statements of NCM, Inc. and NCM LLC included elsewhere in this document. The results of operations data for the year ended December 27, 2007 and the balance sheet data as of January 1, 2009 and December 27, 2007 is derived from the audited financial statements of NCM, Inc. (not presented herein).</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results of operations data for the year ended December 28, 2006 and the balance sheet data as of December 28, 2006 are derived from the audited financial statements (not presented herein) of our predecessor NCM LLC.</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historical financial statements for periods prior to February 13, 2007 do not reflect what our results of operations and financial position would have been had we been a stand-alone, public company for the periods presented. Specifically, such historical results of operations do not give effect to the matters set forth below:</w:t>
      </w:r>
    </w:p>
    <w:p>
      <w:pPr>
        <w:spacing w:after="0" w:line="59" w:lineRule="exact"/>
        <w:rPr>
          <w:sz w:val="20"/>
          <w:szCs w:val="20"/>
          <w:color w:val="auto"/>
        </w:rPr>
      </w:pPr>
    </w:p>
    <w:p>
      <w:pPr>
        <w:ind w:left="900" w:hanging="325"/>
        <w:spacing w:after="0" w:line="254"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terms of the ESAs, which differ from NCM LLC’s prior contractual arrangements with NCM LLC’s founding members and have ongoing material significance to NCM LLC’s results of operations, (i) assign legacy contracts to NCM LLC, (ii) make additional inventory of lobby promotions, Fathom business and consumer events available to NCM LLC on a pre-approved basis, (iii) make additional theatre advertising inventory available to NCM LLC, to sell such inventory at stated rates to the founding members in order for them to fulfill their on-screen advertising commitments to their beverage concessionaires, and (iv) change the formula for the calculation of the circuit share expense (known as the theatre access fee in the ESAs);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adjustments to income tax provisions to account for NCM, Inc.’s status as a taxable entity with an ownership interest in NCM LLC;</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completion of the non-cash recapitalization of NCM LLC pursuant to which existing members of NCM LLC received one common membership unit and one preferred membership unit in exchange for each outstanding common membership unit;</w:t>
      </w:r>
    </w:p>
    <w:p>
      <w:pPr>
        <w:spacing w:after="0" w:line="50" w:lineRule="exact"/>
        <w:rPr>
          <w:rFonts w:ascii="Arial" w:cs="Arial" w:eastAsia="Arial" w:hAnsi="Arial"/>
          <w:sz w:val="18"/>
          <w:szCs w:val="18"/>
          <w:color w:val="auto"/>
        </w:rPr>
      </w:pPr>
    </w:p>
    <w:p>
      <w:pPr>
        <w:ind w:left="900" w:right="620" w:hanging="325"/>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completion of the financing transaction, pursuant to which the preferred membership units issued to the founding members in a non-cash recapitalization of NCM LLC were redeemed from the proceeds of a term loan that is part of our new senior secured credit facility;</w:t>
      </w:r>
    </w:p>
    <w:p>
      <w:pPr>
        <w:spacing w:after="0" w:line="4"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completion of the IPO and the use of proceeds there from, including our acquisition of 44.8% of the common membership units in NCM LLC at the date of the IPO, which will be accounted for by our consolidation of NCM LLC; and</w:t>
      </w:r>
    </w:p>
    <w:p>
      <w:pPr>
        <w:spacing w:after="0" w:line="5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payment by NCM LLC of a portion of the proceeds it received from us to NCM LLC’s founding members for their agreeing to modify our payment obligations under the ESAs.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right w:val="single" w:sz="8" w:color="auto"/>
            </w:tcBorders>
            <w:gridSpan w:val="2"/>
          </w:tcPr>
          <w:p>
            <w:pPr>
              <w:jc w:val="center"/>
              <w:ind w:right="500"/>
              <w:spacing w:after="0"/>
              <w:rPr>
                <w:sz w:val="20"/>
                <w:szCs w:val="20"/>
                <w:color w:val="auto"/>
              </w:rPr>
            </w:pPr>
            <w:r>
              <w:rPr>
                <w:rFonts w:ascii="Arial" w:cs="Arial" w:eastAsia="Arial" w:hAnsi="Arial"/>
                <w:sz w:val="14"/>
                <w:szCs w:val="14"/>
                <w:b w:val="1"/>
                <w:bCs w:val="1"/>
                <w:color w:val="auto"/>
                <w:w w:val="79"/>
              </w:rPr>
              <w:t>Post-</w:t>
            </w:r>
          </w:p>
        </w:tc>
        <w:tc>
          <w:tcPr>
            <w:tcW w:w="200" w:type="dxa"/>
            <w:vAlign w:val="bottom"/>
          </w:tcPr>
          <w:p>
            <w:pPr>
              <w:spacing w:after="0"/>
              <w:rPr>
                <w:sz w:val="14"/>
                <w:szCs w:val="14"/>
                <w:color w:val="auto"/>
              </w:rPr>
            </w:pPr>
          </w:p>
        </w:tc>
        <w:tc>
          <w:tcPr>
            <w:tcW w:w="178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6"/>
              </w:rPr>
              <w:t>National CineMedia, LLC</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right w:val="single" w:sz="8" w:color="auto"/>
            </w:tcBorders>
            <w:gridSpan w:val="2"/>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99"/>
              </w:rPr>
              <w:t>IPO</w:t>
            </w: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Borders>
              <w:right w:val="single" w:sz="8" w:color="auto"/>
            </w:tcBorders>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right w:val="single" w:sz="8" w:color="auto"/>
            </w:tcBorders>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Period</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Pre-IPO</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Borders>
              <w:right w:val="single" w:sz="8" w:color="auto"/>
            </w:tcBorders>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Feb. 13,</w:t>
            </w:r>
          </w:p>
        </w:tc>
        <w:tc>
          <w:tcPr>
            <w:tcW w:w="200" w:type="dxa"/>
            <w:vAlign w:val="bottom"/>
          </w:tcPr>
          <w:p>
            <w:pPr>
              <w:spacing w:after="0"/>
              <w:rPr>
                <w:sz w:val="12"/>
                <w:szCs w:val="12"/>
                <w:color w:val="auto"/>
              </w:rPr>
            </w:pP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Period Dec.</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Year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Year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2007</w:t>
            </w:r>
          </w:p>
        </w:tc>
        <w:tc>
          <w:tcPr>
            <w:tcW w:w="4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55"/>
              <w:spacing w:after="0" w:line="149" w:lineRule="exact"/>
              <w:rPr>
                <w:sz w:val="20"/>
                <w:szCs w:val="20"/>
                <w:color w:val="auto"/>
              </w:rPr>
            </w:pPr>
            <w:r>
              <w:rPr>
                <w:rFonts w:ascii="Arial" w:cs="Arial" w:eastAsia="Arial" w:hAnsi="Arial"/>
                <w:sz w:val="14"/>
                <w:szCs w:val="14"/>
                <w:b w:val="1"/>
                <w:bCs w:val="1"/>
                <w:color w:val="auto"/>
                <w:w w:val="91"/>
              </w:rPr>
              <w:t>29, 2006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6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Ended</w:t>
            </w:r>
          </w:p>
        </w:tc>
        <w:tc>
          <w:tcPr>
            <w:tcW w:w="160" w:type="dxa"/>
            <w:vAlign w:val="bottom"/>
          </w:tcPr>
          <w:p>
            <w:pPr>
              <w:spacing w:after="0"/>
              <w:rPr>
                <w:sz w:val="12"/>
                <w:szCs w:val="12"/>
                <w:color w:val="auto"/>
              </w:rPr>
            </w:pPr>
          </w:p>
        </w:tc>
        <w:tc>
          <w:tcPr>
            <w:tcW w:w="6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c>
          <w:tcPr>
            <w:tcW w:w="140" w:type="dxa"/>
            <w:vAlign w:val="bottom"/>
          </w:tcPr>
          <w:p>
            <w:pPr>
              <w:spacing w:after="0"/>
              <w:rPr>
                <w:sz w:val="12"/>
                <w:szCs w:val="12"/>
                <w:color w:val="auto"/>
              </w:rPr>
            </w:pPr>
          </w:p>
        </w:tc>
        <w:tc>
          <w:tcPr>
            <w:tcW w:w="920" w:type="dxa"/>
            <w:vAlign w:val="bottom"/>
            <w:tcBorders>
              <w:right w:val="single" w:sz="8" w:color="auto"/>
            </w:tcBorders>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through</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through</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5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Results of Operations Data</w:t>
            </w:r>
          </w:p>
        </w:tc>
        <w:tc>
          <w:tcPr>
            <w:tcW w:w="160" w:type="dxa"/>
            <w:vAlign w:val="bottom"/>
          </w:tcPr>
          <w:p>
            <w:pPr>
              <w:spacing w:after="0"/>
              <w:rPr>
                <w:sz w:val="12"/>
                <w:szCs w:val="12"/>
                <w:color w:val="auto"/>
              </w:rPr>
            </w:pPr>
          </w:p>
        </w:tc>
        <w:tc>
          <w:tcPr>
            <w:tcW w:w="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 30,</w:t>
            </w:r>
          </w:p>
        </w:tc>
        <w:tc>
          <w:tcPr>
            <w:tcW w:w="160" w:type="dxa"/>
            <w:vAlign w:val="bottom"/>
          </w:tcPr>
          <w:p>
            <w:pPr>
              <w:spacing w:after="0"/>
              <w:rPr>
                <w:sz w:val="12"/>
                <w:szCs w:val="12"/>
                <w:color w:val="auto"/>
              </w:rPr>
            </w:pPr>
          </w:p>
        </w:tc>
        <w:tc>
          <w:tcPr>
            <w:tcW w:w="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 31,</w:t>
            </w:r>
          </w:p>
        </w:tc>
        <w:tc>
          <w:tcPr>
            <w:tcW w:w="160" w:type="dxa"/>
            <w:vAlign w:val="bottom"/>
          </w:tcPr>
          <w:p>
            <w:pPr>
              <w:spacing w:after="0"/>
              <w:rPr>
                <w:sz w:val="12"/>
                <w:szCs w:val="12"/>
                <w:color w:val="auto"/>
              </w:rPr>
            </w:pPr>
          </w:p>
        </w:tc>
        <w:tc>
          <w:tcPr>
            <w:tcW w:w="6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Jan. 1,</w:t>
            </w:r>
          </w:p>
        </w:tc>
        <w:tc>
          <w:tcPr>
            <w:tcW w:w="140" w:type="dxa"/>
            <w:vAlign w:val="bottom"/>
          </w:tcPr>
          <w:p>
            <w:pPr>
              <w:spacing w:after="0"/>
              <w:rPr>
                <w:sz w:val="12"/>
                <w:szCs w:val="12"/>
                <w:color w:val="auto"/>
              </w:rPr>
            </w:pPr>
          </w:p>
        </w:tc>
        <w:tc>
          <w:tcPr>
            <w:tcW w:w="920" w:type="dxa"/>
            <w:vAlign w:val="bottom"/>
            <w:tcBorders>
              <w:right w:val="single" w:sz="8" w:color="auto"/>
            </w:tcBorders>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Dec. 27,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Feb. 12,</w:t>
            </w:r>
          </w:p>
        </w:tc>
        <w:tc>
          <w:tcPr>
            <w:tcW w:w="140" w:type="dxa"/>
            <w:vAlign w:val="bottom"/>
          </w:tcPr>
          <w:p>
            <w:pPr>
              <w:spacing w:after="0"/>
              <w:rPr>
                <w:sz w:val="12"/>
                <w:szCs w:val="12"/>
                <w:color w:val="auto"/>
              </w:rPr>
            </w:pPr>
          </w:p>
        </w:tc>
        <w:tc>
          <w:tcPr>
            <w:tcW w:w="70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Dec. 28,</w:t>
            </w:r>
          </w:p>
        </w:tc>
        <w:tc>
          <w:tcPr>
            <w:tcW w:w="0" w:type="dxa"/>
            <w:vAlign w:val="bottom"/>
          </w:tcPr>
          <w:p>
            <w:pPr>
              <w:spacing w:after="0"/>
              <w:rPr>
                <w:sz w:val="1"/>
                <w:szCs w:val="1"/>
                <w:color w:val="auto"/>
              </w:rPr>
            </w:pPr>
          </w:p>
        </w:tc>
      </w:tr>
      <w:tr>
        <w:trPr>
          <w:trHeight w:val="161"/>
        </w:trPr>
        <w:tc>
          <w:tcPr>
            <w:tcW w:w="5980" w:type="dxa"/>
            <w:vAlign w:val="bottom"/>
            <w:gridSpan w:val="2"/>
          </w:tcPr>
          <w:p>
            <w:pPr>
              <w:spacing w:after="0"/>
              <w:rPr>
                <w:sz w:val="20"/>
                <w:szCs w:val="20"/>
                <w:color w:val="auto"/>
              </w:rPr>
            </w:pPr>
            <w:r>
              <w:rPr>
                <w:rFonts w:ascii="Arial" w:cs="Arial" w:eastAsia="Arial" w:hAnsi="Arial"/>
                <w:sz w:val="14"/>
                <w:szCs w:val="14"/>
                <w:b w:val="1"/>
                <w:bCs w:val="1"/>
                <w:color w:val="auto"/>
              </w:rPr>
              <w:t>($ in millions, except per share data)</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2009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4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3"/>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Advertising</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379.4</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335.1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330.3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84"/>
              </w:rPr>
              <w:t>282.7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Fees—Members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Fathom Events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45.5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25.4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8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427.5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380.7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369.5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84"/>
              </w:rPr>
              <w:t>308.3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23.6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Advertising Operating Costs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Fathom Events Operating Costs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Network Costs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18.6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Theatre Access Fees/Circuit Share Costs—Members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Selling and Marketing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57.9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50.2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47.9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40.9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and other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Severance Plan Costs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TOTAL EXPENSES</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236.9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212.5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196.3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84"/>
              </w:rPr>
              <w:t>146.8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27.7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190.6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168.2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173.2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161.5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63.9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49.5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77.0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57.2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Non-Operating Loss</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8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126.6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w w:val="84"/>
              </w:rPr>
              <w:t>118.7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84.7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84"/>
              </w:rPr>
              <w:t>104.3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Equity loss from investments</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 (LOSS)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101.3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9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79.9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75.2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63.1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w w:val="92"/>
              </w:rPr>
              <w:t>Less: Distributions to Noncontrolling Interest in Excess of Proportionate Share of</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Attributable to NCM, Inc.</w:t>
            </w: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gridSpan w:val="2"/>
            <w:vMerge w:val="continue"/>
          </w:tcPr>
          <w:p>
            <w:pPr>
              <w:spacing w:after="0"/>
              <w:rPr>
                <w:sz w:val="18"/>
                <w:szCs w:val="18"/>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29.2</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26.1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24.8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EARNINGS PER NCM, INC. SHARE: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Basic</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0.63</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0.62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0.59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5980" w:type="dxa"/>
            <w:vAlign w:val="bottom"/>
            <w:gridSpan w:val="2"/>
          </w:tcPr>
          <w:p>
            <w:pPr>
              <w:ind w:left="562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5579110</wp:posOffset>
            </wp:positionH>
            <wp:positionV relativeFrom="paragraph">
              <wp:posOffset>205740</wp:posOffset>
            </wp:positionV>
            <wp:extent cx="342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80" w:type="dxa"/>
            <w:vAlign w:val="bottom"/>
            <w:tcBorders>
              <w:right w:val="single" w:sz="8" w:color="auto"/>
            </w:tcBorders>
            <w:gridSpan w:val="3"/>
          </w:tcPr>
          <w:p>
            <w:pPr>
              <w:jc w:val="center"/>
              <w:ind w:right="600"/>
              <w:spacing w:after="0"/>
              <w:rPr>
                <w:sz w:val="20"/>
                <w:szCs w:val="20"/>
                <w:color w:val="auto"/>
              </w:rPr>
            </w:pPr>
            <w:r>
              <w:rPr>
                <w:rFonts w:ascii="Arial" w:cs="Arial" w:eastAsia="Arial" w:hAnsi="Arial"/>
                <w:sz w:val="14"/>
                <w:szCs w:val="14"/>
                <w:b w:val="1"/>
                <w:bCs w:val="1"/>
                <w:color w:val="auto"/>
                <w:w w:val="91"/>
              </w:rPr>
              <w:t>Post-IPO</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w w:val="98"/>
              </w:rPr>
              <w:t>National CineMedia, LLC</w:t>
            </w:r>
          </w:p>
        </w:tc>
      </w:tr>
      <w:tr>
        <w:trPr>
          <w:trHeight w:val="129"/>
        </w:trPr>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Borders>
              <w:right w:val="single" w:sz="8" w:color="auto"/>
            </w:tcBorders>
            <w:gridSpan w:val="2"/>
          </w:tcPr>
          <w:p>
            <w:pPr>
              <w:jc w:val="center"/>
              <w:ind w:right="700"/>
              <w:spacing w:after="0" w:line="129" w:lineRule="exact"/>
              <w:rPr>
                <w:sz w:val="20"/>
                <w:szCs w:val="20"/>
                <w:color w:val="auto"/>
              </w:rPr>
            </w:pPr>
            <w:r>
              <w:rPr>
                <w:rFonts w:ascii="Arial" w:cs="Arial" w:eastAsia="Arial" w:hAnsi="Arial"/>
                <w:sz w:val="14"/>
                <w:szCs w:val="14"/>
                <w:b w:val="1"/>
                <w:bCs w:val="1"/>
                <w:color w:val="auto"/>
                <w:w w:val="87"/>
              </w:rPr>
              <w:t>Period</w:t>
            </w:r>
          </w:p>
        </w:tc>
        <w:tc>
          <w:tcPr>
            <w:tcW w:w="3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3"/>
              </w:rPr>
              <w:t>Pre-IPO</w:t>
            </w: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r>
        <w:trPr>
          <w:trHeight w:val="149"/>
        </w:trPr>
        <w:tc>
          <w:tcPr>
            <w:tcW w:w="4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80" w:type="dxa"/>
            <w:vAlign w:val="bottom"/>
            <w:tcBorders>
              <w:right w:val="single" w:sz="8" w:color="auto"/>
            </w:tcBorders>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Feb. 13,</w:t>
            </w:r>
          </w:p>
        </w:tc>
        <w:tc>
          <w:tcPr>
            <w:tcW w:w="300" w:type="dxa"/>
            <w:vAlign w:val="bottom"/>
          </w:tcPr>
          <w:p>
            <w:pPr>
              <w:spacing w:after="0"/>
              <w:rPr>
                <w:sz w:val="12"/>
                <w:szCs w:val="12"/>
                <w:color w:val="auto"/>
              </w:rPr>
            </w:pPr>
          </w:p>
        </w:tc>
        <w:tc>
          <w:tcPr>
            <w:tcW w:w="10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Period Dec.</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4520" w:type="dxa"/>
            <w:vAlign w:val="bottom"/>
          </w:tcPr>
          <w:p>
            <w:pPr>
              <w:spacing w:after="0" w:line="149" w:lineRule="exact"/>
              <w:rPr>
                <w:sz w:val="20"/>
                <w:szCs w:val="20"/>
                <w:color w:val="auto"/>
              </w:rPr>
            </w:pPr>
            <w:r>
              <w:rPr>
                <w:rFonts w:ascii="Arial" w:cs="Arial" w:eastAsia="Arial" w:hAnsi="Arial"/>
                <w:sz w:val="14"/>
                <w:szCs w:val="14"/>
                <w:b w:val="1"/>
                <w:bCs w:val="1"/>
                <w:color w:val="auto"/>
              </w:rPr>
              <w:t>Other Financial and Operating Data ($ in</w:t>
            </w:r>
          </w:p>
        </w:tc>
        <w:tc>
          <w:tcPr>
            <w:tcW w:w="100" w:type="dxa"/>
            <w:vAlign w:val="bottom"/>
          </w:tcPr>
          <w:p>
            <w:pPr>
              <w:spacing w:after="0"/>
              <w:rPr>
                <w:sz w:val="12"/>
                <w:szCs w:val="12"/>
                <w:color w:val="auto"/>
              </w:rPr>
            </w:pPr>
          </w:p>
        </w:tc>
        <w:tc>
          <w:tcPr>
            <w:tcW w:w="8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Year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Year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2"/>
                <w:szCs w:val="12"/>
                <w:color w:val="auto"/>
              </w:rPr>
            </w:pPr>
          </w:p>
        </w:tc>
        <w:tc>
          <w:tcPr>
            <w:tcW w:w="4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2007</w:t>
            </w:r>
          </w:p>
        </w:tc>
        <w:tc>
          <w:tcPr>
            <w:tcW w:w="60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80"/>
              <w:spacing w:after="0" w:line="149" w:lineRule="exact"/>
              <w:rPr>
                <w:sz w:val="20"/>
                <w:szCs w:val="20"/>
                <w:color w:val="auto"/>
              </w:rPr>
            </w:pPr>
            <w:r>
              <w:rPr>
                <w:rFonts w:ascii="Arial" w:cs="Arial" w:eastAsia="Arial" w:hAnsi="Arial"/>
                <w:sz w:val="14"/>
                <w:szCs w:val="14"/>
                <w:b w:val="1"/>
                <w:bCs w:val="1"/>
                <w:color w:val="auto"/>
                <w:w w:val="88"/>
              </w:rPr>
              <w:t>29, 2006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4520" w:type="dxa"/>
            <w:vAlign w:val="bottom"/>
          </w:tcPr>
          <w:p>
            <w:pPr>
              <w:spacing w:after="0" w:line="149" w:lineRule="exact"/>
              <w:rPr>
                <w:sz w:val="20"/>
                <w:szCs w:val="20"/>
                <w:color w:val="auto"/>
              </w:rPr>
            </w:pPr>
            <w:r>
              <w:rPr>
                <w:rFonts w:ascii="Arial" w:cs="Arial" w:eastAsia="Arial" w:hAnsi="Arial"/>
                <w:sz w:val="14"/>
                <w:szCs w:val="14"/>
                <w:b w:val="1"/>
                <w:bCs w:val="1"/>
                <w:color w:val="auto"/>
              </w:rPr>
              <w:t>millions, except cash dividend declared per</w:t>
            </w:r>
          </w:p>
        </w:tc>
        <w:tc>
          <w:tcPr>
            <w:tcW w:w="100" w:type="dxa"/>
            <w:vAlign w:val="bottom"/>
          </w:tcPr>
          <w:p>
            <w:pPr>
              <w:spacing w:after="0"/>
              <w:rPr>
                <w:sz w:val="12"/>
                <w:szCs w:val="12"/>
                <w:color w:val="auto"/>
              </w:rPr>
            </w:pPr>
          </w:p>
        </w:tc>
        <w:tc>
          <w:tcPr>
            <w:tcW w:w="8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Ended</w:t>
            </w:r>
          </w:p>
        </w:tc>
        <w:tc>
          <w:tcPr>
            <w:tcW w:w="1180" w:type="dxa"/>
            <w:vAlign w:val="bottom"/>
            <w:tcBorders>
              <w:right w:val="single" w:sz="8" w:color="auto"/>
            </w:tcBorders>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through</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through</w:t>
            </w:r>
          </w:p>
        </w:tc>
        <w:tc>
          <w:tcPr>
            <w:tcW w:w="180" w:type="dxa"/>
            <w:vAlign w:val="bottom"/>
          </w:tcPr>
          <w:p>
            <w:pPr>
              <w:spacing w:after="0"/>
              <w:rPr>
                <w:sz w:val="12"/>
                <w:szCs w:val="12"/>
                <w:color w:val="auto"/>
              </w:rPr>
            </w:pPr>
          </w:p>
        </w:tc>
        <w:tc>
          <w:tcPr>
            <w:tcW w:w="10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Year Ended</w:t>
            </w:r>
          </w:p>
        </w:tc>
      </w:tr>
      <w:tr>
        <w:trPr>
          <w:trHeight w:val="149"/>
        </w:trPr>
        <w:tc>
          <w:tcPr>
            <w:tcW w:w="4520" w:type="dxa"/>
            <w:vAlign w:val="bottom"/>
          </w:tcPr>
          <w:p>
            <w:pPr>
              <w:spacing w:after="0" w:line="149" w:lineRule="exact"/>
              <w:rPr>
                <w:sz w:val="20"/>
                <w:szCs w:val="20"/>
                <w:color w:val="auto"/>
              </w:rPr>
            </w:pPr>
            <w:r>
              <w:rPr>
                <w:rFonts w:ascii="Arial" w:cs="Arial" w:eastAsia="Arial" w:hAnsi="Arial"/>
                <w:sz w:val="14"/>
                <w:szCs w:val="14"/>
                <w:b w:val="1"/>
                <w:bCs w:val="1"/>
                <w:color w:val="auto"/>
              </w:rPr>
              <w:t>common share and advertising contract value</w:t>
            </w:r>
          </w:p>
        </w:tc>
        <w:tc>
          <w:tcPr>
            <w:tcW w:w="9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Dec. 30,</w:t>
            </w:r>
          </w:p>
        </w:tc>
        <w:tc>
          <w:tcPr>
            <w:tcW w:w="160" w:type="dxa"/>
            <w:vAlign w:val="bottom"/>
          </w:tcPr>
          <w:p>
            <w:pPr>
              <w:spacing w:after="0"/>
              <w:rPr>
                <w:sz w:val="12"/>
                <w:szCs w:val="12"/>
                <w:color w:val="auto"/>
              </w:rPr>
            </w:pPr>
          </w:p>
        </w:tc>
        <w:tc>
          <w:tcPr>
            <w:tcW w:w="9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Dec. 31,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Jan. 1,</w:t>
            </w:r>
          </w:p>
        </w:tc>
        <w:tc>
          <w:tcPr>
            <w:tcW w:w="1180" w:type="dxa"/>
            <w:vAlign w:val="bottom"/>
            <w:tcBorders>
              <w:right w:val="single" w:sz="8" w:color="auto"/>
            </w:tcBorders>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6"/>
              </w:rPr>
              <w:t>Dec. 27,</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Feb. 12,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Dec. 28,</w:t>
            </w:r>
          </w:p>
        </w:tc>
      </w:tr>
      <w:tr>
        <w:trPr>
          <w:trHeight w:val="161"/>
        </w:trPr>
        <w:tc>
          <w:tcPr>
            <w:tcW w:w="4520" w:type="dxa"/>
            <w:vAlign w:val="bottom"/>
          </w:tcPr>
          <w:p>
            <w:pPr>
              <w:spacing w:after="0"/>
              <w:rPr>
                <w:sz w:val="20"/>
                <w:szCs w:val="20"/>
                <w:color w:val="auto"/>
              </w:rPr>
            </w:pPr>
            <w:r>
              <w:rPr>
                <w:rFonts w:ascii="Arial" w:cs="Arial" w:eastAsia="Arial" w:hAnsi="Arial"/>
                <w:sz w:val="14"/>
                <w:szCs w:val="14"/>
                <w:b w:val="1"/>
                <w:bCs w:val="1"/>
                <w:color w:val="auto"/>
              </w:rPr>
              <w:t>per attendee)</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2010</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2009</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2007</w:t>
            </w:r>
          </w:p>
        </w:tc>
        <w:tc>
          <w:tcPr>
            <w:tcW w:w="60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14"/>
                <w:szCs w:val="14"/>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OIBDA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6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Adjusted OIBDA (1)</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222.4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189.3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171.1</w:t>
            </w:r>
          </w:p>
        </w:tc>
        <w:tc>
          <w:tcPr>
            <w:tcW w:w="6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Adjusted OIBDA Margin (1)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55.5%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10.4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16.7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14.4</w:t>
            </w:r>
          </w:p>
        </w:tc>
        <w:tc>
          <w:tcPr>
            <w:tcW w:w="6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Cash Dividend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0.72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6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Founding Member Screens at Period End (2)(6)</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14,997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14,401</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14,331</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13,261</w:t>
            </w:r>
          </w:p>
        </w:tc>
        <w:tc>
          <w:tcPr>
            <w:tcW w:w="6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13,127</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Screens at Period End (3)(6)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3"/>
              </w:rPr>
              <w:t>17,302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16,803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17,313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15,265</w:t>
            </w:r>
          </w:p>
        </w:tc>
        <w:tc>
          <w:tcPr>
            <w:tcW w:w="6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14,081</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Digital Screens at Period End (4)(6)</w:t>
            </w:r>
          </w:p>
        </w:tc>
        <w:tc>
          <w:tcPr>
            <w:tcW w:w="10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w w:val="83"/>
              </w:rPr>
              <w:t>16,003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15,413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w w:val="87"/>
              </w:rPr>
              <w:t>15,263</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13,254</w:t>
            </w:r>
          </w:p>
        </w:tc>
        <w:tc>
          <w:tcPr>
            <w:tcW w:w="60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11,463</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Attendance for Period (in millions) (5)(6)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643.0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504.3</w:t>
            </w:r>
          </w:p>
        </w:tc>
        <w:tc>
          <w:tcPr>
            <w:tcW w:w="60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545.9</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*—Not materially different than year ended December 28,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2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12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6"/>
              </w:rPr>
              <w:t>Dec. 30,</w:t>
            </w:r>
          </w:p>
        </w:tc>
        <w:tc>
          <w:tcPr>
            <w:tcW w:w="880" w:type="dxa"/>
            <w:vAlign w:val="bottom"/>
            <w:gridSpan w:val="2"/>
          </w:tcPr>
          <w:p>
            <w:pPr>
              <w:jc w:val="right"/>
              <w:ind w:right="360"/>
              <w:spacing w:after="0" w:line="129" w:lineRule="exact"/>
              <w:rPr>
                <w:sz w:val="20"/>
                <w:szCs w:val="20"/>
                <w:color w:val="auto"/>
              </w:rPr>
            </w:pPr>
            <w:r>
              <w:rPr>
                <w:rFonts w:ascii="Arial" w:cs="Arial" w:eastAsia="Arial" w:hAnsi="Arial"/>
                <w:sz w:val="14"/>
                <w:szCs w:val="14"/>
                <w:b w:val="1"/>
                <w:bCs w:val="1"/>
                <w:color w:val="auto"/>
                <w:w w:val="94"/>
              </w:rPr>
              <w:t>Dec. 31,</w:t>
            </w:r>
          </w:p>
        </w:tc>
        <w:tc>
          <w:tcPr>
            <w:tcW w:w="2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Jan. 1,</w:t>
            </w:r>
          </w:p>
        </w:tc>
        <w:tc>
          <w:tcPr>
            <w:tcW w:w="260" w:type="dxa"/>
            <w:vAlign w:val="bottom"/>
          </w:tcPr>
          <w:p>
            <w:pPr>
              <w:spacing w:after="0"/>
              <w:rPr>
                <w:sz w:val="11"/>
                <w:szCs w:val="11"/>
                <w:color w:val="auto"/>
              </w:rPr>
            </w:pPr>
          </w:p>
        </w:tc>
        <w:tc>
          <w:tcPr>
            <w:tcW w:w="86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86"/>
              </w:rPr>
              <w:t>Dec. 27,</w:t>
            </w:r>
          </w:p>
        </w:tc>
        <w:tc>
          <w:tcPr>
            <w:tcW w:w="26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3"/>
              </w:rPr>
              <w:t>Dec. 28,</w:t>
            </w:r>
          </w:p>
        </w:tc>
        <w:tc>
          <w:tcPr>
            <w:tcW w:w="100" w:type="dxa"/>
            <w:vAlign w:val="bottom"/>
          </w:tcPr>
          <w:p>
            <w:pPr>
              <w:spacing w:after="0"/>
              <w:rPr>
                <w:sz w:val="11"/>
                <w:szCs w:val="11"/>
                <w:color w:val="auto"/>
              </w:rPr>
            </w:pPr>
          </w:p>
        </w:tc>
      </w:tr>
      <w:tr>
        <w:trPr>
          <w:trHeight w:val="161"/>
        </w:trPr>
        <w:tc>
          <w:tcPr>
            <w:tcW w:w="4220" w:type="dxa"/>
            <w:vAlign w:val="bottom"/>
          </w:tcPr>
          <w:p>
            <w:pPr>
              <w:spacing w:after="0"/>
              <w:rPr>
                <w:sz w:val="20"/>
                <w:szCs w:val="20"/>
                <w:color w:val="auto"/>
              </w:rPr>
            </w:pPr>
            <w:r>
              <w:rPr>
                <w:rFonts w:ascii="Arial" w:cs="Arial" w:eastAsia="Arial" w:hAnsi="Arial"/>
                <w:sz w:val="14"/>
                <w:szCs w:val="14"/>
                <w:b w:val="1"/>
                <w:bCs w:val="1"/>
                <w:color w:val="auto"/>
              </w:rPr>
              <w:t>Balance Sheet Data (in millions)</w:t>
            </w:r>
          </w:p>
        </w:tc>
        <w:tc>
          <w:tcPr>
            <w:tcW w:w="2140" w:type="dxa"/>
            <w:vAlign w:val="bottom"/>
          </w:tcPr>
          <w:p>
            <w:pPr>
              <w:spacing w:after="0"/>
              <w:rPr>
                <w:sz w:val="14"/>
                <w:szCs w:val="14"/>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74.4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91.1</w:t>
            </w:r>
          </w:p>
        </w:tc>
        <w:tc>
          <w:tcPr>
            <w:tcW w:w="3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69.2</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20.8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6.7</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Receivables, Net</w:t>
            </w:r>
          </w:p>
        </w:tc>
        <w:tc>
          <w:tcPr>
            <w:tcW w:w="3260" w:type="dxa"/>
            <w:vAlign w:val="bottom"/>
            <w:gridSpan w:val="3"/>
          </w:tcPr>
          <w:p>
            <w:pPr>
              <w:jc w:val="right"/>
              <w:ind w:right="560"/>
              <w:spacing w:after="0"/>
              <w:rPr>
                <w:sz w:val="20"/>
                <w:szCs w:val="20"/>
                <w:color w:val="auto"/>
              </w:rPr>
            </w:pPr>
            <w:r>
              <w:rPr>
                <w:rFonts w:ascii="Arial" w:cs="Arial" w:eastAsia="Arial" w:hAnsi="Arial"/>
                <w:sz w:val="18"/>
                <w:szCs w:val="18"/>
                <w:color w:val="auto"/>
              </w:rPr>
              <w:t>100.7</w:t>
            </w:r>
          </w:p>
        </w:tc>
        <w:tc>
          <w:tcPr>
            <w:tcW w:w="560" w:type="dxa"/>
            <w:vAlign w:val="bottom"/>
          </w:tcPr>
          <w:p>
            <w:pPr>
              <w:jc w:val="right"/>
              <w:spacing w:after="0"/>
              <w:rPr>
                <w:sz w:val="20"/>
                <w:szCs w:val="20"/>
                <w:color w:val="auto"/>
              </w:rPr>
            </w:pPr>
            <w:r>
              <w:rPr>
                <w:rFonts w:ascii="Arial" w:cs="Arial" w:eastAsia="Arial" w:hAnsi="Arial"/>
                <w:sz w:val="18"/>
                <w:szCs w:val="18"/>
                <w:color w:val="auto"/>
              </w:rPr>
              <w:t>89.3</w:t>
            </w:r>
          </w:p>
        </w:tc>
        <w:tc>
          <w:tcPr>
            <w:tcW w:w="32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92.2</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93.2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3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19.8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3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28.0</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Total Assets</w:t>
            </w:r>
          </w:p>
        </w:tc>
        <w:tc>
          <w:tcPr>
            <w:tcW w:w="3260" w:type="dxa"/>
            <w:vAlign w:val="bottom"/>
            <w:gridSpan w:val="3"/>
          </w:tcPr>
          <w:p>
            <w:pPr>
              <w:jc w:val="right"/>
              <w:ind w:right="560"/>
              <w:spacing w:after="0"/>
              <w:rPr>
                <w:sz w:val="20"/>
                <w:szCs w:val="20"/>
                <w:color w:val="auto"/>
              </w:rPr>
            </w:pPr>
            <w:r>
              <w:rPr>
                <w:rFonts w:ascii="Arial" w:cs="Arial" w:eastAsia="Arial" w:hAnsi="Arial"/>
                <w:sz w:val="18"/>
                <w:szCs w:val="18"/>
                <w:color w:val="auto"/>
              </w:rPr>
              <w:t>854.5</w:t>
            </w:r>
          </w:p>
        </w:tc>
        <w:tc>
          <w:tcPr>
            <w:tcW w:w="560" w:type="dxa"/>
            <w:vAlign w:val="bottom"/>
          </w:tcPr>
          <w:p>
            <w:pPr>
              <w:jc w:val="right"/>
              <w:spacing w:after="0"/>
              <w:rPr>
                <w:sz w:val="20"/>
                <w:szCs w:val="20"/>
                <w:color w:val="auto"/>
              </w:rPr>
            </w:pPr>
            <w:r>
              <w:rPr>
                <w:rFonts w:ascii="Arial" w:cs="Arial" w:eastAsia="Arial" w:hAnsi="Arial"/>
                <w:sz w:val="18"/>
                <w:szCs w:val="18"/>
                <w:color w:val="auto"/>
              </w:rPr>
              <w:t>628.2</w:t>
            </w:r>
          </w:p>
        </w:tc>
        <w:tc>
          <w:tcPr>
            <w:tcW w:w="320" w:type="dxa"/>
            <w:vAlign w:val="bottom"/>
          </w:tcPr>
          <w:p>
            <w:pPr>
              <w:spacing w:after="0"/>
              <w:rPr>
                <w:sz w:val="18"/>
                <w:szCs w:val="18"/>
                <w:color w:val="auto"/>
              </w:rPr>
            </w:pP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609.6</w:t>
            </w:r>
          </w:p>
        </w:tc>
        <w:tc>
          <w:tcPr>
            <w:tcW w:w="1120" w:type="dxa"/>
            <w:vAlign w:val="bottom"/>
            <w:gridSpan w:val="3"/>
          </w:tcPr>
          <w:p>
            <w:pPr>
              <w:jc w:val="right"/>
              <w:ind w:right="320"/>
              <w:spacing w:after="0"/>
              <w:rPr>
                <w:sz w:val="20"/>
                <w:szCs w:val="20"/>
                <w:color w:val="auto"/>
              </w:rPr>
            </w:pPr>
            <w:r>
              <w:rPr>
                <w:rFonts w:ascii="Arial" w:cs="Arial" w:eastAsia="Arial" w:hAnsi="Arial"/>
                <w:sz w:val="18"/>
                <w:szCs w:val="18"/>
                <w:color w:val="auto"/>
              </w:rPr>
              <w:t>463.6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3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775.0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799.0</w:t>
            </w:r>
          </w:p>
        </w:tc>
        <w:tc>
          <w:tcPr>
            <w:tcW w:w="3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799.0</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784.0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Equity/(deficit)</w:t>
            </w:r>
          </w:p>
        </w:tc>
        <w:tc>
          <w:tcPr>
            <w:tcW w:w="3260" w:type="dxa"/>
            <w:vAlign w:val="bottom"/>
            <w:gridSpan w:val="3"/>
          </w:tcPr>
          <w:p>
            <w:pPr>
              <w:jc w:val="right"/>
              <w:ind w:right="500"/>
              <w:spacing w:after="0"/>
              <w:rPr>
                <w:sz w:val="20"/>
                <w:szCs w:val="20"/>
                <w:color w:val="auto"/>
              </w:rPr>
            </w:pPr>
            <w:r>
              <w:rPr>
                <w:rFonts w:ascii="Arial" w:cs="Arial" w:eastAsia="Arial" w:hAnsi="Arial"/>
                <w:sz w:val="18"/>
                <w:szCs w:val="18"/>
                <w:color w:val="auto"/>
              </w:rPr>
              <w:t>(318.4)</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(493.1)</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(526.3)</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(572.4)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32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854.5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3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609.6</w:t>
            </w:r>
          </w:p>
        </w:tc>
        <w:tc>
          <w:tcPr>
            <w:tcW w:w="11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463.6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r>
    </w:tbl>
    <w:p>
      <w:pPr>
        <w:spacing w:after="0" w:line="23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Notes to the Selected Historical Financial and Operating Data</w:t>
      </w:r>
    </w:p>
    <w:p>
      <w:pPr>
        <w:spacing w:after="0" w:line="90" w:lineRule="exact"/>
        <w:rPr>
          <w:sz w:val="20"/>
          <w:szCs w:val="20"/>
          <w:color w:val="auto"/>
        </w:rPr>
      </w:pPr>
    </w:p>
    <w:p>
      <w:pPr>
        <w:ind w:firstLine="464"/>
        <w:spacing w:after="0" w:line="285" w:lineRule="auto"/>
        <w:tabs>
          <w:tab w:leader="none" w:pos="6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Operating Income Before Depreciation and Amortization (“OIBDA”), Adjusted OIBDA and Adjusted OIBDA margin are not financial measures calculated in accordance with generally accepted accounting principles (“GAAP”) in the U.S. OIBDA represents operating income (loss) before depreciation and amortization expense. Adjusted OIBDA excludes from OIBDA non-cash share based payment costs and deferred stock compensation. Adjusted OIBDA margin is calculated by dividing Adjusted OIBDA by total revenue. These non-GAAP financial measures are used by management to evaluate operating performance, to forecast future results and as a basis for compensation. The Company believes these are important supplemental measures of operating performance because they eliminate items that have less bearing on its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and non-cash share based compensation programs or different interest rates or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 based payment costs and deferred stock compensation. OIBDA or Adjusted OIBDA should not be regarded as an alternative to operating income, net income or as indicators of operating performance, nor</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should they be considered in isolation of, or as substitutes for financial measures prepared in accordance with GAAP. The Company believes that operating income is the most directly comparable GAAP financial measure to OIBDA. Because not all companies use identical calculations, these presentations may not be comparable to other similarly titled measures of other companies.</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OIBDA and Adjusted OIBDA do not reflect the AMC Loews or Regal Consolidated Theatres integration payments. The integration payments received are added to Adjusted OIBDA to determine our compliance with financial covenants under our senior secured credit facility. AMC made Loews payments to NCM LLC pursuant to the AMC Loews screen integration agreement through April 2009, which were $0.1 million and $4.7 million for the years ended December 31, 2009 and January 1, 2009, respectively. Regal made Consolidated Theatres payments to NCM LLC pursuant to the revised ESAs, which were $3.9 million and $3.2 million for the years ended December 30, 2010 and December 31, 2009, respectively.</w:t>
      </w:r>
    </w:p>
    <w:p>
      <w:pPr>
        <w:spacing w:after="0" w:line="116" w:lineRule="exact"/>
        <w:rPr>
          <w:sz w:val="20"/>
          <w:szCs w:val="20"/>
          <w:color w:val="auto"/>
        </w:rPr>
      </w:pPr>
    </w:p>
    <w:p>
      <w:pPr>
        <w:ind w:left="640" w:hanging="17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sum of founding member screens.</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total screens within NCM LLC’s advertising network.</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total number of screens that are connected to our DCN.</w:t>
      </w:r>
    </w:p>
    <w:p>
      <w:pPr>
        <w:spacing w:after="0" w:line="171" w:lineRule="exact"/>
        <w:rPr>
          <w:rFonts w:ascii="Arial" w:cs="Arial" w:eastAsia="Arial" w:hAnsi="Arial"/>
          <w:sz w:val="18"/>
          <w:szCs w:val="18"/>
          <w:color w:val="auto"/>
        </w:rPr>
      </w:pPr>
    </w:p>
    <w:p>
      <w:pPr>
        <w:ind w:left="640" w:hanging="176"/>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the total attendance within NCM LLC’s advertising network.</w:t>
      </w:r>
    </w:p>
    <w:p>
      <w:pPr>
        <w:spacing w:after="0" w:line="171" w:lineRule="exact"/>
        <w:rPr>
          <w:rFonts w:ascii="Arial" w:cs="Arial" w:eastAsia="Arial" w:hAnsi="Arial"/>
          <w:sz w:val="18"/>
          <w:szCs w:val="18"/>
          <w:color w:val="auto"/>
        </w:rPr>
      </w:pPr>
    </w:p>
    <w:p>
      <w:pPr>
        <w:ind w:right="120" w:firstLine="464"/>
        <w:spacing w:after="0" w:line="268" w:lineRule="auto"/>
        <w:tabs>
          <w:tab w:leader="none" w:pos="6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Excludes AMC Loews for all periods prior to June 2008 and excludes Star Theatres for periods prior to April 2009. Excludes Consolidated Theatres for all periods presented.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reconciles operating income (loss) to OIBDA and Adjusted OIBDA for the periods presented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Borders>
              <w:right w:val="single" w:sz="8" w:color="auto"/>
            </w:tcBorders>
            <w:gridSpan w:val="2"/>
          </w:tcPr>
          <w:p>
            <w:pPr>
              <w:jc w:val="center"/>
              <w:ind w:right="600"/>
              <w:spacing w:after="0"/>
              <w:rPr>
                <w:sz w:val="20"/>
                <w:szCs w:val="20"/>
                <w:color w:val="auto"/>
              </w:rPr>
            </w:pPr>
            <w:r>
              <w:rPr>
                <w:rFonts w:ascii="Arial" w:cs="Arial" w:eastAsia="Arial" w:hAnsi="Arial"/>
                <w:sz w:val="14"/>
                <w:szCs w:val="14"/>
                <w:b w:val="1"/>
                <w:bCs w:val="1"/>
                <w:color w:val="auto"/>
                <w:w w:val="79"/>
              </w:rPr>
              <w:t>Post-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1"/>
              </w:rPr>
              <w:t>National CineMedia, LLC</w:t>
            </w:r>
          </w:p>
        </w:tc>
        <w:tc>
          <w:tcPr>
            <w:tcW w:w="0" w:type="dxa"/>
            <w:vAlign w:val="bottom"/>
          </w:tcPr>
          <w:p>
            <w:pPr>
              <w:spacing w:after="0"/>
              <w:rPr>
                <w:sz w:val="1"/>
                <w:szCs w:val="1"/>
                <w:color w:val="auto"/>
              </w:rPr>
            </w:pPr>
          </w:p>
        </w:tc>
      </w:tr>
      <w:tr>
        <w:trPr>
          <w:trHeight w:val="26"/>
        </w:trPr>
        <w:tc>
          <w:tcPr>
            <w:tcW w:w="11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Borders>
              <w:right w:val="single" w:sz="8" w:color="auto"/>
            </w:tcBorders>
            <w:gridSpan w:val="2"/>
            <w:vMerge w:val="restart"/>
          </w:tcPr>
          <w:p>
            <w:pPr>
              <w:jc w:val="center"/>
              <w:ind w:right="600"/>
              <w:spacing w:after="0" w:line="149" w:lineRule="exact"/>
              <w:rPr>
                <w:sz w:val="20"/>
                <w:szCs w:val="20"/>
                <w:color w:val="auto"/>
              </w:rPr>
            </w:pPr>
            <w:r>
              <w:rPr>
                <w:rFonts w:ascii="Arial" w:cs="Arial" w:eastAsia="Arial" w:hAnsi="Arial"/>
                <w:sz w:val="14"/>
                <w:szCs w:val="14"/>
                <w:b w:val="1"/>
                <w:bCs w:val="1"/>
                <w:color w:val="auto"/>
                <w:w w:val="99"/>
              </w:rPr>
              <w:t>IPO</w:t>
            </w: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80" w:type="dxa"/>
            <w:vAlign w:val="bottom"/>
            <w:tcBorders>
              <w:right w:val="single" w:sz="8" w:color="auto"/>
            </w:tcBorders>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Borders>
              <w:right w:val="single" w:sz="8" w:color="auto"/>
            </w:tcBorders>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Period</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Pre-IPO</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Borders>
              <w:right w:val="single" w:sz="8" w:color="auto"/>
            </w:tcBorders>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4"/>
              </w:rPr>
              <w:t>Feb. 13,</w:t>
            </w:r>
          </w:p>
        </w:tc>
        <w:tc>
          <w:tcPr>
            <w:tcW w:w="280" w:type="dxa"/>
            <w:vAlign w:val="bottom"/>
          </w:tcPr>
          <w:p>
            <w:pPr>
              <w:spacing w:after="0"/>
              <w:rPr>
                <w:sz w:val="12"/>
                <w:szCs w:val="12"/>
                <w:color w:val="auto"/>
              </w:rPr>
            </w:pPr>
          </w:p>
        </w:tc>
        <w:tc>
          <w:tcPr>
            <w:tcW w:w="11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Period Dec.</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Year</w:t>
            </w:r>
          </w:p>
        </w:tc>
        <w:tc>
          <w:tcPr>
            <w:tcW w:w="16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Year</w:t>
            </w:r>
          </w:p>
        </w:tc>
        <w:tc>
          <w:tcPr>
            <w:tcW w:w="160" w:type="dxa"/>
            <w:vAlign w:val="bottom"/>
          </w:tcPr>
          <w:p>
            <w:pPr>
              <w:spacing w:after="0"/>
              <w:rPr>
                <w:sz w:val="12"/>
                <w:szCs w:val="12"/>
                <w:color w:val="auto"/>
              </w:rPr>
            </w:pPr>
          </w:p>
        </w:tc>
        <w:tc>
          <w:tcPr>
            <w:tcW w:w="9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Year</w:t>
            </w: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2007</w:t>
            </w:r>
          </w:p>
        </w:tc>
        <w:tc>
          <w:tcPr>
            <w:tcW w:w="5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81"/>
              <w:spacing w:after="0" w:line="149" w:lineRule="exact"/>
              <w:rPr>
                <w:sz w:val="20"/>
                <w:szCs w:val="20"/>
                <w:color w:val="auto"/>
              </w:rPr>
            </w:pPr>
            <w:r>
              <w:rPr>
                <w:rFonts w:ascii="Arial" w:cs="Arial" w:eastAsia="Arial" w:hAnsi="Arial"/>
                <w:sz w:val="14"/>
                <w:szCs w:val="14"/>
                <w:b w:val="1"/>
                <w:bCs w:val="1"/>
                <w:color w:val="auto"/>
                <w:w w:val="88"/>
              </w:rPr>
              <w:t>29, 2006</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Year</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9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Ended</w:t>
            </w:r>
          </w:p>
        </w:tc>
        <w:tc>
          <w:tcPr>
            <w:tcW w:w="1080" w:type="dxa"/>
            <w:vAlign w:val="bottom"/>
            <w:tcBorders>
              <w:right w:val="single" w:sz="8" w:color="auto"/>
            </w:tcBorders>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through</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through</w:t>
            </w:r>
          </w:p>
        </w:tc>
        <w:tc>
          <w:tcPr>
            <w:tcW w:w="100" w:type="dxa"/>
            <w:vAlign w:val="bottom"/>
          </w:tcPr>
          <w:p>
            <w:pPr>
              <w:spacing w:after="0"/>
              <w:rPr>
                <w:sz w:val="12"/>
                <w:szCs w:val="12"/>
                <w:color w:val="auto"/>
              </w:rPr>
            </w:pPr>
          </w:p>
        </w:tc>
        <w:tc>
          <w:tcPr>
            <w:tcW w:w="7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Dec. 30,</w:t>
            </w:r>
          </w:p>
        </w:tc>
        <w:tc>
          <w:tcPr>
            <w:tcW w:w="160" w:type="dxa"/>
            <w:vAlign w:val="bottom"/>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Dec. 31,</w:t>
            </w:r>
          </w:p>
        </w:tc>
        <w:tc>
          <w:tcPr>
            <w:tcW w:w="160" w:type="dxa"/>
            <w:vAlign w:val="bottom"/>
          </w:tcPr>
          <w:p>
            <w:pPr>
              <w:spacing w:after="0"/>
              <w:rPr>
                <w:sz w:val="12"/>
                <w:szCs w:val="12"/>
                <w:color w:val="auto"/>
              </w:rPr>
            </w:pPr>
          </w:p>
        </w:tc>
        <w:tc>
          <w:tcPr>
            <w:tcW w:w="9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Jan. 1,</w:t>
            </w:r>
          </w:p>
        </w:tc>
        <w:tc>
          <w:tcPr>
            <w:tcW w:w="1080" w:type="dxa"/>
            <w:vAlign w:val="bottom"/>
            <w:tcBorders>
              <w:right w:val="single" w:sz="8" w:color="auto"/>
            </w:tcBorders>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3"/>
              </w:rPr>
              <w:t>Dec. 27,</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Feb. 12,</w:t>
            </w:r>
          </w:p>
        </w:tc>
        <w:tc>
          <w:tcPr>
            <w:tcW w:w="8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Dec. 28,</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48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58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2006</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$190.6</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$168.2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$161.5</w:t>
            </w:r>
          </w:p>
        </w:tc>
        <w:tc>
          <w:tcPr>
            <w:tcW w:w="580" w:type="dxa"/>
            <w:vAlign w:val="bottom"/>
            <w:tcBorders>
              <w:right w:val="single" w:sz="8" w:color="auto"/>
            </w:tcBorders>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458"/>
        </w:trPr>
        <w:tc>
          <w:tcPr>
            <w:tcW w:w="49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17.8</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15.6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4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580" w:type="dxa"/>
            <w:vAlign w:val="bottom"/>
            <w:tcBorders>
              <w:righ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8"/>
        </w:trPr>
        <w:tc>
          <w:tcPr>
            <w:tcW w:w="11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Borders>
              <w:right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OIBDA</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$208.4</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$183.8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$185.6</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$166.5</w:t>
            </w:r>
          </w:p>
        </w:tc>
        <w:tc>
          <w:tcPr>
            <w:tcW w:w="580" w:type="dxa"/>
            <w:vAlign w:val="bottom"/>
            <w:tcBorders>
              <w:right w:val="single" w:sz="8" w:color="auto"/>
            </w:tcBorders>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Severance plan costs</w:t>
            </w:r>
          </w:p>
        </w:tc>
        <w:tc>
          <w:tcPr>
            <w:tcW w:w="280" w:type="dxa"/>
            <w:vAlign w:val="bottom"/>
          </w:tcPr>
          <w:p>
            <w:pPr>
              <w:spacing w:after="0"/>
              <w:rPr>
                <w:sz w:val="18"/>
                <w:szCs w:val="18"/>
                <w:color w:val="auto"/>
              </w:rPr>
            </w:pPr>
          </w:p>
        </w:tc>
        <w:tc>
          <w:tcPr>
            <w:tcW w:w="8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c>
          <w:tcPr>
            <w:tcW w:w="5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1"/>
              </w:rPr>
              <w:t>Share-based compensation costs/Deferred stock compensation (1)</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8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ind w:left="440"/>
              <w:spacing w:after="0"/>
              <w:rPr>
                <w:sz w:val="20"/>
                <w:szCs w:val="20"/>
                <w:color w:val="auto"/>
              </w:rPr>
            </w:pPr>
            <w:r>
              <w:rPr>
                <w:rFonts w:ascii="Arial" w:cs="Arial" w:eastAsia="Arial" w:hAnsi="Arial"/>
                <w:sz w:val="18"/>
                <w:szCs w:val="18"/>
                <w:color w:val="auto"/>
              </w:rPr>
              <w:t>Adjusted OIBDA</w:t>
            </w: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gridSpan w:val="2"/>
            <w:vMerge w:val="continue"/>
          </w:tcPr>
          <w:p>
            <w:pPr>
              <w:spacing w:after="0"/>
              <w:rPr>
                <w:sz w:val="19"/>
                <w:szCs w:val="19"/>
                <w:color w:val="auto"/>
              </w:rPr>
            </w:pPr>
          </w:p>
        </w:tc>
        <w:tc>
          <w:tcPr>
            <w:tcW w:w="1080" w:type="dxa"/>
            <w:vAlign w:val="bottom"/>
            <w:gridSpan w:val="3"/>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222.4</w:t>
            </w:r>
          </w:p>
        </w:tc>
        <w:tc>
          <w:tcPr>
            <w:tcW w:w="980" w:type="dxa"/>
            <w:vAlign w:val="bottom"/>
            <w:gridSpan w:val="3"/>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189.3</w:t>
            </w:r>
          </w:p>
        </w:tc>
        <w:tc>
          <w:tcPr>
            <w:tcW w:w="6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189.5</w:t>
            </w:r>
          </w:p>
        </w:tc>
        <w:tc>
          <w:tcPr>
            <w:tcW w:w="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171.1</w:t>
            </w:r>
          </w:p>
        </w:tc>
        <w:tc>
          <w:tcPr>
            <w:tcW w:w="580" w:type="dxa"/>
            <w:vAlign w:val="bottom"/>
            <w:tcBorders>
              <w:right w:val="single" w:sz="8" w:color="auto"/>
            </w:tcBorders>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$427.5</w:t>
            </w:r>
          </w:p>
        </w:tc>
        <w:tc>
          <w:tcPr>
            <w:tcW w:w="9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$380.7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$308.3</w:t>
            </w:r>
          </w:p>
        </w:tc>
        <w:tc>
          <w:tcPr>
            <w:tcW w:w="580" w:type="dxa"/>
            <w:vAlign w:val="bottom"/>
            <w:tcBorders>
              <w:right w:val="single" w:sz="8" w:color="auto"/>
            </w:tcBorders>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16"/>
        </w:trPr>
        <w:tc>
          <w:tcPr>
            <w:tcW w:w="4920" w:type="dxa"/>
            <w:vAlign w:val="bottom"/>
            <w:gridSpan w:val="2"/>
          </w:tcPr>
          <w:p>
            <w:pPr>
              <w:ind w:left="440"/>
              <w:spacing w:after="0"/>
              <w:rPr>
                <w:sz w:val="20"/>
                <w:szCs w:val="20"/>
                <w:color w:val="auto"/>
              </w:rPr>
            </w:pPr>
            <w:r>
              <w:rPr>
                <w:rFonts w:ascii="Arial" w:cs="Arial" w:eastAsia="Arial" w:hAnsi="Arial"/>
                <w:sz w:val="18"/>
                <w:szCs w:val="18"/>
                <w:color w:val="auto"/>
              </w:rPr>
              <w:t>Adjusted OIBDA margin</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52.0%</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rPr>
              <w:t>49.7%</w:t>
            </w: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51.3%</w:t>
            </w:r>
          </w:p>
        </w:tc>
        <w:tc>
          <w:tcPr>
            <w:tcW w:w="108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55.5%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780" w:hanging="452"/>
        <w:spacing w:after="0" w:line="268" w:lineRule="auto"/>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Share-based payments costs are included in network operations, selling and marketing and administrative expense in the accompanying financial statements.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As discussed in Part 1, some of the information in this Annual Report on Form 10-K includes “forward-looking statements” within the meaning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Section 27A of the Securities Act of 1933, as amended, and Section 21E of the Securities Exchange Act of 1934 (the “Exchange Act”), as amended. All statements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than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i w:val="1"/>
          <w:iCs w:val="1"/>
          <w:color w:val="auto"/>
        </w:rPr>
        <w:t>statements of historical facts included in this Form 10-K,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The following discussion and analysis should be read in conjunction with our historical financial statements and the related notes thereto included elsewhere in this document. In the following discussion and analysis, the term net income refers to net income attributable to NCM, Inc.</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NCM operates the largest digital in-theatre network in North America, for the distribution of advertising, and consumer entertainment programming and corporate communication and marketing events. Our revenue is principally derived from the sale of advertising and, to a lesser extent, from our Fathom Events business. We have long-term ESAs with NCM LLC’s founding members and multi-year agreements with several other unrelated theatre operators, whom we refer to as network affiliates. The ESAs with the founding members and network affiliate agreements grant us exclusive rights, subject to limited exceptions, to sell advertising and corporate meeting services and distribute entertainment programming in those theatres. Our advertising and Fathom Events business are distributed primarily to theatres that are digitally equipped with our proprietary DCN technology. In excess of 94% of the aggregate founding member and network affiliate theatre attendance is included in our digital network.</w:t>
      </w:r>
    </w:p>
    <w:p>
      <w:pPr>
        <w:spacing w:after="0" w:line="118"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for us to manage our business and to determine how we are performing versus our internal goals and targets, and against the performance of our competitors and other benchmarks in the marketplace in which we operate. Senior executives hold monthly meetings with managers and staff to discuss and analyze operating results and address significant variances to budget in an effort to identify trends and changes in our business. We focus on many operating metrics including changes in OIBDA, Adjusted OIBDA and Adjusted OIBDA margin, as defined and discussed in “Item 6. Selected Financial Data—Notes to the Selected Historical Financial and Operating Data”, as some of our primary measurement metrics. In addition, we pay particular attention to our monthly advertising performance measurements, including advertising inventory utilization, pricing (CPM), local and total advertising revenue per attendee and the number of Fathom Events locations and revenue per location. Finally, we monitor our operating cash flow and related financial leverage and revolving credit facility availability and cash balances to ensure that debt obligations and future declared dividends can be met while providing adequate cash reserves.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Summary Historical and Operating Data</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You should read this information together with the other information contained in this document, including “Business-Corporate History”, and our audited historical financial statements and the notes thereto included elsewhere in this document.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presents operating data and OIBDA. See “Item 6. Selected Financial Data—Notes to the Selected Historical Financial and Operating Data” for a discussion of the calculation of Adjusted OIBDA and reconciliation to operating income.</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2"/>
              </w:rPr>
              <w:t>Year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5"/>
              </w:rPr>
              <w:t>Year</w:t>
            </w:r>
          </w:p>
        </w:tc>
        <w:tc>
          <w:tcPr>
            <w:tcW w:w="100" w:type="dxa"/>
            <w:vAlign w:val="bottom"/>
          </w:tcPr>
          <w:p>
            <w:pPr>
              <w:spacing w:after="0"/>
              <w:rPr>
                <w:sz w:val="14"/>
                <w:szCs w:val="14"/>
                <w:color w:val="auto"/>
              </w:rPr>
            </w:pPr>
          </w:p>
        </w:tc>
        <w:tc>
          <w:tcPr>
            <w:tcW w:w="6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Year</w:t>
            </w:r>
          </w:p>
        </w:tc>
      </w:tr>
      <w:tr>
        <w:trPr>
          <w:trHeight w:val="149"/>
        </w:trPr>
        <w:tc>
          <w:tcPr>
            <w:tcW w:w="7320" w:type="dxa"/>
            <w:vAlign w:val="bottom"/>
          </w:tcPr>
          <w:p>
            <w:pPr>
              <w:spacing w:after="0"/>
              <w:rPr>
                <w:sz w:val="12"/>
                <w:szCs w:val="12"/>
                <w:color w:val="auto"/>
              </w:rPr>
            </w:pPr>
          </w:p>
        </w:tc>
        <w:tc>
          <w:tcPr>
            <w:tcW w:w="9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Ended</w:t>
            </w:r>
          </w:p>
        </w:tc>
        <w:tc>
          <w:tcPr>
            <w:tcW w:w="300" w:type="dxa"/>
            <w:vAlign w:val="bottom"/>
          </w:tcPr>
          <w:p>
            <w:pPr>
              <w:spacing w:after="0"/>
              <w:rPr>
                <w:sz w:val="12"/>
                <w:szCs w:val="12"/>
                <w:color w:val="auto"/>
              </w:rPr>
            </w:pPr>
          </w:p>
        </w:tc>
        <w:tc>
          <w:tcPr>
            <w:tcW w:w="124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Ended</w:t>
            </w:r>
          </w:p>
        </w:tc>
        <w:tc>
          <w:tcPr>
            <w:tcW w:w="7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7320" w:type="dxa"/>
            <w:vAlign w:val="bottom"/>
          </w:tcPr>
          <w:p>
            <w:pPr>
              <w:spacing w:after="0"/>
              <w:rPr>
                <w:sz w:val="12"/>
                <w:szCs w:val="12"/>
                <w:color w:val="auto"/>
              </w:rPr>
            </w:pPr>
          </w:p>
        </w:tc>
        <w:tc>
          <w:tcPr>
            <w:tcW w:w="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 30,</w:t>
            </w:r>
          </w:p>
        </w:tc>
        <w:tc>
          <w:tcPr>
            <w:tcW w:w="300" w:type="dxa"/>
            <w:vAlign w:val="bottom"/>
          </w:tcPr>
          <w:p>
            <w:pPr>
              <w:spacing w:after="0"/>
              <w:rPr>
                <w:sz w:val="12"/>
                <w:szCs w:val="12"/>
                <w:color w:val="auto"/>
              </w:rPr>
            </w:pPr>
          </w:p>
        </w:tc>
        <w:tc>
          <w:tcPr>
            <w:tcW w:w="124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Dec. 31,</w:t>
            </w:r>
          </w:p>
        </w:tc>
        <w:tc>
          <w:tcPr>
            <w:tcW w:w="70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Jan. 1,</w:t>
            </w:r>
          </w:p>
        </w:tc>
      </w:tr>
      <w:tr>
        <w:trPr>
          <w:trHeight w:val="161"/>
        </w:trPr>
        <w:tc>
          <w:tcPr>
            <w:tcW w:w="7320" w:type="dxa"/>
            <w:vAlign w:val="bottom"/>
          </w:tcPr>
          <w:p>
            <w:pPr>
              <w:spacing w:after="0"/>
              <w:rPr>
                <w:sz w:val="20"/>
                <w:szCs w:val="20"/>
                <w:color w:val="auto"/>
              </w:rPr>
            </w:pPr>
            <w:r>
              <w:rPr>
                <w:rFonts w:ascii="Arial" w:cs="Arial" w:eastAsia="Arial" w:hAnsi="Arial"/>
                <w:sz w:val="14"/>
                <w:szCs w:val="14"/>
                <w:b w:val="1"/>
                <w:bCs w:val="1"/>
                <w:color w:val="auto"/>
              </w:rPr>
              <w:t>(In millions, except per share data)</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2010</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2009</w:t>
            </w: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4"/>
                <w:szCs w:val="14"/>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427.5</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4"/>
              </w:rPr>
              <w:t>380.7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369.5</w:t>
            </w:r>
          </w:p>
        </w:tc>
        <w:tc>
          <w:tcPr>
            <w:tcW w:w="2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190.6</w:t>
            </w:r>
          </w:p>
        </w:tc>
        <w:tc>
          <w:tcPr>
            <w:tcW w:w="4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40"/>
              <w:spacing w:after="0"/>
              <w:rPr>
                <w:sz w:val="20"/>
                <w:szCs w:val="20"/>
                <w:color w:val="auto"/>
              </w:rPr>
            </w:pPr>
            <w:r>
              <w:rPr>
                <w:rFonts w:ascii="Arial" w:cs="Arial" w:eastAsia="Arial" w:hAnsi="Arial"/>
                <w:sz w:val="18"/>
                <w:szCs w:val="18"/>
                <w:color w:val="auto"/>
                <w:w w:val="84"/>
              </w:rPr>
              <w:t>168.2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173.2</w:t>
            </w:r>
          </w:p>
        </w:tc>
        <w:tc>
          <w:tcPr>
            <w:tcW w:w="2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Adjusted OIBDA</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222.4</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4"/>
              </w:rPr>
              <w:t>189.3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189.5</w:t>
            </w:r>
          </w:p>
        </w:tc>
        <w:tc>
          <w:tcPr>
            <w:tcW w:w="2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Adjusted OIBDA margin</w:t>
            </w:r>
          </w:p>
        </w:tc>
        <w:tc>
          <w:tcPr>
            <w:tcW w:w="8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52.0%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51.3%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NCM, Inc.</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Net Income per NCM, Inc. Basic Share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0.63</w:t>
            </w:r>
          </w:p>
        </w:tc>
        <w:tc>
          <w:tcPr>
            <w:tcW w:w="4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40"/>
              <w:spacing w:after="0"/>
              <w:rPr>
                <w:sz w:val="20"/>
                <w:szCs w:val="20"/>
                <w:color w:val="auto"/>
              </w:rPr>
            </w:pPr>
            <w:r>
              <w:rPr>
                <w:rFonts w:ascii="Arial" w:cs="Arial" w:eastAsia="Arial" w:hAnsi="Arial"/>
                <w:sz w:val="18"/>
                <w:szCs w:val="18"/>
                <w:color w:val="auto"/>
              </w:rPr>
              <w:t>0.62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0.02</w:t>
            </w:r>
          </w:p>
        </w:tc>
        <w:tc>
          <w:tcPr>
            <w:tcW w:w="2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NCM, Inc. Diluted Share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4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200" w:type="dxa"/>
            <w:vAlign w:val="bottom"/>
            <w:shd w:val="clear" w:color="auto" w:fill="CCEEFF"/>
          </w:tcPr>
          <w:p>
            <w:pPr>
              <w:spacing w:after="0"/>
              <w:rPr>
                <w:sz w:val="18"/>
                <w:szCs w:val="18"/>
                <w:color w:val="auto"/>
              </w:rPr>
            </w:pPr>
          </w:p>
        </w:tc>
      </w:tr>
      <w:tr>
        <w:trPr>
          <w:trHeight w:val="322"/>
        </w:trPr>
        <w:tc>
          <w:tcPr>
            <w:tcW w:w="7320" w:type="dxa"/>
            <w:vAlign w:val="bottom"/>
          </w:tcPr>
          <w:p>
            <w:pPr>
              <w:spacing w:after="0"/>
              <w:rPr>
                <w:sz w:val="20"/>
                <w:szCs w:val="20"/>
                <w:color w:val="auto"/>
              </w:rPr>
            </w:pPr>
            <w:r>
              <w:rPr>
                <w:rFonts w:ascii="Arial" w:cs="Arial" w:eastAsia="Arial" w:hAnsi="Arial"/>
                <w:sz w:val="18"/>
                <w:szCs w:val="18"/>
                <w:color w:val="auto"/>
              </w:rPr>
              <w:t>Total advertising revenue ($ in millions)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379.4</w:t>
            </w:r>
          </w:p>
        </w:tc>
        <w:tc>
          <w:tcPr>
            <w:tcW w:w="4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40"/>
              <w:spacing w:after="0"/>
              <w:rPr>
                <w:sz w:val="20"/>
                <w:szCs w:val="20"/>
                <w:color w:val="auto"/>
              </w:rPr>
            </w:pPr>
            <w:r>
              <w:rPr>
                <w:rFonts w:ascii="Arial" w:cs="Arial" w:eastAsia="Arial" w:hAnsi="Arial"/>
                <w:sz w:val="18"/>
                <w:szCs w:val="18"/>
                <w:color w:val="auto"/>
                <w:w w:val="84"/>
              </w:rPr>
              <w:t>335.1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330.3</w:t>
            </w:r>
          </w:p>
        </w:tc>
        <w:tc>
          <w:tcPr>
            <w:tcW w:w="200" w:type="dxa"/>
            <w:vAlign w:val="bottom"/>
          </w:tcPr>
          <w:p>
            <w:pPr>
              <w:spacing w:after="0"/>
              <w:rPr>
                <w:sz w:val="24"/>
                <w:szCs w:val="24"/>
                <w:color w:val="auto"/>
              </w:rPr>
            </w:pPr>
          </w:p>
        </w:tc>
      </w:tr>
      <w:tr>
        <w:trPr>
          <w:trHeight w:val="218"/>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theatre attendance (in millions)</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637.4</w:t>
            </w: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84"/>
              </w:rPr>
              <w:t>667.2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643.0</w:t>
            </w:r>
          </w:p>
        </w:tc>
        <w:tc>
          <w:tcPr>
            <w:tcW w:w="200" w:type="dxa"/>
            <w:vAlign w:val="bottom"/>
            <w:shd w:val="clear" w:color="auto" w:fill="CCEEFF"/>
          </w:tcPr>
          <w:p>
            <w:pPr>
              <w:spacing w:after="0"/>
              <w:rPr>
                <w:sz w:val="18"/>
                <w:szCs w:val="18"/>
                <w:color w:val="auto"/>
              </w:rPr>
            </w:pPr>
          </w:p>
        </w:tc>
      </w:tr>
      <w:tr>
        <w:trPr>
          <w:trHeight w:val="222"/>
        </w:trPr>
        <w:tc>
          <w:tcPr>
            <w:tcW w:w="7320" w:type="dxa"/>
            <w:vAlign w:val="bottom"/>
          </w:tcPr>
          <w:p>
            <w:pPr>
              <w:spacing w:after="0"/>
              <w:rPr>
                <w:sz w:val="20"/>
                <w:szCs w:val="20"/>
                <w:color w:val="auto"/>
              </w:rPr>
            </w:pPr>
            <w:r>
              <w:rPr>
                <w:rFonts w:ascii="Arial" w:cs="Arial" w:eastAsia="Arial" w:hAnsi="Arial"/>
                <w:sz w:val="18"/>
                <w:szCs w:val="18"/>
                <w:color w:val="auto"/>
              </w:rPr>
              <w:t>Total advertising revenue per attendee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0.60</w:t>
            </w:r>
          </w:p>
        </w:tc>
        <w:tc>
          <w:tcPr>
            <w:tcW w:w="44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40"/>
              <w:spacing w:after="0"/>
              <w:rPr>
                <w:sz w:val="20"/>
                <w:szCs w:val="20"/>
                <w:color w:val="auto"/>
              </w:rPr>
            </w:pPr>
            <w:r>
              <w:rPr>
                <w:rFonts w:ascii="Arial" w:cs="Arial" w:eastAsia="Arial" w:hAnsi="Arial"/>
                <w:sz w:val="18"/>
                <w:szCs w:val="18"/>
                <w:color w:val="auto"/>
              </w:rPr>
              <w:t>0.50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0.51</w:t>
            </w:r>
          </w:p>
        </w:tc>
        <w:tc>
          <w:tcPr>
            <w:tcW w:w="200" w:type="dxa"/>
            <w:vAlign w:val="bottom"/>
          </w:tcPr>
          <w:p>
            <w:pPr>
              <w:spacing w:after="0"/>
              <w:rPr>
                <w:sz w:val="19"/>
                <w:szCs w:val="19"/>
                <w:color w:val="auto"/>
              </w:rPr>
            </w:pPr>
          </w:p>
        </w:tc>
      </w:tr>
    </w:tbl>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Prior to the completion of the IPO, NCM LLC was wholly-owned by its founding members. In connection with the offering, NCM, Inc. purchased newly issued common membership units from NCM LLC and common membership units from the founding members, and became a member of and the sole manager of NCM LLC. We entered into several agreements to effect the reorganization and the financing transaction and certain amendments were made to the existing ESAs to govern the relationships among NCM LLC and the founding members after the completion of these transactions.</w:t>
      </w:r>
    </w:p>
    <w:p>
      <w:pPr>
        <w:spacing w:after="0" w:line="113" w:lineRule="exact"/>
        <w:rPr>
          <w:sz w:val="20"/>
          <w:szCs w:val="20"/>
          <w:color w:val="auto"/>
        </w:rPr>
      </w:pPr>
    </w:p>
    <w:p>
      <w:pPr>
        <w:jc w:val="both"/>
        <w:ind w:right="40" w:firstLine="456"/>
        <w:spacing w:after="0" w:line="268" w:lineRule="auto"/>
        <w:rPr>
          <w:sz w:val="20"/>
          <w:szCs w:val="20"/>
          <w:color w:val="auto"/>
        </w:rPr>
      </w:pPr>
      <w:r>
        <w:rPr>
          <w:rFonts w:ascii="Arial" w:cs="Arial" w:eastAsia="Arial" w:hAnsi="Arial"/>
          <w:sz w:val="18"/>
          <w:szCs w:val="18"/>
          <w:color w:val="auto"/>
        </w:rPr>
        <w:t>The results of operations data discussed herein were derived from the audited consolidated financial statements and accounting records of NCM, Inc. and NCM LLC and should be read in conjunction with the notes thereto.</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have a 52-week or 53-week fiscal year ending on the first Thursday after December 25. Fiscal years 2010 and 2009 contained 52 weeks while fiscal year 2008 contained 53 weeks. Throughout this document, we refer to our fiscal years as set forth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5"/>
              </w:rPr>
              <w:t>Reference in</w:t>
            </w:r>
          </w:p>
        </w:tc>
      </w:tr>
      <w:tr>
        <w:trPr>
          <w:trHeight w:val="149"/>
        </w:trPr>
        <w:tc>
          <w:tcPr>
            <w:tcW w:w="114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this</w:t>
            </w:r>
          </w:p>
        </w:tc>
      </w:tr>
      <w:tr>
        <w:trPr>
          <w:trHeight w:val="16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Fiscal Year Ended</w:t>
            </w:r>
          </w:p>
        </w:tc>
        <w:tc>
          <w:tcPr>
            <w:tcW w:w="86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Document</w:t>
            </w:r>
          </w:p>
        </w:tc>
      </w:tr>
      <w:tr>
        <w:trPr>
          <w:trHeight w:val="201"/>
        </w:trPr>
        <w:tc>
          <w:tcPr>
            <w:tcW w:w="9780" w:type="dxa"/>
            <w:vAlign w:val="bottom"/>
            <w:gridSpan w:val="2"/>
          </w:tcPr>
          <w:p>
            <w:pPr>
              <w:spacing w:after="0" w:line="201" w:lineRule="exact"/>
              <w:rPr>
                <w:sz w:val="20"/>
                <w:szCs w:val="20"/>
                <w:color w:val="auto"/>
              </w:rPr>
            </w:pPr>
            <w:r>
              <w:rPr>
                <w:rFonts w:ascii="Arial" w:cs="Arial" w:eastAsia="Arial" w:hAnsi="Arial"/>
                <w:sz w:val="18"/>
                <w:szCs w:val="18"/>
                <w:color w:val="auto"/>
              </w:rPr>
              <w:t>December 30, 2010</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89"/>
              </w:rPr>
              <w:t>2010</w:t>
            </w:r>
          </w:p>
        </w:tc>
      </w:tr>
      <w:tr>
        <w:trPr>
          <w:trHeight w:val="216"/>
        </w:trPr>
        <w:tc>
          <w:tcPr>
            <w:tcW w:w="9780" w:type="dxa"/>
            <w:vAlign w:val="bottom"/>
            <w:gridSpan w:val="2"/>
          </w:tcPr>
          <w:p>
            <w:pPr>
              <w:spacing w:after="0"/>
              <w:rPr>
                <w:sz w:val="20"/>
                <w:szCs w:val="20"/>
                <w:color w:val="auto"/>
              </w:rPr>
            </w:pPr>
            <w:r>
              <w:rPr>
                <w:rFonts w:ascii="Arial" w:cs="Arial" w:eastAsia="Arial" w:hAnsi="Arial"/>
                <w:sz w:val="18"/>
                <w:szCs w:val="18"/>
                <w:color w:val="auto"/>
              </w:rPr>
              <w:t>December 31, 2009</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2009</w:t>
            </w:r>
          </w:p>
        </w:tc>
      </w:tr>
      <w:tr>
        <w:trPr>
          <w:trHeight w:val="222"/>
        </w:trPr>
        <w:tc>
          <w:tcPr>
            <w:tcW w:w="9780" w:type="dxa"/>
            <w:vAlign w:val="bottom"/>
            <w:gridSpan w:val="2"/>
          </w:tcPr>
          <w:p>
            <w:pPr>
              <w:spacing w:after="0"/>
              <w:rPr>
                <w:sz w:val="20"/>
                <w:szCs w:val="20"/>
                <w:color w:val="auto"/>
              </w:rPr>
            </w:pPr>
            <w:r>
              <w:rPr>
                <w:rFonts w:ascii="Arial" w:cs="Arial" w:eastAsia="Arial" w:hAnsi="Arial"/>
                <w:sz w:val="18"/>
                <w:szCs w:val="18"/>
                <w:color w:val="auto"/>
              </w:rPr>
              <w:t>January 1, 2009</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2008</w:t>
            </w:r>
          </w:p>
        </w:tc>
      </w:tr>
    </w:tbl>
    <w:p>
      <w:pPr>
        <w:spacing w:after="0" w:line="23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Years Ended December 30, 2010 and December 31, 2009</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of the Company for the year ended December 30, 2010 was $427.5 million compared to $380.7 million for the 2009 period,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$46.8 million, or 12.3% over the 2009 period. The increase in total revenue was the result of an increase in total advertising revenue of $44.3 million or 13.2% (including revenue from our founding member beverage concessionaire agreements, or “beverage revenue”) and a 5.5% increase in Fathom Events revenue.</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National advertising revenues of $309.1 million (including $37.2 million of beverage revenue) for the year ended December 30, 2010 increased 13.2% from $273.1 million (including $36.3 million of beverage revenue)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80"/>
          </w:cols>
          <w:pgMar w:left="240" w:top="459" w:right="3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for the 2009 period. National advertising revenue (excluding beverage revenue) for the year ended December 30, 2010 increased $35.1 million or 14.8% to</w:t>
      </w:r>
    </w:p>
    <w:p>
      <w:pPr>
        <w:spacing w:after="0" w:line="38"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$271.9 million compared to $236.8 million for the 2009 period. This increase was due to the continued expansion of our overall client base and a favorable TV advertising scatter market, which contributed to an increase in inventory utilization (excluding beverage revenue) to 101.5% for the year ended December 30, 2010 as compared to 87.5% for the year ended December 31, 2009. Our inventory utilization was also impacted by a 4.4% decrease in advertising impressions available for sale compared to the prior year period due primarily to the lower overall industry attendance, partially offset by the addition of several network affiliate theatre circuits. The higher inventory utilization and robust TV advertising scatter market contributed to a 5.7% increase in national advertising CPM’s (excluding beverage revenue). The 2.5% increase in payments from the founding members for their beverage concessionaire agreements was due primarily to the impact of the annual contractual 6% beverage revenue CPM increase, partially offset by a 3.4% decrease in founding member attendance. The decrease in founding member attendance reflects lower overall industry attendance, offset by the acquisition of certain Kerasotes theatres (previously a network affiliate) by AMC and Regal. Our make-good reserve balance of $2.8 million at December 30, 2010 increased from a balance of $0.3 million at December 31, 2009. This increase is the result of an under-delivery of certain film advertising contracts during the fourth quarter of 2010 related to lower than anticipated theatre attendance, particularly in the PG-13 and R rating categories. The Company expects to recognize the majority of this make-good reserve balance in the first quarter of 2011.</w:t>
      </w:r>
    </w:p>
    <w:p>
      <w:pPr>
        <w:spacing w:after="0" w:line="12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Local advertising revenue increased $8.3 million or 13.4% to $70.3 million for the year ended December 30, 2010 compared to $62.0 million for the 2009 period. The increase is primarily due to increases in the number of larger regional contracts and an increase in the level of spending by smaller businesses. The Company’s number of local advertising contracts increased 8.8%, while the average contract value increased 3.9%. Local revenue per theatre attendee increased 22.2% to $0.11 per attendee for the full year of 2010 compared to $0.09 for the 2009 period, due to the increase in revenue combined with a 4.5% decrease in theatre attendance.</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Total advertising revenue (both including and excluding beverage revenue) per attendee for the year ended December 30, 2010 increased 20.0%. Total advertising revenue per attendee (excluding beverage revenue) increased 20.0% to $0.60 from $0.50 for the 2009 period. The increase in the advertising revenue per attendee is due to the impact of a 13.2% increase in total advertising revenue, combined with the 4.5% decrease in theatre attendance.</w:t>
      </w:r>
    </w:p>
    <w:p>
      <w:pPr>
        <w:spacing w:after="0" w:line="10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Fathom Events revenue increased 5.5% or $2.5 million to $48.0 million for the year ended December 30, 2010 compared to the 2009 period. Our Fathom Consumer events revenue increased 10.1% due to increased revenues across the sports, arts and concert categories during the year ended 2010 compared to the 2009 period.</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year ended December 30, 2010 were $236.9 million, an increase of 11.5% from $212.5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2009 period. Set forth below is a discussion of the more significant operating expenses.</w:t>
      </w:r>
    </w:p>
    <w:p>
      <w:pPr>
        <w:spacing w:after="0" w:line="51" w:lineRule="exact"/>
        <w:rPr>
          <w:sz w:val="20"/>
          <w:szCs w:val="20"/>
          <w:color w:val="auto"/>
        </w:rPr>
      </w:pPr>
    </w:p>
    <w:p>
      <w:pPr>
        <w:ind w:left="460" w:right="140" w:firstLine="438"/>
        <w:spacing w:after="0" w:line="288" w:lineRule="auto"/>
        <w:rPr>
          <w:sz w:val="20"/>
          <w:szCs w:val="20"/>
          <w:color w:val="auto"/>
        </w:rPr>
      </w:pPr>
      <w:r>
        <w:rPr>
          <w:rFonts w:ascii="Arial" w:cs="Arial" w:eastAsia="Arial" w:hAnsi="Arial"/>
          <w:sz w:val="16"/>
          <w:szCs w:val="16"/>
          <w:u w:val="single" w:color="auto"/>
          <w:color w:val="auto"/>
        </w:rPr>
        <w:t>Advertising operating costs.</w:t>
      </w:r>
      <w:r>
        <w:rPr>
          <w:rFonts w:ascii="Arial" w:cs="Arial" w:eastAsia="Arial" w:hAnsi="Arial"/>
          <w:sz w:val="16"/>
          <w:szCs w:val="16"/>
          <w:color w:val="auto"/>
        </w:rPr>
        <w:t xml:space="preserve"> Advertising operating costs of $21.7 million for the year ended December 30, 2010 increased 8.5% from the $20.0 million for the 2009 period. This increase was primarily the result of the 14.5% increase in our revenues (excluding beverage) as the revenue increase resulted in a $0.6 million increase in the payments made to our network affiliate theatre circuits. The impact of significantly higher revenue was partially offset by a decrease of 11.7% in advertising affiliate attendance, primarily due to the AMC and Regal Kerasotes acquisition in the second quarter of 2010, which shifted those theatres and screens from an affiliate revenue share arrangement to the theatre access fee and beverage advertising arrangement set forth in our long-term ESA agreements. Network affiliate attendance represented 11.5% of total attendance for the year ended 2010 versus 12.4% for the 2009 period as the shift from the AMC and Regal Kerasotes acquisition has been partially offset by the addition of new network affiliates. The increase in advertising revenue also contributed to a $0.5 million increase in advertising supply costs, including expenses directly related to the delivery of the advertising pre-show, as well as the incremental expenses related to 3D advertising contracts.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firstLine="438"/>
        <w:spacing w:after="0" w:line="294" w:lineRule="auto"/>
        <w:rPr>
          <w:sz w:val="20"/>
          <w:szCs w:val="20"/>
          <w:color w:val="auto"/>
        </w:rPr>
      </w:pPr>
      <w:r>
        <w:rPr>
          <w:rFonts w:ascii="Arial" w:cs="Arial" w:eastAsia="Arial" w:hAnsi="Arial"/>
          <w:sz w:val="16"/>
          <w:szCs w:val="16"/>
          <w:u w:val="single" w:color="auto"/>
          <w:color w:val="auto"/>
        </w:rPr>
        <w:t>Fathom Events operating costs.</w:t>
      </w:r>
      <w:r>
        <w:rPr>
          <w:rFonts w:ascii="Arial" w:cs="Arial" w:eastAsia="Arial" w:hAnsi="Arial"/>
          <w:sz w:val="16"/>
          <w:szCs w:val="16"/>
          <w:color w:val="auto"/>
        </w:rPr>
        <w:t xml:space="preserve"> Fathom Events operating costs of $32.4 million for the year ended December 30, 2010 increased 11.3% compared to $29.1 million during the 2009 period. The increase was primarily the result of an increase in content payments related to an increase in the number of weekend events, and the increase in variable event expenses related to the event revenue increase. Direct event expenses related to corporate clients increased due to higher concessions and equipment rental driven by the mix of events, while certain other Fathom operating costs, including film rentals, decreased due to the decrease in the Fathom Business division revenues.</w:t>
      </w:r>
    </w:p>
    <w:p>
      <w:pPr>
        <w:spacing w:after="0" w:line="35" w:lineRule="exact"/>
        <w:rPr>
          <w:sz w:val="20"/>
          <w:szCs w:val="20"/>
          <w:color w:val="auto"/>
        </w:rPr>
      </w:pPr>
    </w:p>
    <w:p>
      <w:pPr>
        <w:ind w:left="460" w:right="60" w:firstLine="438"/>
        <w:spacing w:after="0" w:line="290" w:lineRule="auto"/>
        <w:rPr>
          <w:sz w:val="20"/>
          <w:szCs w:val="20"/>
          <w:color w:val="auto"/>
        </w:rPr>
      </w:pPr>
      <w:r>
        <w:rPr>
          <w:rFonts w:ascii="Arial" w:cs="Arial" w:eastAsia="Arial" w:hAnsi="Arial"/>
          <w:sz w:val="16"/>
          <w:szCs w:val="16"/>
          <w:u w:val="single" w:color="auto"/>
          <w:color w:val="auto"/>
        </w:rPr>
        <w:t>Network costs.</w:t>
      </w:r>
      <w:r>
        <w:rPr>
          <w:rFonts w:ascii="Arial" w:cs="Arial" w:eastAsia="Arial" w:hAnsi="Arial"/>
          <w:sz w:val="16"/>
          <w:szCs w:val="16"/>
          <w:color w:val="auto"/>
        </w:rPr>
        <w:t xml:space="preserve"> Network costs of $20.0 million for the year ended December 30, 2010 increased 7.5% compared to $18.6 million for the 2009 period due primarily to an increase in personnel costs, including incentive compensation related to the increased levels of OIBDA versus internal targets, and increased share based compensation expense due to the annual issuance of share based instruments in the first quarter of 2010 as well as an increase in personnel associated with the expansion of the Company’s network. Other operating expenses, including network maintenance and network and media operations, were at levels for the year ended December 30, 2010 that are consistent with those for the 2009 period despite a 3.8% increase in the total digital network screens operated to 16,003 from 15,413 in 2009. This increase is due primarily to the conversion to digital of non-digital screens by certain network affiliates.</w:t>
      </w:r>
    </w:p>
    <w:p>
      <w:pPr>
        <w:spacing w:after="0" w:line="37" w:lineRule="exact"/>
        <w:rPr>
          <w:sz w:val="20"/>
          <w:szCs w:val="20"/>
          <w:color w:val="auto"/>
        </w:rPr>
      </w:pPr>
    </w:p>
    <w:p>
      <w:pPr>
        <w:ind w:left="460" w:firstLine="438"/>
        <w:spacing w:after="0" w:line="255" w:lineRule="auto"/>
        <w:rPr>
          <w:sz w:val="20"/>
          <w:szCs w:val="20"/>
          <w:color w:val="auto"/>
        </w:rPr>
      </w:pPr>
      <w:r>
        <w:rPr>
          <w:rFonts w:ascii="Arial" w:cs="Arial" w:eastAsia="Arial" w:hAnsi="Arial"/>
          <w:sz w:val="18"/>
          <w:szCs w:val="18"/>
          <w:u w:val="single" w:color="auto"/>
          <w:color w:val="auto"/>
        </w:rPr>
        <w:t>Theatre access fees.</w:t>
      </w:r>
      <w:r>
        <w:rPr>
          <w:rFonts w:ascii="Arial" w:cs="Arial" w:eastAsia="Arial" w:hAnsi="Arial"/>
          <w:sz w:val="18"/>
          <w:szCs w:val="18"/>
          <w:color w:val="auto"/>
        </w:rPr>
        <w:t xml:space="preserve"> Theatre access fees were $52.6 million for the year ended December 30, 2010 compared to $52.7 million for the 2009 period. The decrease for 2010 versus the 2009 period was the result of a 3.4% decrease in founding member attendance, due primarily to a weaker theatrical film slate. The impact of the decrease in founding member attendance was partially offset by the increase related to the AMC and Regal Kerasotes acquisition in the second quarter of 2010 and the annual 5% rate increase per digital screen and additional costs related to the new digital cinema screens that the Company began connecting to its network during 2010.</w:t>
      </w:r>
    </w:p>
    <w:p>
      <w:pPr>
        <w:spacing w:after="0" w:line="62" w:lineRule="exact"/>
        <w:rPr>
          <w:sz w:val="20"/>
          <w:szCs w:val="20"/>
          <w:color w:val="auto"/>
        </w:rPr>
      </w:pPr>
    </w:p>
    <w:p>
      <w:pPr>
        <w:ind w:left="460" w:firstLine="438"/>
        <w:spacing w:after="0" w:line="306"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increased to $57.9 million for the year ended December 30, 2010 compared to $50.2 million for the 2009 period, or an increase of 15.3%. Selling and marketing costs have increased primarily due to local sales commissions as well as other increasing personnel costs, including incentive compensation related to the achievement of annual sales levels in excess of internal targets.</w:t>
      </w:r>
    </w:p>
    <w:p>
      <w:pPr>
        <w:spacing w:after="0" w:line="26" w:lineRule="exact"/>
        <w:rPr>
          <w:sz w:val="20"/>
          <w:szCs w:val="20"/>
          <w:color w:val="auto"/>
        </w:rPr>
      </w:pPr>
    </w:p>
    <w:p>
      <w:pPr>
        <w:ind w:left="460" w:right="160" w:firstLine="438"/>
        <w:spacing w:after="0" w:line="256" w:lineRule="auto"/>
        <w:rPr>
          <w:sz w:val="20"/>
          <w:szCs w:val="20"/>
          <w:color w:val="auto"/>
        </w:rPr>
      </w:pPr>
      <w:r>
        <w:rPr>
          <w:rFonts w:ascii="Arial" w:cs="Arial" w:eastAsia="Arial" w:hAnsi="Arial"/>
          <w:sz w:val="18"/>
          <w:szCs w:val="18"/>
          <w:u w:val="single" w:color="auto"/>
          <w:color w:val="auto"/>
        </w:rPr>
        <w:t>Administrative and other costs.</w:t>
      </w:r>
      <w:r>
        <w:rPr>
          <w:rFonts w:ascii="Arial" w:cs="Arial" w:eastAsia="Arial" w:hAnsi="Arial"/>
          <w:sz w:val="18"/>
          <w:szCs w:val="18"/>
          <w:color w:val="auto"/>
        </w:rPr>
        <w:t xml:space="preserve"> Administrative and other costs for the year ended December 30, 2010 was $34.5 million compared to $26.3 million for the 2009 period, an increase of 31.2%. This increase was primarily due to increased personnel costs, including incentive compensation related to the achievement of increased levels of OIBDA versus internal targets, and increased share based compensation expense due to the annual issuance of share based instruments in the first quarter of 2010.</w:t>
      </w:r>
    </w:p>
    <w:p>
      <w:pPr>
        <w:spacing w:after="0" w:line="62" w:lineRule="exact"/>
        <w:rPr>
          <w:sz w:val="20"/>
          <w:szCs w:val="20"/>
          <w:color w:val="auto"/>
        </w:rPr>
      </w:pPr>
    </w:p>
    <w:p>
      <w:pPr>
        <w:ind w:left="460" w:right="60" w:firstLine="438"/>
        <w:spacing w:after="0" w:line="259"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14.1% or $2.2 million to $17.8 million for the year ended December 30, 2010, compared to $15.6 million for the 2009 period, primarily as a result of increased amortization expense recognized on intangible assets added in accordance with the annual Common Unit Adjustment.</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Net income generated for the year ended December 30, 2010 was $29.2 million an increase of 11.9% over the $26.1 million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2009. The increase was due primarily to the 13.3% increase in operating income offset by an increase in the provision for income taxes and net income attributable to noncontrolling interests. The increase in the provision for income taxes of $0.2 million to $16.8 million for the year ended December 30, 2010 is due primarily to higher taxable income. Net income attributable to noncontrolling interests increased $4.7 million to $79.9 million for the year ended December 30, 2010 due to higher NCM LLC net income partially offset by the impact of the redemption of common membership units during the third quarter of 2010 (see Note 10 to the consolidated financial statements included elsewhere in this document).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Years Ended December 31, 2009 and January 1, 2009</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of the Company for the year ended December 31, 2009 was $380.7 million compared to $369.5 million for the 2008 period,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$11.2 million, or 3.0% over the 2008 period. The increase in total revenue was the result of an increase in total advertising revenue of 1.5% (including revenue from our founding member beverage concessionaire agreements, or “beverage revenue”) and a 17.0% increase in Fathom Events revenue.</w:t>
      </w:r>
    </w:p>
    <w:p>
      <w:pPr>
        <w:spacing w:after="0" w:line="10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National advertising revenues of $273.1 million (including $36.3 million of beverage revenue) for the year ended December 31, 2009 increased 2.5% from $266.4 million (including $43.3 million of beverage revenue) of revenue for the 2008 period. National advertising revenue (excluding beverage revenue) for the year ended December 31, 2009 increased $13.7 million or 6.1% to $236.8 million compared to $223.1 million for the 2008 period, primarily due to an increase in inventory utilization (excluding beverage revenue) to 87.5% for the year ended December 31, 2009 as compared to 79.7% for the year ended January 1, 2009 and a 6.4% increase in advertising impressions available for sale. The increase in inventory utilization was primarily due to the continued broadening of our overall client base. The impact on revenue from inventory utilization and impressions was somewhat offset by a 5.5% decrease in CPMs due to a soft market television pricing environment. The decrease in payments from the founding members for their beverage concessionaire agreements was primarily due to a reduction in the amount of beverage advertising time acquired by two of our founding members from 90 to 60 seconds, as compared to the 90 seconds acquired during the year ended January 1, 2009, offset slightly by a contractual annual 8% increase in beverage advertising CPM and the additional attendance increase associated with the Consolidated Theatres acquired by Regal in the second quarter of 2008.</w:t>
      </w:r>
    </w:p>
    <w:p>
      <w:pPr>
        <w:spacing w:after="0" w:line="12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Local advertising revenue decreased $1.9 million or 3.0% to $62.0 million for the year ended December 31, 2009 compared to $63.9 million for the 2008 period. The decrease is primarily due to one less week in the fiscal year and the economic conditions present in 2009 and its effect on local and regional businesses. Local revenue per theatre attendee decreased slightly to $0.09 per attendee for the full year of 2009 compared to $0.10 for the 2008 period, due to the combination of slightly lower revenue coupled with a 3.8% attendance increase across our network.</w:t>
      </w:r>
    </w:p>
    <w:p>
      <w:pPr>
        <w:spacing w:after="0" w:line="113"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Total advertising revenue per attendee for the year ended December 31, 2009 was $0.50 per attendee, which represents a decrease of 1.96% compared to the 2008 period. The slight decrease in the advertising contract value per attendee was due to the impact of a 1.5% increase in revenue versus a 3.8% increase in theatre attendance, excluding beverage revenue, total advertising revenue per attendee increased 2.3%.</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Fathom Events revenue increased $6.6 million, or 17%, to $45.5 million for the year ended December 31, 2009 compared to the 2008 period. This increase was due to continued growth in our Fathom Consumer events division offset by a decrease in our Fathom Business events division which was adversely impacted by the soft economy as larger corporate clients delayed their marketing and employee communication events. Our Fathom Consumer events business revenue benefited from the continued expansion of our live network capabilities and broadening of programming distributed over our theatre network, resulting in a 49.8% increase in the Consumer division’s number of event locations.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year ended December 31, 2009 were $212.5 million compared to $196.3 million for the 2008 period.</w:t>
      </w:r>
      <w:r>
        <w:rPr>
          <w:rFonts w:ascii="Arial" w:cs="Arial" w:eastAsia="Arial" w:hAnsi="Arial"/>
          <w:sz w:val="18"/>
          <w:szCs w:val="18"/>
          <w:i w:val="1"/>
          <w:iCs w:val="1"/>
          <w:color w:val="auto"/>
        </w:rPr>
        <w:t xml:space="preserve"> </w:t>
      </w:r>
      <w:r>
        <w:rPr>
          <w:rFonts w:ascii="Arial" w:cs="Arial" w:eastAsia="Arial" w:hAnsi="Arial"/>
          <w:sz w:val="18"/>
          <w:szCs w:val="18"/>
          <w:color w:val="auto"/>
        </w:rPr>
        <w:t>The 8.3% increase in 2009 compared to the 2008 period was primarily the result of an increase in advertising operating costs, Fathom Events costs, network costs and selling and marketing costs, which are primarily the result of the increase in our national advertising (excluding beverage) and Fathom Events revenues. Set forth below is a discussion of the more significant operating expenses.</w:t>
      </w:r>
    </w:p>
    <w:p>
      <w:pPr>
        <w:spacing w:after="0" w:line="62" w:lineRule="exact"/>
        <w:rPr>
          <w:sz w:val="20"/>
          <w:szCs w:val="20"/>
          <w:color w:val="auto"/>
        </w:rPr>
      </w:pPr>
    </w:p>
    <w:p>
      <w:pPr>
        <w:ind w:left="460" w:right="460" w:firstLine="438"/>
        <w:spacing w:after="0" w:line="268"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of $20.0 million for the year ended December 31, 2009 increased 7.0% over the $18.7 million for the 2008 period. This increase was primarily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0"/>
        <w:spacing w:after="0" w:line="255" w:lineRule="auto"/>
        <w:rPr>
          <w:sz w:val="20"/>
          <w:szCs w:val="20"/>
          <w:color w:val="auto"/>
        </w:rPr>
      </w:pPr>
      <w:r>
        <w:rPr>
          <w:rFonts w:ascii="Arial" w:cs="Arial" w:eastAsia="Arial" w:hAnsi="Arial"/>
          <w:sz w:val="18"/>
          <w:szCs w:val="18"/>
          <w:color w:val="auto"/>
        </w:rPr>
        <w:t>the result of the increase in national advertising revenue (excluding beverage) resulting in an increase of 16.0% in associated payments made to our advertising affiliates pursuant to our contractual agreements under which the payment is based on a percentage of revenue displayed in those theatres. This is due to an increase of 1.1% in advertising affiliate attendance. The overall number of network affiliate screens decreased for 2009 as compared to 2008, due to the loss of one advertising affiliate during 2008. Network affiliate screens represented 14.3% of total network screens for 2009 versus 17.2% in 2008.</w:t>
      </w:r>
    </w:p>
    <w:p>
      <w:pPr>
        <w:spacing w:after="0" w:line="62" w:lineRule="exact"/>
        <w:rPr>
          <w:sz w:val="20"/>
          <w:szCs w:val="20"/>
          <w:color w:val="auto"/>
        </w:rPr>
      </w:pPr>
    </w:p>
    <w:p>
      <w:pPr>
        <w:ind w:left="460" w:right="60" w:firstLine="438"/>
        <w:spacing w:after="0" w:line="259" w:lineRule="auto"/>
        <w:rPr>
          <w:sz w:val="20"/>
          <w:szCs w:val="20"/>
          <w:color w:val="auto"/>
        </w:rPr>
      </w:pPr>
      <w:r>
        <w:rPr>
          <w:rFonts w:ascii="Arial" w:cs="Arial" w:eastAsia="Arial" w:hAnsi="Arial"/>
          <w:sz w:val="18"/>
          <w:szCs w:val="18"/>
          <w:u w:val="single" w:color="auto"/>
          <w:color w:val="auto"/>
        </w:rPr>
        <w:t>Fathom Events operating costs.</w:t>
      </w:r>
      <w:r>
        <w:rPr>
          <w:rFonts w:ascii="Arial" w:cs="Arial" w:eastAsia="Arial" w:hAnsi="Arial"/>
          <w:sz w:val="18"/>
          <w:szCs w:val="18"/>
          <w:color w:val="auto"/>
        </w:rPr>
        <w:t xml:space="preserve"> Fathom Events operating costs of $29.1 million for the year ended December 31, 2009 increased 15.9% compared to $25.1 million during the 2008 periods due to the increase in revenues associated with a 27.7% increase in the number of events and the high level of variable event expenses associated with those events.</w:t>
      </w:r>
    </w:p>
    <w:p>
      <w:pPr>
        <w:spacing w:after="0" w:line="59" w:lineRule="exact"/>
        <w:rPr>
          <w:sz w:val="20"/>
          <w:szCs w:val="20"/>
          <w:color w:val="auto"/>
        </w:rPr>
      </w:pPr>
    </w:p>
    <w:p>
      <w:pPr>
        <w:jc w:val="both"/>
        <w:ind w:left="460" w:firstLine="438"/>
        <w:spacing w:after="0" w:line="306" w:lineRule="auto"/>
        <w:rPr>
          <w:sz w:val="20"/>
          <w:szCs w:val="20"/>
          <w:color w:val="auto"/>
        </w:rPr>
      </w:pPr>
      <w:r>
        <w:rPr>
          <w:rFonts w:ascii="Arial" w:cs="Arial" w:eastAsia="Arial" w:hAnsi="Arial"/>
          <w:sz w:val="16"/>
          <w:szCs w:val="16"/>
          <w:u w:val="single" w:color="auto"/>
          <w:color w:val="auto"/>
        </w:rPr>
        <w:t>Network costs.</w:t>
      </w:r>
      <w:r>
        <w:rPr>
          <w:rFonts w:ascii="Arial" w:cs="Arial" w:eastAsia="Arial" w:hAnsi="Arial"/>
          <w:sz w:val="16"/>
          <w:szCs w:val="16"/>
          <w:color w:val="auto"/>
        </w:rPr>
        <w:t xml:space="preserve"> Network costs of $18.6 million for the year ended December 31, 2009 increased 9.4% compared to $17.0 million for the 2008 period due primarily to the increase in size of our digital network and increased maintenance expenses related to aging network equipment in theatres. Total digital network screens operated during 2009 increased to 15,413 from 15,263 in 2008, or an increase of approximately 1.0%.</w:t>
      </w:r>
    </w:p>
    <w:p>
      <w:pPr>
        <w:spacing w:after="0" w:line="26" w:lineRule="exact"/>
        <w:rPr>
          <w:sz w:val="20"/>
          <w:szCs w:val="20"/>
          <w:color w:val="auto"/>
        </w:rPr>
      </w:pPr>
    </w:p>
    <w:p>
      <w:pPr>
        <w:ind w:left="460" w:right="140" w:firstLine="438"/>
        <w:spacing w:after="0" w:line="259" w:lineRule="auto"/>
        <w:rPr>
          <w:sz w:val="20"/>
          <w:szCs w:val="20"/>
          <w:color w:val="auto"/>
        </w:rPr>
      </w:pPr>
      <w:r>
        <w:rPr>
          <w:rFonts w:ascii="Arial" w:cs="Arial" w:eastAsia="Arial" w:hAnsi="Arial"/>
          <w:sz w:val="18"/>
          <w:szCs w:val="18"/>
          <w:u w:val="single" w:color="auto"/>
          <w:color w:val="auto"/>
        </w:rPr>
        <w:t>Theatre access fees.</w:t>
      </w:r>
      <w:r>
        <w:rPr>
          <w:rFonts w:ascii="Arial" w:cs="Arial" w:eastAsia="Arial" w:hAnsi="Arial"/>
          <w:sz w:val="18"/>
          <w:szCs w:val="18"/>
          <w:color w:val="auto"/>
        </w:rPr>
        <w:t xml:space="preserve"> Theatre access fees were $52.7 million for the year ended December 31, 2009 compared to $49.8 million for the 2008 period. The increase for 2009 versus the 2008 period was the result of a 4.2% increase in founding member attendance, including the addition of AMC Loews for the full year ended December 31, 2009.</w:t>
      </w:r>
    </w:p>
    <w:p>
      <w:pPr>
        <w:spacing w:after="0" w:line="59" w:lineRule="exact"/>
        <w:rPr>
          <w:sz w:val="20"/>
          <w:szCs w:val="20"/>
          <w:color w:val="auto"/>
        </w:rPr>
      </w:pPr>
    </w:p>
    <w:p>
      <w:pPr>
        <w:ind w:left="460" w:right="20" w:firstLine="438"/>
        <w:spacing w:after="0" w:line="298"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increased to $50.2 million for the year ended December 31, 2009 compared to $47.9 million for the 2008 period, or an increase of 4.8%. Selling and marketing costs have increased primarily due to increases in personnel and operating costs of our online business as well as increased marketing initiatives to support our expanding business, an increase in bad debt expense primarily related to our local advertising business, offset slightly by a decrease in local sales commissions associated with lower sales revenues.</w:t>
      </w:r>
    </w:p>
    <w:p>
      <w:pPr>
        <w:spacing w:after="0" w:line="32" w:lineRule="exact"/>
        <w:rPr>
          <w:sz w:val="20"/>
          <w:szCs w:val="20"/>
          <w:color w:val="auto"/>
        </w:rPr>
      </w:pPr>
    </w:p>
    <w:p>
      <w:pPr>
        <w:ind w:left="460" w:right="180" w:firstLine="438"/>
        <w:spacing w:after="0" w:line="306" w:lineRule="auto"/>
        <w:rPr>
          <w:sz w:val="20"/>
          <w:szCs w:val="20"/>
          <w:color w:val="auto"/>
        </w:rPr>
      </w:pPr>
      <w:r>
        <w:rPr>
          <w:rFonts w:ascii="Arial" w:cs="Arial" w:eastAsia="Arial" w:hAnsi="Arial"/>
          <w:sz w:val="16"/>
          <w:szCs w:val="16"/>
          <w:u w:val="single" w:color="auto"/>
          <w:color w:val="auto"/>
        </w:rPr>
        <w:t>Administrative and other costs.</w:t>
      </w:r>
      <w:r>
        <w:rPr>
          <w:rFonts w:ascii="Arial" w:cs="Arial" w:eastAsia="Arial" w:hAnsi="Arial"/>
          <w:sz w:val="16"/>
          <w:szCs w:val="16"/>
          <w:color w:val="auto"/>
        </w:rPr>
        <w:t xml:space="preserve"> Administrative and other costs for the year ended December 31, 2009 was $26.3 million compared to $24.9 million for the 2008 period, an increase of 5.6% primarily due to increased personnel costs, including share based compensation expense, partially offset by a decrease in professional fees, travel and other costs due to various cost savings efforts implemented by management during the year.</w:t>
      </w:r>
    </w:p>
    <w:p>
      <w:pPr>
        <w:spacing w:after="0" w:line="26" w:lineRule="exact"/>
        <w:rPr>
          <w:sz w:val="20"/>
          <w:szCs w:val="20"/>
          <w:color w:val="auto"/>
        </w:rPr>
      </w:pPr>
    </w:p>
    <w:p>
      <w:pPr>
        <w:ind w:left="460" w:right="80" w:firstLine="438"/>
        <w:spacing w:after="0" w:line="256"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Depreciation and amortization expense increased 25.8% in 2009 compared to the 2008 period primarily as a result of increased depreciation on capital expenditures made to support the growth of our network, including network equipment installed in network affiliate theatres and amortization expense recognized on additional intangible assets associated with new founding member theatres added to our network in accordance with the Common Unit Adjustment Agreement.</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Net income generated for the year ended December 31, 2009 was $26.1 million compared to net income for January 1, 2009 of $1.0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related to lower net interest expense offset by a higher provision for income taxes, an increase in net income attributable to noncontrolling interests and a prior year impairment charge and charge for distributions to noncontrolling interests in excess of proportionate share of earnings. The decrease in net interest expense is primarily due to a $7.0 million non-cash credit for the year ended December 31, 2009 as compared to a $14.2 million non-cash charge for the year ended January 1, 2009 in interest expense related to the change in fair value of our interest rate hedge of our senior secured credit facility due to the bankruptcy of Lehman as discussed in Note 11 to the consolidated financial statements included elsewhere in this document, as well as lower market interest rates on the unhedged portion of our debt. For the year ended January 1, 2009, we had an $11.5 million non-operating impairment charge which related to our investment in a start-up advertising company as discussed in Note 14 to the consolidated financial statements included elsewhere in this document. The increase in income taxes is due to higher pre-tax income and an increase in the effective state income tax rate. The increase in the net amount attributable to noncontrolling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interest is primarily due to the higher amount of income allocable to the noncontrolling interests in fiscal 2008, caused by the items discussed above including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impact of additional common membership units issued in 2009 and by distributions to noncontrolling interest in excess of proportionate share of earnings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$14.9 million recorded for the year ended January 1, 2009 as discussed in Note 10 to the consolidated financial statements included elsewhere in this document.</w:t>
      </w:r>
    </w:p>
    <w:p>
      <w:pPr>
        <w:spacing w:after="0" w:line="26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Known Trends and Uncertainties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current macro-economic environment, and continued late breaking national television scatter advertising market in general, present uncertainties that could impact our results of operations, including the timing and amount of spending from our advertising clients and collections of accounts receivable. However, we are cautiously optimistic that the impact to our business associated with these issues will not be significant due to factors including the growth in our advertising client base, the effectiveness of cinema advertising relative to other advertising mediums, and the effectiveness and increasing scale of our national network and the related increase in salable advertising impressions and Fathom live broadcast locations. As noted previously, in the fourth quarter of 2009 and during 2010, we added several new affiliate theatres to our national network including: Galaxy Theatres, LLC; Storyteller Theatres Corporation; Starplex Cinemas; ShowBiz Cinemas; Metropolitan Theatres Corporation, LA Live Theatre, Great Escape Theatres and RC Theatres, and in mid-2011 we will add Consolidated Theatres and Rave Cinemas, LLC, and theatres operated by ShowPlex Cinemas, Inc. In total, these additions will add nearly 58 million new attendees on a full-year pro-forma basis, representing in excess of 550 million new salable advertising impressions. Our sales force either has integrated or will integrate these additional impressions into the advertising sales process during 2010 and 2011 and we expect that the yield on these attendees to be additive to our revenue, operating income and cash flow. We believe that the continued growth of our network will continue to strengthen our selling proposition and competitive positioning versus other national advertising platforms.</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Under the ESAs, up to 90 seconds of the </w:t>
      </w:r>
      <w:r>
        <w:rPr>
          <w:rFonts w:ascii="Arial" w:cs="Arial" w:eastAsia="Arial" w:hAnsi="Arial"/>
          <w:sz w:val="18"/>
          <w:szCs w:val="18"/>
          <w:i w:val="1"/>
          <w:iCs w:val="1"/>
          <w:color w:val="auto"/>
        </w:rPr>
        <w:t>FirstLook</w:t>
      </w:r>
      <w:r>
        <w:rPr>
          <w:rFonts w:ascii="Arial" w:cs="Arial" w:eastAsia="Arial" w:hAnsi="Arial"/>
          <w:sz w:val="18"/>
          <w:szCs w:val="18"/>
          <w:color w:val="auto"/>
        </w:rPr>
        <w:t xml:space="preserve"> program can be sold to our founding members to satisfy their on-screen advertising commitments under their beverage concessionaire agreements. During 2010 and in 2009, we sold 60 seconds to our founding members. We expect to continue to sell 60 seconds of time to the founding members in 2011 and for the foreseeable future.</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May 24, 2010, a subsidiary of AMC Entertainment completed the acquisition of Kerasotes Showplace Theatres, LLC. Certain Kerasotes theatres were later sold to Regal. These theatres and screens were included in our network since January 2008 under a network affiliate agreement with Kerasotes Showplace Theatres, LLC that terminated on May 24, 2010. These theatres and screens remain in our network and became part of our long-term ESA with AMC as of the acquisition date. On June 14, 2010, in accordance with the Common Unit Adjustment Agreement, NCM LLC issued to a subsidiary of AMC Entertainment membership units related to the extraordinary attendance increase created by the acquisition. The issuance of these units resulted in the Company recording an intangible asset at fair value representing the contractual rights associated with the exclusive access to the net new theatre screens and attendance associated with the acquisition. See Note 8 to the consolidated financial statements included elsewhere in this document. The addition of Kerasotes to AMC Entertainment and Regal did not increase our screen count or attendance as it represents a movement of the screens from a network affiliate revenue share structure to the ESA theatre access fee and beverage revenue structure, however, the term of the agreement on these screens is now lengthened from the two years remaining on the existing Kerasotes affiliate agreement to an approximate 27 year term remaining on the ESAs. We expect that the shift from the affiliate revenue share structure to the ESA structure will increase the margins associated with these screens as, after the Common Unit Adjustment, we expect our beverage revenue to increase and our affiliate expense to decrease, partially offset by increases in the theatre access fee and as a result our operating income should increase.</w:t>
      </w:r>
    </w:p>
    <w:p>
      <w:pPr>
        <w:spacing w:after="0" w:line="124"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We remain involved in discussions with the founding member circuits to explore a restructuring of the Fathom Events business relationship. The discussions are preliminary and we do not know how the existing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relationship might be changed or if it will be changed. Any change to the Fathom Events business relationship with the founding members will require approval of our Audit Committee and a majority of our independent directors in addition to any other required approvals by our board of directors.</w:t>
      </w:r>
    </w:p>
    <w:p>
      <w:pPr>
        <w:spacing w:after="0" w:line="8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During the third quarter of 2010, AMC and Regal completed an underwritten public offering of an aggregate 10,955,471 shares of the Company’s common stock. See Note 10 to the consolidated financial statements included elsewhere in this document. As a result, the Company recorded a net step-up in tax basis related to the investment in NCM LLC of $65.2 million. In addition, we expect the accretion of interest on the discounted payable to founding members to increase approximately $4 million in 2011. The Company’s increased ownership percentage in NCM LLC as a result of this redemption is expected to proportionally reduce net income attributable to noncontrolling interests and increase net income attributable to NCM, Inc.</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net income and earnings per share could fluctuate significantly with interest rate movements. For example, the change in derivative fair value included in our results of operations increased 176%, or $12.3 million, to a $5.3 million non-cash charge for the year ended December 30, 2010 compared to a $7.0 million non-cash credit for the year ended December 31, 2009 due to fluctuations in market interest rates. We believe these fluctuations are reasonably likely to continue. See “Quantitative and Qualitative Disclosures About Market Risk” and Note 16 included elsewhere in this document.</w:t>
      </w:r>
    </w:p>
    <w:p>
      <w:pPr>
        <w:spacing w:after="0" w:line="11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effective tax rate for the years ended December 30, 2010, December 31, 2009 and January 1, 2009 was 36.7%, 37.6% and 46.1%, respectively. During fiscal 2008 our effective tax rate included the effect of a valuation allowance. Our tax rate is affected by recurring items and the relative amount of income that NCM, Inc. earns in various state and local jurisdictions, which we expect to be fairly consistent in the near term. It is also affected by discrete items that may occur in any given year, but are not consistent from year to year. Refer to Note 8 for additional details on our effective tax rate.</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Financial Condition and Liquidity</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Liquidity and Capital Resources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of December 30, 2010, our cash, cash equivalents and short-term investments balance was $82.9 million, a decrease of $8.2 million compared to the balance of $91.1 million as of December 31, 2009. In addition, we had access to $30.0 million on our revolver as of December 30, 2010 for a total liquidity position of $112.9 million. This increase in net cash balances relates primarily to a repayment of our revolving credit balance due to the restructuring of the Lehman portion of the revolving credit balance as discussed further in Note 11 to the consolidated financial statements contained elsewhere in this document. Our net debt balances (debt balance net of cash, cash equivalents and short-term investment balance) decreased $18.9 million compared to the balance at December 31, 2009.</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generated and used cash as follows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rPr>
              <w:t>Year Ended</w:t>
            </w: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Year Ended</w:t>
            </w:r>
          </w:p>
        </w:tc>
      </w:tr>
      <w:tr>
        <w:trPr>
          <w:trHeight w:val="161"/>
        </w:trPr>
        <w:tc>
          <w:tcPr>
            <w:tcW w:w="646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Dec. 30, 2010</w:t>
            </w:r>
          </w:p>
        </w:tc>
        <w:tc>
          <w:tcPr>
            <w:tcW w:w="84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Dec. 31, 2009</w:t>
            </w:r>
          </w:p>
        </w:tc>
        <w:tc>
          <w:tcPr>
            <w:tcW w:w="840" w:type="dxa"/>
            <w:vAlign w:val="bottom"/>
          </w:tcPr>
          <w:p>
            <w:pPr>
              <w:spacing w:after="0"/>
              <w:rPr>
                <w:sz w:val="14"/>
                <w:szCs w:val="14"/>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Jan. 1, 2009</w:t>
            </w:r>
          </w:p>
        </w:tc>
        <w:tc>
          <w:tcPr>
            <w:tcW w:w="100" w:type="dxa"/>
            <w:vAlign w:val="bottom"/>
          </w:tcPr>
          <w:p>
            <w:pPr>
              <w:spacing w:after="0"/>
              <w:rPr>
                <w:sz w:val="14"/>
                <w:szCs w:val="14"/>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143.7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138.3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w:t>
            </w: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Investing cash flow</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Financing cash flow</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(144.8)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(106.0)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(68.6)</w:t>
            </w:r>
          </w:p>
        </w:tc>
      </w:tr>
    </w:tbl>
    <w:p>
      <w:pPr>
        <w:spacing w:after="0" w:line="73" w:lineRule="exact"/>
        <w:rPr>
          <w:sz w:val="20"/>
          <w:szCs w:val="20"/>
          <w:color w:val="auto"/>
        </w:rPr>
      </w:pPr>
    </w:p>
    <w:p>
      <w:pPr>
        <w:ind w:left="900" w:right="180" w:hanging="325"/>
        <w:spacing w:after="0" w:line="256"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The increase in cash provided by operating activities for the year ended December 30, 2010 versus the 2009 period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the timing of normal operating expenses. The increase in cash provided by operating activities for the year ended December 31, 2009 versus the 2008 period was primarily due to higher revenue levels and changes in the timing of the collection of accounts receivable balances and the timing of payments for normal operating expenditures.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325"/>
        <w:spacing w:after="0" w:line="294"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The increase in cash used for investing activities for year ended December 30, 2010 compared to the 2009 period was primarily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due to the net cash used to purchase short-term investments consistent with our investment policy and increased capital expenditures offset by the proceeds from the sale of fixed assets to one of our founding members. The increase in cash used for investing activities for the year ended December 31, 2009 versus the 2008 period was primarily due to a decrease in the sale of short term investments offset by lower levels of capital expenditures. The 2008 period included amounts for the purchase of equipment and related installation for certain network affiliate theatres.</w:t>
      </w:r>
    </w:p>
    <w:p>
      <w:pPr>
        <w:spacing w:after="0" w:line="34" w:lineRule="exact"/>
        <w:rPr>
          <w:rFonts w:ascii="Arial" w:cs="Arial" w:eastAsia="Arial" w:hAnsi="Arial"/>
          <w:sz w:val="16"/>
          <w:szCs w:val="16"/>
          <w:color w:val="auto"/>
        </w:rPr>
      </w:pPr>
    </w:p>
    <w:p>
      <w:pPr>
        <w:ind w:left="900" w:right="60" w:hanging="325"/>
        <w:spacing w:after="0" w:line="289"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The increase in cash used for financing activities for the year ended December 30, 2010 versus the 2009 period was due to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in repayments on borrowings on our revolving credit agreement, due to the restructuring of the revolving credit agreement as discussed in Note 11 to the consolidated financial statements. In 2011 we expect to treat the revolving credit facility in a customary manner with regular borrowings and repayments as determined by our operating needs. In addition, in 2010 we distributed additional available cash distributions to our founding members as well as additional cash disbursements for dividends to our stockholders as compared to 2009, which were offset by net proceeds from share-based compensation activities in 2010. The increase in cash used for financing activities for the year ended December 31, 2009 versus the 2008 period was primarily due to lower net proceeds from borrowings and higher available cash distributions to our founding members as defined in the operating agreement.</w:t>
      </w:r>
    </w:p>
    <w:p>
      <w:pPr>
        <w:spacing w:after="0" w:line="11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cash balances will fluctuate due to the timing of collections of accounts receivable balances and operating expenditure payments, as well as available cash payments (as defined) in the NCM LLC operating agreement to NCM LLC’s founding members, interest payments on our term loan and principal payments on debt, income tax payments, tax sharing payments to our founding members and quarterly dividends to NCM, Inc’s common stockholders.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Sources of capital and capital requirements. </w:t>
      </w:r>
      <w:r>
        <w:rPr>
          <w:rFonts w:ascii="Arial" w:cs="Arial" w:eastAsia="Arial" w:hAnsi="Arial"/>
          <w:sz w:val="16"/>
          <w:szCs w:val="16"/>
          <w:color w:val="auto"/>
        </w:rPr>
        <w:t>NCM, Inc.’s primary source of liquidity and capital resources is available cash distributions from NCM LLC.</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NCM LLC’s primary sources of liquidity and capital resources are its operating activities and availability under its senior secured revolving credit facility.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Management believes that future funds generated from NCM LLC’s operations and cash on hand should be sufficient to fund working capital requirements,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NCM LLC’s debt service requirements, and capital expenditure and other investing requirements, through the next 12 months. Cash flows generated by NCM</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LLC’s distributions to NCM, Inc. and the founding members can be impacted by the seasonality experienced in advertising revenues and to a lesser extent theatre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attendance. NCM LLC is required pursuant to the terms of its operating agreement to distribute its available cash, as defined in the operating agreement, to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members (the founding members and NCM, Inc.). The available cash distribution to the members of NCM LLC for the year ended December 30, 2010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$156.1 million, of which $71.0 million was distributed to NCM, Inc. NCM, Inc. will use cash received from the available cash distributions to fund income taxes,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payments associated with the tax sharing agreement with the founding members and current and future dividends as declared by the board of directors, including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 dividend declared in January 2011 of $0.20 per share (approximately $10.9 million) which will be paid on March 24, 2011. The Company expects the available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distributions to NCM, Inc. to increase proportionally with the increase in its ownership percentage in NCM LLC due to the redemption of units by two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NCM LLC’s founding members in the third quarter of 2010. See Note 10 to the consolidated financial statements included elsewhere in this document.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Distributions from NCM LLC and NCM, Inc. cash balances should be sufficient to fund NCM, Inc.’s tax sharing payments to the founding member circuits,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taxes and its regular dividend for the next 12 months at the discretion of the Board of Directors dependent on anticipated cash needs, overall financial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condition, future prospects for earnings, available cash and cash flows as well as other relevant factors.</w:t>
      </w:r>
    </w:p>
    <w:p>
      <w:pPr>
        <w:spacing w:after="0" w:line="165"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Capital expenditures of NCM LLC have typically been related to digital content system and “back-office” capitalized software</w:t>
      </w:r>
      <w:r>
        <w:rPr>
          <w:rFonts w:ascii="Arial" w:cs="Arial" w:eastAsia="Arial" w:hAnsi="Arial"/>
          <w:sz w:val="18"/>
          <w:szCs w:val="18"/>
          <w:i w:val="1"/>
          <w:iCs w:val="1"/>
          <w:color w:val="auto"/>
        </w:rPr>
        <w:t xml:space="preserve"> </w:t>
      </w:r>
      <w:r>
        <w:rPr>
          <w:rFonts w:ascii="Arial" w:cs="Arial" w:eastAsia="Arial" w:hAnsi="Arial"/>
          <w:sz w:val="18"/>
          <w:szCs w:val="18"/>
          <w:color w:val="auto"/>
        </w:rPr>
        <w:t>upgrades developed primarily by our programmers, equipment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required for our NOC and content production and post-production facilities, office leasehold improvements, desktop equipment for use by our employees, and in certain cases, the costs necessary to digitize all or a portion of a network affiliate’s theatres when they are added to our network. Capital expenditures for the year ended December 30, 2010 were $10.4 million (including $3.3 million associated with network affiliate additions) compared to $8.6 million (including $0.5 million associated with network affiliate additions) for the 2009 period. The capital expenditures have typically been satisfied through cash flow from operations. All capital expenditures related to the DCN within NCM LLC’s founding members’ theatres have been made by the founding members under the ESAs. We expect they will continue to be made by the founding members in accordance with the ESAs.</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to make approximately $10.0 million to $12.0 million of capital expenditures in fiscal 2011, primarily for upgrades to our digital content system, distribution software and our internal management systems, including our advertising inventory optimization, management and reporting systems, our internet site and network equipment related to currently contracted network affiliate theatres. We expect these upgrades and improvements to our management reporting systems, which are intended to provide additional advertising scheduling and placement flexibility for our clients, should enhance our operating efficiencies, including allowing us to better manage our advertising inventory, and prepare us for continued growth. Our capital expenditures may be increased should we decide to add any additional network affiliates to our network. We expect that additional expenditures, if any, would be funded in part by additional cash flows associated with those new network affiliates. The commitments associated with our operating lease requirements are included in “Contractual and Other Obligations” below. We also expect 2011 depreciation and amortization to increase over 2010 due to the addition of the future common unit adjustment intangible assets.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Senior secured credit facility. </w:t>
      </w:r>
      <w:r>
        <w:rPr>
          <w:rFonts w:ascii="Arial" w:cs="Arial" w:eastAsia="Arial" w:hAnsi="Arial"/>
          <w:sz w:val="16"/>
          <w:szCs w:val="16"/>
          <w:color w:val="auto"/>
        </w:rPr>
        <w:t>On February 13, 2007, concurrently with the closing of the IPO of NCM, Inc., NCM LLC entered into a senior secured credit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facility with a group of lenders. The facility consists of a six-year $80.0 million revolving credit facility and an eight-year, $725.0 million term loan facility.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proceeds of the term loan were used, together with $59.8 million of proceeds from the offering, to redeem all the preferred common membership units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NCM LLC for an aggregate price of $769.5 million. The term loan will be due on the eighth anniversary of the funding. The revolving credit facility portion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available, subject to certain conditions, for general corporate purposes of the Company in the ordinary course of business and for other transactions permitted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under the credit agreement, and a portion is available for letters of credit. The obligations under the credit facility are secured by a lien on substantially all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of NCM LLC. The outstanding balance of the term loan facility at December 30, 2010 was $725.0 million. The outstanding balance under the revolving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facility at December 30, 2010 was $50.0 million. As of December 30, 2010, the effective rate on the term loan was 5.61% including the effect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rate swaps (both those accounted for as hedges and those not). The interest rate swaps hedged $550.0 million of the $725.0 million term loan at a fixed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rate of 6.734% while the unhedged portion was at an interest rate of 2.06%. The weighted-average interest rate on the unhedged revolver was 2.01%.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Commencing with the fourth fiscal quarter in fiscal year 2008, the applicable margin for the revolving credit facility is determined quarterly and is subject to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adjustment based upon a consolidated net senior secured leverage ratio for NCM LLC and its subsidiaries (the ratio of secured funded debt less unrestricted cash</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cash equivalents, over a non-GAAP measure defined in the credit agreement which is equivalent to Adjusted OIBDA). The senior secured credit facility also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contains a number of covenants and financial ratio requirements, with which the Company was in compliance at December 30, 2010, including the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senior secured leverage ratio of 6.75 times in 2010. There are no distribution restrictions as long as the Company is in compliance with its debt covenants.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December 30, 2010, its consolidated net senior secured leverage ratio was 3.5 times the covenant. The debt covenants also require 50% of the term loan,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$362.5 million to be hedged at a fixed rate. As of December 30, 2010, the Company had approximately 76% hedged. Of the $550.0 million that is hedged, $137.5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was with Lehman Brothers Special Financing (“LBSF”), a subsidiary of Lehman. On February 8, 2010 NCM LLC entered into a Novation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with LBSF and Barclays pursuant to which Barclays took on all the obligations of LBSF with regard to these hedging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arrangements, as further described in Note 16 to the consolidated financial statements included elsewhere in this document. The Company expects to remain in compliance with its covenants and financial ratio requirements as set forth in its credit facility for 2011 based on its budgets.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90" w:lineRule="exact"/>
        <w:rPr>
          <w:sz w:val="20"/>
          <w:szCs w:val="20"/>
          <w:color w:val="auto"/>
        </w:rPr>
      </w:pPr>
    </w:p>
    <w:p>
      <w:pPr>
        <w:jc w:val="both"/>
        <w:ind w:right="320" w:firstLine="456"/>
        <w:spacing w:after="0" w:line="291" w:lineRule="auto"/>
        <w:rPr>
          <w:sz w:val="20"/>
          <w:szCs w:val="20"/>
          <w:color w:val="auto"/>
        </w:rPr>
      </w:pPr>
      <w:r>
        <w:rPr>
          <w:rFonts w:ascii="Arial" w:cs="Arial" w:eastAsia="Arial" w:hAnsi="Arial"/>
          <w:sz w:val="16"/>
          <w:szCs w:val="16"/>
          <w:color w:val="auto"/>
        </w:rPr>
        <w:t>The significant accounting policies of NCM LLC are described in Note 2 of the financial statements. Certain accounting policies involve significant judgments, assumptions and estimates by management that have a material impact on the carrying value of certain assets and liabilities, which management considers critical accounting policies. The judgments, assumptions and estimates used by management are based on historical experience, knowledge of the accounts and other factors, which are believed to be reasonable under the circumstances and are evaluated on an ongoing basis. Because of the nature of the judgments and assumptions made by management, actual results could differ from these judgments and estimates, which could have a material impact on the carrying values of assets and liabilities and the results of operations of NCM LLC.</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Allowance for doubtful accounts</w:t>
      </w:r>
      <w:r>
        <w:rPr>
          <w:rFonts w:ascii="Arial" w:cs="Arial" w:eastAsia="Arial" w:hAnsi="Arial"/>
          <w:sz w:val="16"/>
          <w:szCs w:val="16"/>
          <w:color w:val="auto"/>
        </w:rPr>
        <w:t>. The allowance for doubtful accounts represents management’s estimate of probable credit losses inherent in its trade</w:t>
      </w:r>
      <w:r>
        <w:rPr>
          <w:rFonts w:ascii="Arial" w:cs="Arial" w:eastAsia="Arial" w:hAnsi="Arial"/>
          <w:sz w:val="16"/>
          <w:szCs w:val="16"/>
          <w:i w:val="1"/>
          <w:iCs w:val="1"/>
          <w:color w:val="auto"/>
        </w:rPr>
        <w:t xml:space="preserve"> </w:t>
      </w:r>
      <w:r>
        <w:rPr>
          <w:rFonts w:ascii="Arial" w:cs="Arial" w:eastAsia="Arial" w:hAnsi="Arial"/>
          <w:sz w:val="16"/>
          <w:szCs w:val="16"/>
          <w:color w:val="auto"/>
        </w:rPr>
        <w:t>receivables, which represent a significant asset on the balance sheet. Estimating the amount of the allowance for doubtful accounts requires significant judgment and the use of estimates related to the amount and timing of estimated losses based on historical loss experience, consideration of current economic trends and conditions and debtor-specific factors, all of which may be susceptible to significant change. Account receivable balances are charged against the allowance, while recoveries of amounts previously charged are credited to the allowance. A provision for bad debt is charged to operations based on management’s periodic evaluation of the factors previously mentioned, as well as other pertinent factors. To the extent actual outcomes differ from management estimates, additional provision for bad debt could be required that could adversely affect earnings or financial position in future periods.</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i w:val="1"/>
          <w:iCs w:val="1"/>
          <w:color w:val="auto"/>
        </w:rPr>
        <w:t>Share-based compensation</w:t>
      </w:r>
      <w:r>
        <w:rPr>
          <w:rFonts w:ascii="Arial" w:cs="Arial" w:eastAsia="Arial" w:hAnsi="Arial"/>
          <w:sz w:val="16"/>
          <w:szCs w:val="16"/>
          <w:color w:val="auto"/>
        </w:rPr>
        <w:t>. The Company’s Equity Incentive Plan is treated as an equity plan under the provisions of ASC 718</w:t>
      </w:r>
      <w:r>
        <w:rPr>
          <w:rFonts w:ascii="Arial" w:cs="Arial" w:eastAsia="Arial" w:hAnsi="Arial"/>
          <w:sz w:val="16"/>
          <w:szCs w:val="16"/>
          <w:i w:val="1"/>
          <w:iCs w:val="1"/>
          <w:color w:val="auto"/>
        </w:rPr>
        <w:t xml:space="preserve"> Compensation—Stock Compensation</w:t>
      </w:r>
      <w:r>
        <w:rPr>
          <w:rFonts w:ascii="Arial" w:cs="Arial" w:eastAsia="Arial" w:hAnsi="Arial"/>
          <w:sz w:val="16"/>
          <w:szCs w:val="16"/>
          <w:color w:val="auto"/>
        </w:rPr>
        <w:t>, and the determination of fair value of options for accounting purposes requires that management make complex estimates and judgments. We</w:t>
      </w:r>
      <w:r>
        <w:rPr>
          <w:rFonts w:ascii="Arial" w:cs="Arial" w:eastAsia="Arial" w:hAnsi="Arial"/>
          <w:sz w:val="16"/>
          <w:szCs w:val="16"/>
          <w:i w:val="1"/>
          <w:iCs w:val="1"/>
          <w:color w:val="auto"/>
        </w:rPr>
        <w:t xml:space="preserve"> </w:t>
      </w:r>
      <w:r>
        <w:rPr>
          <w:rFonts w:ascii="Arial" w:cs="Arial" w:eastAsia="Arial" w:hAnsi="Arial"/>
          <w:sz w:val="16"/>
          <w:szCs w:val="16"/>
          <w:color w:val="auto"/>
        </w:rPr>
        <w:t>utilize the Black-Scholes option pricing model to estimate the fair value of our options. This model requires that the Company make estimates of various factors used. The following assumptions were used in the valuation of the options:</w:t>
      </w:r>
    </w:p>
    <w:p>
      <w:pPr>
        <w:spacing w:after="0" w:line="32" w:lineRule="exact"/>
        <w:rPr>
          <w:sz w:val="20"/>
          <w:szCs w:val="20"/>
          <w:color w:val="auto"/>
        </w:rPr>
      </w:pPr>
    </w:p>
    <w:p>
      <w:pPr>
        <w:ind w:left="900" w:hanging="325"/>
        <w:spacing w:after="0" w:line="256"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Expected life of options—The expected life of the options is determined by using the average of the vesting and contractual terms of the options (the “simplified method” as described in SEC Staff Accounting Bulletin 110). Due to the short length of time over which our options have been outstanding, the Company has not developed a historical option exercise experience and has determined that the simplified method is a reasonable basis to estimate the expected life of the options.</w:t>
      </w:r>
    </w:p>
    <w:p>
      <w:pPr>
        <w:spacing w:after="0" w:line="62"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Risk free interest rate—The risk-free interest rate is determined by using the applicable Treasury rates as of the grant dates, commensurate with the expected terms of the options.</w:t>
      </w:r>
    </w:p>
    <w:p>
      <w:pPr>
        <w:spacing w:after="0" w:line="50" w:lineRule="exact"/>
        <w:rPr>
          <w:rFonts w:ascii="Arial" w:cs="Arial" w:eastAsia="Arial" w:hAnsi="Arial"/>
          <w:sz w:val="18"/>
          <w:szCs w:val="18"/>
          <w:color w:val="auto"/>
        </w:rPr>
      </w:pPr>
    </w:p>
    <w:p>
      <w:pPr>
        <w:jc w:val="both"/>
        <w:ind w:left="900" w:right="260" w:hanging="325"/>
        <w:spacing w:after="0" w:line="306"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Expected volatility—NCM closed its IPO on February 13, 2007. Since the length of time our shares have been publicly traded is shorter than the contractual terms of our options, we believe historical volatility may not be completely representative of future stock price trends. As a result, we estimate expected volatility based on comparable companies and industry indexes as well as on our historical volatility for stock price volatility.</w:t>
      </w:r>
    </w:p>
    <w:p>
      <w:pPr>
        <w:spacing w:after="0" w:line="25"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Dividend yield—The estimated dividend yield was determined using management’s expectations based on estimated cash flow characteristics and expected long-term dividend policy.</w:t>
      </w:r>
    </w:p>
    <w:p>
      <w:pPr>
        <w:spacing w:after="0" w:line="132"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We account for income taxes in accordance with ASC 740—</w:t>
      </w:r>
      <w:r>
        <w:rPr>
          <w:rFonts w:ascii="Arial" w:cs="Arial" w:eastAsia="Arial" w:hAnsi="Arial"/>
          <w:sz w:val="16"/>
          <w:szCs w:val="16"/>
          <w:i w:val="1"/>
          <w:iCs w:val="1"/>
          <w:color w:val="auto"/>
        </w:rPr>
        <w:t>Income Taxes</w:t>
      </w:r>
      <w:r>
        <w:rPr>
          <w:rFonts w:ascii="Arial" w:cs="Arial" w:eastAsia="Arial" w:hAnsi="Arial"/>
          <w:sz w:val="16"/>
          <w:szCs w:val="16"/>
          <w:color w:val="auto"/>
        </w:rPr>
        <w:t>, which requires an asset and liability approach to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and reporting for income taxes. Accordingly, deferred tax assets and liabilities arise from the differences between the tax basis of an asset or liability and its reported amount in the consolidated financial statements. Deferred tax amounts are determined using the tax rates</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60"/>
          </w:cols>
          <w:pgMar w:left="240" w:top="459" w:right="2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expected to be in effect when the taxes will actually be paid or refunds received, as provided under currently enacted tax law. Valuation allowances are to be established when necessary to reduce deferred tax assets to the amount expected to be realized. We currently have a $1.7 million valuation allowance against certain of our deferred tax assets as we believe it is more likely than not that we will not realize such assets in future periods as we do not expect offsetting capital gains. In addition, due to the basis differences resulting from our IPO date transactions and subsequent adjustments pursuant to the Common Unit Adjustment Agreement, and entry into the tax receivable agreement with our founding members, we are required to make cash payments to the founding members in amounts equal to 90% of our actual tax benefit realized from the tax amortization of the basis difference for certain deferred assets noted above. The requirements of the tax receivable agreement, as amended, are highly technical and complex and involve management’s judgment, including judgments to determine hypothetical tax outcomes exclusive of the IPO date transaction and agreements. If we were to fail to meet certain of the requirements of the tax receivable agreement, we could be subject to additional payments to taxing authorities or to our founding members.</w:t>
      </w:r>
    </w:p>
    <w:p>
      <w:pPr>
        <w:spacing w:after="0" w:line="12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In addition, we are subject to the examination of our income tax returns by the Internal Revenue Service and other tax authorities. We are subject to examination by tax authorities for years beginning with 2007.</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For a discussion of the recent accounting pronouncements relevant to our business operations, see the information provided under Note 4 to the consolidated financial statements included elsewhere in this document.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90" w:lineRule="exact"/>
        <w:rPr>
          <w:sz w:val="20"/>
          <w:szCs w:val="20"/>
          <w:color w:val="auto"/>
        </w:rPr>
      </w:pPr>
    </w:p>
    <w:p>
      <w:pPr>
        <w:jc w:val="both"/>
        <w:ind w:right="180" w:firstLine="456"/>
        <w:spacing w:after="0" w:line="268" w:lineRule="auto"/>
        <w:rPr>
          <w:sz w:val="20"/>
          <w:szCs w:val="20"/>
          <w:color w:val="auto"/>
        </w:rPr>
      </w:pPr>
      <w:r>
        <w:rPr>
          <w:rFonts w:ascii="Arial" w:cs="Arial" w:eastAsia="Arial" w:hAnsi="Arial"/>
          <w:sz w:val="18"/>
          <w:szCs w:val="18"/>
          <w:color w:val="auto"/>
        </w:rPr>
        <w:t>For a discussion of the related-party transactions, see the information provided under Note 10 to the consolidated financial statements included elsewhere in this document.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Our operating lease obligations, which primarily include office leases, are not reflected on our balance sheet. See “—Contractual and Other Obligations” for further detail. We do not believe these arrangements are material to our current or future financial condition, results of operations, liquidity, capital resources or capital expenditures.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Contractual and Other Obligations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contractual obligations at December 30, 2010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7"/>
              </w:rPr>
              <w:t>Payments Due by Period</w:t>
            </w:r>
          </w:p>
        </w:tc>
        <w:tc>
          <w:tcPr>
            <w:tcW w:w="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5"/>
              </w:rPr>
              <w:t>less than 1</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more than 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year</w:t>
            </w: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1-3 years</w:t>
            </w:r>
          </w:p>
        </w:tc>
        <w:tc>
          <w:tcPr>
            <w:tcW w:w="50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2"/>
              </w:rPr>
              <w:t>3-5 years</w:t>
            </w: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776.2</w:t>
            </w:r>
          </w:p>
        </w:tc>
        <w:tc>
          <w:tcPr>
            <w:tcW w:w="60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$ 725.0</w:t>
            </w:r>
          </w:p>
        </w:tc>
        <w:tc>
          <w:tcPr>
            <w:tcW w:w="6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Future interest on borrowings (2)</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181.8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41.7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134.7</w:t>
            </w:r>
          </w:p>
        </w:tc>
        <w:tc>
          <w:tcPr>
            <w:tcW w:w="5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leases</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Network affiliate agreements (3)</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w:t>
            </w:r>
          </w:p>
        </w:tc>
        <w:tc>
          <w:tcPr>
            <w:tcW w:w="5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Payable to founding members under tax sharing agreement (4)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contractual cash obligations</w:t>
            </w: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1,185.4</w:t>
            </w:r>
          </w:p>
        </w:tc>
        <w:tc>
          <w:tcPr>
            <w:tcW w:w="600" w:type="dxa"/>
            <w:vAlign w:val="bottom"/>
            <w:gridSpan w:val="2"/>
          </w:tcPr>
          <w:p>
            <w:pPr>
              <w:ind w:left="480"/>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71.0</w:t>
            </w: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235.8</w:t>
            </w:r>
          </w:p>
        </w:tc>
        <w:tc>
          <w:tcPr>
            <w:tcW w:w="5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3"/>
              </w:rPr>
              <w:t>$ 777.1</w:t>
            </w:r>
          </w:p>
        </w:tc>
        <w:tc>
          <w:tcPr>
            <w:tcW w:w="6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5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80" w:hanging="452"/>
        <w:spacing w:after="0" w:line="268"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have an $80.0 million variable rate revolving credit facility of which $50.0 million was outstanding at December 30, 2010. Debt service requirements under this agreement depend on the amounts borrowed and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540"/>
        <w:spacing w:after="0" w:line="268" w:lineRule="auto"/>
        <w:rPr>
          <w:sz w:val="20"/>
          <w:szCs w:val="20"/>
          <w:color w:val="auto"/>
        </w:rPr>
      </w:pPr>
      <w:r>
        <w:rPr>
          <w:rFonts w:ascii="Arial" w:cs="Arial" w:eastAsia="Arial" w:hAnsi="Arial"/>
          <w:sz w:val="18"/>
          <w:szCs w:val="18"/>
          <w:color w:val="auto"/>
        </w:rPr>
        <w:t>the level of the base interest rate, in addition to a commitment fee on the unused portion of the revolving credit facility. See further discussion of the secured credit facility under “—Financial Condition and Liquidity-Financings” above.</w:t>
      </w:r>
    </w:p>
    <w:p>
      <w:pPr>
        <w:spacing w:after="0" w:line="51" w:lineRule="exact"/>
        <w:rPr>
          <w:sz w:val="20"/>
          <w:szCs w:val="20"/>
          <w:color w:val="auto"/>
        </w:rPr>
      </w:pPr>
    </w:p>
    <w:p>
      <w:pPr>
        <w:ind w:left="460" w:right="140" w:hanging="452"/>
        <w:spacing w:after="0" w:line="290"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amounts of future interest payments in the table above are based on the amount outstanding on the term loan, estimated rates of interest over the term of the variable rate portion and the rates in effect on our interest rate swaps. The terms of the senior secured credit facility required us to hedge the cash flow variability of interest for at least 50% of the term loan. In March of 2007, NCM LLC entered into fixed interest rate swap arrangements hedging $550.0 million ($137.5 million of which was with Lehman and in February 2010 was transferred to Barclays) of the $725.0 million senior secured credit facility at a fixed interest rate of 6.734%. In addition, we have a variable rate revolving credit facility. Debt service requirements under this agreement depend on the amounts borrowed and the level of the base interest rate, in addition to a commitment fee on the unused portion of the revolving credit facility. See further discussion of the secured credit facility under “—Financial Condition and Liquidity-Financings” above.</w:t>
      </w:r>
    </w:p>
    <w:p>
      <w:pPr>
        <w:spacing w:after="0" w:line="37" w:lineRule="exact"/>
        <w:rPr>
          <w:rFonts w:ascii="Arial" w:cs="Arial" w:eastAsia="Arial" w:hAnsi="Arial"/>
          <w:sz w:val="16"/>
          <w:szCs w:val="16"/>
          <w:color w:val="auto"/>
        </w:rPr>
      </w:pPr>
    </w:p>
    <w:p>
      <w:pPr>
        <w:jc w:val="both"/>
        <w:ind w:left="460" w:right="320" w:hanging="452"/>
        <w:spacing w:after="0" w:line="306"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value in this table represents the maximum potential payout under the revenue guarantees made by NCM LLC to its network affiliates. No revenue guarantee amounts have ever been paid under these agreements and no liabilities were recorded as of December 30, 2010. For additional details see the information provided under Note 14 to the consolidated financial statements included elsewhere in this document.</w:t>
      </w:r>
    </w:p>
    <w:p>
      <w:pPr>
        <w:spacing w:after="0" w:line="25" w:lineRule="exact"/>
        <w:rPr>
          <w:rFonts w:ascii="Arial" w:cs="Arial" w:eastAsia="Arial" w:hAnsi="Arial"/>
          <w:sz w:val="16"/>
          <w:szCs w:val="16"/>
          <w:color w:val="auto"/>
        </w:rPr>
      </w:pPr>
    </w:p>
    <w:p>
      <w:pPr>
        <w:ind w:left="460" w:right="100" w:hanging="452"/>
        <w:spacing w:after="0" w:line="25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tax receivable agreement entered into at the completion of our IPO provides for the payment by us to the founding members of 90% of the amount of cash savings, if any, in U.S. federal, state and local income tax or franchise tax that we actually realize as a result of certain increases in our proportionate share of tax basis in NCM LLC’s tangible and intangible assets. The payments to the founding members are based, in part, on actual annual income and as such, will vary based on our operating results. The value in the table represents the estimated amounts payable under the tax receivable agreement as of December 30, 2010.</w:t>
      </w:r>
    </w:p>
    <w:p>
      <w:pPr>
        <w:spacing w:after="0" w:line="143"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The amended and restated ESAs entered into at the completion of our IPO require payments based on a combination of founding member attendance and the number of digital screens of each founding member. The amount relating to the attendance factor will vary from quarter to quarter and year to year as theatre attendance varies while the amount relating to the screens factor will be more predictable but will also vary quarter to quarter and year to year as screens are converted to digital screens and other screens are added or removed through acquisition, divestiture or closure activities of the founding members. The payments made to founding members also will vary due to the escalation of the rates paid for each factor pursuant to the amended and restated ESAs. The table above does not include amounts payable under the amended and restated ESAs as they are based on variable factors, which are not capable of precise estimation.</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revenue and operating results are seasonal in nature, coinciding with the attendance patterns within the film exhibition industry as well as the timing of marketing expenditures by our advertising clients. Advertising expenditures tend to be higher during the second, third, and fourth fiscal quarters and are correlated to theatre attendance levels and new product releases and advertising client marketing priorities and cycles. The actual quarterly results for each quarter could differ materially depending on these factors or other risks and uncertainties. Based on our historical experience, our first quarter typically has less revenue than the other quarters of a given year due primarily to lower theatre industry attendance levels and lower advertising client demand. Accordingly, there can be no assurances that seasonal variations will not materially affect our results of operations in the future. The following table reflects the quarterly percentage of total revenue for the fiscal years ended 2009 and 2010.</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First</w:t>
            </w:r>
          </w:p>
        </w:tc>
        <w:tc>
          <w:tcPr>
            <w:tcW w:w="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2"/>
              </w:rPr>
              <w:t>Second</w:t>
            </w:r>
          </w:p>
        </w:tc>
        <w:tc>
          <w:tcPr>
            <w:tcW w:w="320" w:type="dxa"/>
            <w:vAlign w:val="bottom"/>
          </w:tcPr>
          <w:p>
            <w:pPr>
              <w:spacing w:after="0"/>
              <w:rPr>
                <w:sz w:val="14"/>
                <w:szCs w:val="14"/>
                <w:color w:val="auto"/>
              </w:rPr>
            </w:pPr>
          </w:p>
        </w:tc>
        <w:tc>
          <w:tcPr>
            <w:tcW w:w="126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Third</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Fourth</w:t>
            </w:r>
          </w:p>
        </w:tc>
      </w:tr>
      <w:tr>
        <w:trPr>
          <w:trHeight w:val="161"/>
        </w:trPr>
        <w:tc>
          <w:tcPr>
            <w:tcW w:w="2900" w:type="dxa"/>
            <w:vAlign w:val="bottom"/>
          </w:tcPr>
          <w:p>
            <w:pPr>
              <w:spacing w:after="0"/>
              <w:rPr>
                <w:sz w:val="14"/>
                <w:szCs w:val="14"/>
                <w:color w:val="auto"/>
              </w:rPr>
            </w:pPr>
          </w:p>
        </w:tc>
        <w:tc>
          <w:tcPr>
            <w:tcW w:w="43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Quarter</w:t>
            </w:r>
          </w:p>
        </w:tc>
        <w:tc>
          <w:tcPr>
            <w:tcW w:w="9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0"/>
              </w:rPr>
              <w:t>Quarter</w:t>
            </w:r>
          </w:p>
        </w:tc>
        <w:tc>
          <w:tcPr>
            <w:tcW w:w="158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rPr>
              <w:t>Quarter</w:t>
            </w: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Quarter</w:t>
            </w:r>
          </w:p>
        </w:tc>
      </w:tr>
      <w:tr>
        <w:trPr>
          <w:trHeight w:val="20"/>
        </w:trPr>
        <w:tc>
          <w:tcPr>
            <w:tcW w:w="29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FY 2009</w:t>
            </w:r>
          </w:p>
        </w:tc>
        <w:tc>
          <w:tcPr>
            <w:tcW w:w="3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19.3%</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24.4%</w:t>
            </w:r>
          </w:p>
        </w:tc>
        <w:tc>
          <w:tcPr>
            <w:tcW w:w="15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25.1%</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w:t>
            </w:r>
          </w:p>
        </w:tc>
      </w:tr>
      <w:tr>
        <w:trPr>
          <w:trHeight w:val="222"/>
        </w:trPr>
        <w:tc>
          <w:tcPr>
            <w:tcW w:w="2900" w:type="dxa"/>
            <w:vAlign w:val="bottom"/>
          </w:tcPr>
          <w:p>
            <w:pPr>
              <w:spacing w:after="0"/>
              <w:rPr>
                <w:sz w:val="20"/>
                <w:szCs w:val="20"/>
                <w:color w:val="auto"/>
              </w:rPr>
            </w:pPr>
            <w:r>
              <w:rPr>
                <w:rFonts w:ascii="Arial" w:cs="Arial" w:eastAsia="Arial" w:hAnsi="Arial"/>
                <w:sz w:val="18"/>
                <w:szCs w:val="18"/>
                <w:color w:val="auto"/>
              </w:rPr>
              <w:t>FY 2010</w:t>
            </w:r>
          </w:p>
        </w:tc>
        <w:tc>
          <w:tcPr>
            <w:tcW w:w="4380" w:type="dxa"/>
            <w:vAlign w:val="bottom"/>
            <w:gridSpan w:val="3"/>
          </w:tcPr>
          <w:p>
            <w:pPr>
              <w:jc w:val="right"/>
              <w:ind w:right="640"/>
              <w:spacing w:after="0"/>
              <w:rPr>
                <w:sz w:val="20"/>
                <w:szCs w:val="20"/>
                <w:color w:val="auto"/>
              </w:rPr>
            </w:pPr>
            <w:r>
              <w:rPr>
                <w:rFonts w:ascii="Arial" w:cs="Arial" w:eastAsia="Arial" w:hAnsi="Arial"/>
                <w:sz w:val="18"/>
                <w:szCs w:val="18"/>
                <w:color w:val="auto"/>
              </w:rPr>
              <w:t>19.8%</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23.2%</w:t>
            </w:r>
          </w:p>
        </w:tc>
        <w:tc>
          <w:tcPr>
            <w:tcW w:w="1580" w:type="dxa"/>
            <w:vAlign w:val="bottom"/>
            <w:gridSpan w:val="3"/>
          </w:tcPr>
          <w:p>
            <w:pPr>
              <w:jc w:val="right"/>
              <w:ind w:right="640"/>
              <w:spacing w:after="0"/>
              <w:rPr>
                <w:sz w:val="20"/>
                <w:szCs w:val="20"/>
                <w:color w:val="auto"/>
              </w:rPr>
            </w:pPr>
            <w:r>
              <w:rPr>
                <w:rFonts w:ascii="Arial" w:cs="Arial" w:eastAsia="Arial" w:hAnsi="Arial"/>
                <w:sz w:val="18"/>
                <w:szCs w:val="18"/>
                <w:color w:val="auto"/>
              </w:rPr>
              <w:t>29.4%</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27.6%</w:t>
            </w:r>
          </w:p>
        </w:tc>
      </w:tr>
      <w:tr>
        <w:trPr>
          <w:trHeight w:val="356"/>
        </w:trPr>
        <w:tc>
          <w:tcPr>
            <w:tcW w:w="2900" w:type="dxa"/>
            <w:vAlign w:val="bottom"/>
          </w:tcPr>
          <w:p>
            <w:pPr>
              <w:spacing w:after="0"/>
              <w:rPr>
                <w:sz w:val="24"/>
                <w:szCs w:val="24"/>
                <w:color w:val="auto"/>
              </w:rPr>
            </w:pPr>
          </w:p>
        </w:tc>
        <w:tc>
          <w:tcPr>
            <w:tcW w:w="3120" w:type="dxa"/>
            <w:vAlign w:val="bottom"/>
          </w:tcPr>
          <w:p>
            <w:pPr>
              <w:jc w:val="right"/>
              <w:ind w:right="599"/>
              <w:spacing w:after="0"/>
              <w:rPr>
                <w:sz w:val="20"/>
                <w:szCs w:val="20"/>
                <w:color w:val="auto"/>
              </w:rPr>
            </w:pPr>
            <w:r>
              <w:rPr>
                <w:rFonts w:ascii="Arial" w:cs="Arial" w:eastAsia="Arial" w:hAnsi="Arial"/>
                <w:sz w:val="18"/>
                <w:szCs w:val="18"/>
                <w:color w:val="auto"/>
              </w:rPr>
              <w:t>60</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primary market risk to which we are exposed is interest rate risk. We have entered into variable-to-fixed interest rate swap arrangements economically hedging $550.0 million of the $725.0 million term loan at a fixed interest rate of 6.734%. The current interest rates on that debt are lower than those implicit in the hedge, thus a 100 basis point fluctuation in market interest rates would have the effect of increasing or decreasing our cash interest expense by approximately $2.3 million for an annual period on a total of $225.0 million of unhedged debt (which includes $50.0 million outstanding on our revolver). Because each of our interest rate swaps was in a liability position at December 30, 2010, we are not currently exposed to counterparty risk related to the swaps.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Index to Financial Statements and Supplemental Information on page F-1.</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i w:val="1"/>
          <w:iCs w:val="1"/>
          <w:color w:val="auto"/>
        </w:rPr>
        <w:t xml:space="preserve">Effectiveness of Disclosure Controls and Procedures. </w:t>
      </w:r>
      <w:r>
        <w:rPr>
          <w:rFonts w:ascii="Arial" w:cs="Arial" w:eastAsia="Arial" w:hAnsi="Arial"/>
          <w:sz w:val="15"/>
          <w:szCs w:val="15"/>
          <w:color w:val="auto"/>
        </w:rPr>
        <w:t>We maintain disclosure controls and procedures that are designed to ensure that information required</w:t>
      </w:r>
      <w:r>
        <w:rPr>
          <w:rFonts w:ascii="Arial" w:cs="Arial" w:eastAsia="Arial" w:hAnsi="Arial"/>
          <w:sz w:val="15"/>
          <w:szCs w:val="15"/>
          <w:i w:val="1"/>
          <w:iCs w:val="1"/>
          <w:color w:val="auto"/>
        </w:rPr>
        <w:t xml:space="preserve"> </w:t>
      </w:r>
      <w:r>
        <w:rPr>
          <w:rFonts w:ascii="Arial" w:cs="Arial" w:eastAsia="Arial" w:hAnsi="Arial"/>
          <w:sz w:val="15"/>
          <w:szCs w:val="15"/>
          <w:color w:val="auto"/>
        </w:rPr>
        <w:t>to be disclosed by us in the reports that we file or submit to the SEC under the Exchange Act,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as appropriate to allow timely decisions regarding required disclosure. As of December 30, 2010, our management evaluated, with the participation of the Chief Executive Officer and Chief Financial Officer, the effectiveness of the Company’s disclosure controls and procedures pursuant to Rules 13a-15(e) and 15d-15(e) of the Exchange Act. Based on that evaluation, the Company’s management concluded that the Company’s disclosure controls and procedures as of December 30, 2010 were effective.</w:t>
      </w:r>
    </w:p>
    <w:p>
      <w:pPr>
        <w:spacing w:after="0" w:line="105"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i w:val="1"/>
          <w:iCs w:val="1"/>
          <w:color w:val="auto"/>
        </w:rPr>
        <w:t xml:space="preserve">Management’s Annual Report on Internal Control over Financial Reporting. </w:t>
      </w:r>
      <w:r>
        <w:rPr>
          <w:rFonts w:ascii="Arial" w:cs="Arial" w:eastAsia="Arial" w:hAnsi="Arial"/>
          <w:sz w:val="16"/>
          <w:szCs w:val="16"/>
          <w:color w:val="auto"/>
        </w:rPr>
        <w:t>Management is responsible for establishing and maintaining, and has</w:t>
      </w:r>
      <w:r>
        <w:rPr>
          <w:rFonts w:ascii="Arial" w:cs="Arial" w:eastAsia="Arial" w:hAnsi="Arial"/>
          <w:sz w:val="16"/>
          <w:szCs w:val="16"/>
          <w:i w:val="1"/>
          <w:iCs w:val="1"/>
          <w:color w:val="auto"/>
        </w:rPr>
        <w:t xml:space="preserve"> </w:t>
      </w:r>
      <w:r>
        <w:rPr>
          <w:rFonts w:ascii="Arial" w:cs="Arial" w:eastAsia="Arial" w:hAnsi="Arial"/>
          <w:sz w:val="16"/>
          <w:szCs w:val="16"/>
          <w:color w:val="auto"/>
        </w:rPr>
        <w:t>established and maintains, adequate internal control over financial reporting, as such term is defined in Exchange Act Rules 13a-15(f) and 15d-15(f). As of December 30, 2010, our management evaluated, with the participation of the Chief Executive Officer (principal executive officer) and Chief Financial Officer (principal financial and accounting officer), the effectiveness of the Company’s internal control over financial reporting based on the framework in Internal Control—Integrated Framework issued by the Committee of Sponsoring Organizations of the Treadway Commission. Based on that evaluation, the Company’s management concluded that the Company’s internal control over financial reporting as of December 30, 2010 was effective.</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December 30, 2010 has been attested by the Company’s registered public accounting firm, Deloitte &amp; Touche LLP, as stated in its report, which appears herein.</w:t>
      </w:r>
    </w:p>
    <w:p>
      <w:pPr>
        <w:spacing w:after="0" w:line="13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have been no changes in the Company’s internal controls over financial reporting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occurred during the quarter ended December 30, 2010, that have materially affected, or are reasonably likely to materially affect, the Company’s internal controls over financial reporting.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Centennial, Colorado</w:t>
      </w:r>
    </w:p>
    <w:p>
      <w:pPr>
        <w:spacing w:after="0" w:line="165"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 xml:space="preserve">We have audited the internal control over financial reporting of National CineMedia, Inc. and subsidiary (the “Company”) as of December 30, 2010,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1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30, 2010,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the Committee of Sponsoring Organizations of the Treadway Commission.</w:t>
      </w:r>
    </w:p>
    <w:p>
      <w:pPr>
        <w:spacing w:after="0" w:line="85"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as of and for the year ended December 30, 2010 of the Company and our report dated February 24, 2011 expressed an unqualified opinion on those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The information required by this item with respect to our directors is incorporated herein by reference from the Proxy Statement under the heading “Proposal 1 - Election of Directors.”</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information required by this item regarding our executive officers is set forth in Part I of this Annual Report on Form 10-K under the heading “Executive Officers of the Registrant.”</w:t>
      </w:r>
    </w:p>
    <w:p>
      <w:pPr>
        <w:spacing w:after="0" w:line="13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Information regarding compliance with Section 16(a) of the Exchange Act by our directors and executive officers and holders of ten percent of a registered class of our equity securities is incorporated in this item by reference from the Proxy Statement under the heading “Section 16(a) Beneficial Ownership Reporting Compliance.”</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Our Board adopted a Code of Business Conduct and Ethics that applies to all of our employees, including our board of directors, chief executive officer and chief financial officer. The Code of Business Conduct and Ethics sets forth the Company’s conflict of interest policy, records retention policy, insider trading policy and policies for protection of the Company’s property, business opportunities and proprietary information. Our Code of Business Conduct and Ethics is available free of charge on our website at </w:t>
      </w:r>
      <w:r>
        <w:rPr>
          <w:rFonts w:ascii="Arial" w:cs="Arial" w:eastAsia="Arial" w:hAnsi="Arial"/>
          <w:sz w:val="16"/>
          <w:szCs w:val="16"/>
          <w:i w:val="1"/>
          <w:iCs w:val="1"/>
          <w:color w:val="auto"/>
        </w:rPr>
        <w:t>ncm.com</w:t>
      </w:r>
      <w:r>
        <w:rPr>
          <w:rFonts w:ascii="Arial" w:cs="Arial" w:eastAsia="Arial" w:hAnsi="Arial"/>
          <w:sz w:val="16"/>
          <w:szCs w:val="16"/>
          <w:color w:val="auto"/>
        </w:rPr>
        <w:t xml:space="preserve"> under the tab “Investor Relations—Corporate Governance.” We intend to post on our website any amendments to, or waivers from our Code of Business Conduct and Ethics applicable to senior financial executives.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information required by this item regarding compensation of executive officers and directors is incorporated herein by reference from the Proxy Statement under the heading “Compensation of Executive Officers.”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Security Ownership of Certain Beneficial Owners and Management and Related Stockholder Matters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For information with respect to the security ownership of directors, executive officers and holders of more than 5% of a class of our voting securities, see the Proxy Statement under the heading “Beneficial Ownership,” which information is incorporated herein by reference.</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For equity incentive plan information, see the Proxy Statement under the heading “Equity Incentive Plan Information,” which information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Party Transactions, and Director Independence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information with respect to certain relationships and related transactions, see the Proxy Statement under the heading “Certain Relationships and Related Party Transactions,” which information is incorporated herein by reference.</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For information with respect to director independence, see the Proxy Statement under the heading “Proposal 1 - Election of Directors,” which information is incorporated herein by reference.</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information required by this item with respect to principal accounting fees and services is incorporated herein by reference from the Proxy Statement under the heading “Fees Paid to Independent Auditors.”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w:t>
      </w:r>
    </w:p>
    <w:p>
      <w:pPr>
        <w:spacing w:after="0" w:line="96" w:lineRule="exact"/>
        <w:rPr>
          <w:sz w:val="20"/>
          <w:szCs w:val="20"/>
          <w:color w:val="auto"/>
        </w:rPr>
      </w:pPr>
    </w:p>
    <w:p>
      <w:pPr>
        <w:ind w:left="920" w:right="5380" w:hanging="456"/>
        <w:spacing w:after="0" w:line="437" w:lineRule="auto"/>
        <w:tabs>
          <w:tab w:leader="none" w:pos="702" w:val="left"/>
        </w:tabs>
        <w:numPr>
          <w:ilvl w:val="0"/>
          <w:numId w:val="34"/>
        </w:numPr>
        <w:rPr>
          <w:rFonts w:ascii="Arial" w:cs="Arial" w:eastAsia="Arial" w:hAnsi="Arial"/>
          <w:sz w:val="16"/>
          <w:szCs w:val="16"/>
          <w:color w:val="auto"/>
        </w:rPr>
      </w:pPr>
      <w:r>
        <w:rPr>
          <w:rFonts w:ascii="Arial" w:cs="Arial" w:eastAsia="Arial" w:hAnsi="Arial"/>
          <w:sz w:val="16"/>
          <w:szCs w:val="16"/>
          <w:color w:val="auto"/>
        </w:rPr>
        <w:t>(1) and (a) (2) Financial statements and financial statement schedules See Index to Financial Statements on page F-1.</w:t>
      </w:r>
    </w:p>
    <w:p>
      <w:pPr>
        <w:spacing w:after="0" w:line="5" w:lineRule="exact"/>
        <w:rPr>
          <w:rFonts w:ascii="Arial" w:cs="Arial" w:eastAsia="Arial" w:hAnsi="Arial"/>
          <w:sz w:val="16"/>
          <w:szCs w:val="16"/>
          <w:color w:val="auto"/>
        </w:rPr>
      </w:pPr>
    </w:p>
    <w:p>
      <w:pPr>
        <w:ind w:left="720" w:hanging="256"/>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Exhibit Index, beginning on page 66.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Financial Statement Schedules</w:t>
      </w:r>
    </w:p>
    <w:p>
      <w:pPr>
        <w:spacing w:after="0" w:line="90"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Financial Statement Schedules not included herein have been omitted because they are either not required, not applicable, or the information is otherwise included herein.</w:t>
      </w:r>
    </w:p>
    <w:p>
      <w:pPr>
        <w:spacing w:after="0" w:line="11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60"/>
          </w:cols>
          <w:pgMar w:left="240" w:top="459" w:right="6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57" w:lineRule="exact"/>
        <w:rPr>
          <w:sz w:val="20"/>
          <w:szCs w:val="20"/>
          <w:color w:val="auto"/>
        </w:rPr>
      </w:pPr>
    </w:p>
    <w:p>
      <w:pPr>
        <w:spacing w:after="0"/>
        <w:tabs>
          <w:tab w:leader="none" w:pos="700" w:val="left"/>
          <w:tab w:leader="none" w:pos="7860" w:val="left"/>
          <w:tab w:leader="none" w:pos="8220" w:val="left"/>
        </w:tabs>
        <w:rPr>
          <w:sz w:val="20"/>
          <w:szCs w:val="20"/>
          <w:color w:val="auto"/>
        </w:rPr>
      </w:pPr>
      <w:r>
        <w:rPr>
          <w:rFonts w:ascii="Arial" w:cs="Arial" w:eastAsia="Arial" w:hAnsi="Arial"/>
          <w:sz w:val="18"/>
          <w:szCs w:val="18"/>
          <w:color w:val="auto"/>
        </w:rPr>
        <w:t>Dated:</w:t>
        <w:tab/>
        <w:t>February 25, 2011</w:t>
      </w:r>
      <w:r>
        <w:rPr>
          <w:sz w:val="20"/>
          <w:szCs w:val="20"/>
          <w:color w:val="auto"/>
        </w:rPr>
        <w:tab/>
      </w:r>
      <w:r>
        <w:rPr>
          <w:rFonts w:ascii="Arial" w:cs="Arial" w:eastAsia="Arial" w:hAnsi="Arial"/>
          <w:sz w:val="18"/>
          <w:szCs w:val="18"/>
          <w:color w:val="auto"/>
        </w:rPr>
        <w:t>/</w:t>
      </w:r>
      <w:r>
        <w:rPr>
          <w:rFonts w:ascii="Arial" w:cs="Arial" w:eastAsia="Arial" w:hAnsi="Arial"/>
          <w:sz w:val="29"/>
          <w:szCs w:val="29"/>
          <w:color w:val="auto"/>
          <w:vertAlign w:val="superscript"/>
        </w:rPr>
        <w:t>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K</w:t>
      </w:r>
      <w:r>
        <w:rPr>
          <w:rFonts w:ascii="Arial" w:cs="Arial" w:eastAsia="Arial" w:hAnsi="Arial"/>
          <w:sz w:val="24"/>
          <w:szCs w:val="24"/>
          <w:color w:val="auto"/>
          <w:vertAlign w:val="superscript"/>
        </w:rPr>
        <w:t>URT</w:t>
      </w:r>
      <w:r>
        <w:rPr>
          <w:rFonts w:ascii="Arial" w:cs="Arial" w:eastAsia="Arial" w:hAnsi="Arial"/>
          <w:sz w:val="15"/>
          <w:szCs w:val="15"/>
          <w:color w:val="auto"/>
        </w:rPr>
        <w:t xml:space="preserve"> C. H</w:t>
      </w:r>
      <w:r>
        <w:rPr>
          <w:rFonts w:ascii="Arial" w:cs="Arial" w:eastAsia="Arial" w:hAnsi="Arial"/>
          <w:sz w:val="24"/>
          <w:szCs w:val="24"/>
          <w:color w:val="auto"/>
          <w:vertAlign w:val="superscript"/>
        </w:rPr>
        <w:t>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jc w:val="center"/>
        <w:ind w:left="6060"/>
        <w:spacing w:after="0" w:line="221" w:lineRule="auto"/>
        <w:rPr>
          <w:sz w:val="20"/>
          <w:szCs w:val="20"/>
          <w:color w:val="auto"/>
        </w:rPr>
      </w:pPr>
      <w:r>
        <w:rPr>
          <w:rFonts w:ascii="Arial" w:cs="Arial" w:eastAsia="Arial" w:hAnsi="Arial"/>
          <w:sz w:val="14"/>
          <w:szCs w:val="14"/>
          <w:b w:val="1"/>
          <w:bCs w:val="1"/>
          <w:color w:val="auto"/>
        </w:rPr>
        <w:t>Kurt C. Hall</w:t>
      </w:r>
    </w:p>
    <w:p>
      <w:pPr>
        <w:jc w:val="center"/>
        <w:ind w:left="606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060"/>
        <w:spacing w:after="0"/>
        <w:rPr>
          <w:sz w:val="20"/>
          <w:szCs w:val="20"/>
          <w:color w:val="auto"/>
        </w:rPr>
      </w:pPr>
      <w:r>
        <w:rPr>
          <w:rFonts w:ascii="Arial" w:cs="Arial" w:eastAsia="Arial" w:hAnsi="Arial"/>
          <w:sz w:val="14"/>
          <w:szCs w:val="14"/>
          <w:b w:val="1"/>
          <w:bCs w:val="1"/>
          <w:color w:val="auto"/>
        </w:rPr>
        <w:t>(Principal Executive Officer)</w:t>
      </w:r>
    </w:p>
    <w:p>
      <w:pPr>
        <w:spacing w:after="0" w:line="46" w:lineRule="exact"/>
        <w:rPr>
          <w:sz w:val="20"/>
          <w:szCs w:val="20"/>
          <w:color w:val="auto"/>
        </w:rPr>
      </w:pPr>
    </w:p>
    <w:p>
      <w:pPr>
        <w:spacing w:after="0"/>
        <w:tabs>
          <w:tab w:leader="none" w:pos="700" w:val="left"/>
          <w:tab w:leader="none" w:pos="7700" w:val="left"/>
          <w:tab w:leader="none" w:pos="8060" w:val="left"/>
        </w:tabs>
        <w:rPr>
          <w:sz w:val="20"/>
          <w:szCs w:val="20"/>
          <w:color w:val="auto"/>
        </w:rPr>
      </w:pPr>
      <w:r>
        <w:rPr>
          <w:rFonts w:ascii="Arial" w:cs="Arial" w:eastAsia="Arial" w:hAnsi="Arial"/>
          <w:sz w:val="18"/>
          <w:szCs w:val="18"/>
          <w:color w:val="auto"/>
        </w:rPr>
        <w:t>Dated:</w:t>
        <w:tab/>
        <w:t>February 25, 2011</w:t>
      </w:r>
      <w:r>
        <w:rPr>
          <w:sz w:val="20"/>
          <w:szCs w:val="20"/>
          <w:color w:val="auto"/>
        </w:rPr>
        <w:tab/>
      </w:r>
      <w:r>
        <w:rPr>
          <w:rFonts w:ascii="Arial" w:cs="Arial" w:eastAsia="Arial" w:hAnsi="Arial"/>
          <w:sz w:val="18"/>
          <w:szCs w:val="18"/>
          <w:color w:val="auto"/>
        </w:rPr>
        <w:t>/</w:t>
      </w:r>
      <w:r>
        <w:rPr>
          <w:rFonts w:ascii="Arial" w:cs="Arial" w:eastAsia="Arial" w:hAnsi="Arial"/>
          <w:sz w:val="29"/>
          <w:szCs w:val="29"/>
          <w:color w:val="auto"/>
          <w:vertAlign w:val="superscript"/>
        </w:rPr>
        <w:t>S</w:t>
      </w:r>
      <w:r>
        <w:rPr>
          <w:rFonts w:ascii="Arial" w:cs="Arial" w:eastAsia="Arial" w:hAnsi="Arial"/>
          <w:sz w:val="18"/>
          <w:szCs w:val="18"/>
          <w:color w:val="auto"/>
        </w:rPr>
        <w:t>/</w:t>
      </w:r>
      <w:r>
        <w:rPr>
          <w:sz w:val="20"/>
          <w:szCs w:val="20"/>
          <w:color w:val="auto"/>
        </w:rPr>
        <w:tab/>
      </w:r>
      <w:r>
        <w:rPr>
          <w:rFonts w:ascii="Arial" w:cs="Arial" w:eastAsia="Arial" w:hAnsi="Arial"/>
          <w:sz w:val="14"/>
          <w:szCs w:val="14"/>
          <w:color w:val="auto"/>
        </w:rPr>
        <w:t>G</w:t>
      </w:r>
      <w:r>
        <w:rPr>
          <w:rFonts w:ascii="Arial" w:cs="Arial" w:eastAsia="Arial" w:hAnsi="Arial"/>
          <w:sz w:val="22"/>
          <w:szCs w:val="22"/>
          <w:color w:val="auto"/>
          <w:vertAlign w:val="superscript"/>
        </w:rPr>
        <w:t>ARY</w:t>
      </w:r>
      <w:r>
        <w:rPr>
          <w:rFonts w:ascii="Arial" w:cs="Arial" w:eastAsia="Arial" w:hAnsi="Arial"/>
          <w:sz w:val="14"/>
          <w:szCs w:val="14"/>
          <w:color w:val="auto"/>
        </w:rPr>
        <w:t xml:space="preserve"> W. F</w:t>
      </w:r>
      <w:r>
        <w:rPr>
          <w:rFonts w:ascii="Arial" w:cs="Arial" w:eastAsia="Arial" w:hAnsi="Arial"/>
          <w:sz w:val="22"/>
          <w:szCs w:val="22"/>
          <w:color w:val="auto"/>
          <w:vertAlign w:val="superscript"/>
        </w:rPr>
        <w:t>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-17145</wp:posOffset>
            </wp:positionV>
            <wp:extent cx="340487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jc w:val="center"/>
        <w:ind w:left="6060"/>
        <w:spacing w:after="0" w:line="221" w:lineRule="auto"/>
        <w:rPr>
          <w:sz w:val="20"/>
          <w:szCs w:val="20"/>
          <w:color w:val="auto"/>
        </w:rPr>
      </w:pPr>
      <w:r>
        <w:rPr>
          <w:rFonts w:ascii="Arial" w:cs="Arial" w:eastAsia="Arial" w:hAnsi="Arial"/>
          <w:sz w:val="14"/>
          <w:szCs w:val="14"/>
          <w:b w:val="1"/>
          <w:bCs w:val="1"/>
          <w:color w:val="auto"/>
        </w:rPr>
        <w:t>Gary W. Ferrera</w:t>
      </w:r>
    </w:p>
    <w:p>
      <w:pPr>
        <w:jc w:val="center"/>
        <w:ind w:left="6060"/>
        <w:spacing w:after="0" w:line="221" w:lineRule="auto"/>
        <w:rPr>
          <w:sz w:val="20"/>
          <w:szCs w:val="20"/>
          <w:color w:val="auto"/>
        </w:rPr>
      </w:pPr>
      <w:r>
        <w:rPr>
          <w:rFonts w:ascii="Arial" w:cs="Arial" w:eastAsia="Arial" w:hAnsi="Arial"/>
          <w:sz w:val="14"/>
          <w:szCs w:val="14"/>
          <w:b w:val="1"/>
          <w:bCs w:val="1"/>
          <w:color w:val="auto"/>
        </w:rPr>
        <w:t>Executive Vice President and Chief Financial Officer</w:t>
      </w:r>
    </w:p>
    <w:p>
      <w:pPr>
        <w:jc w:val="center"/>
        <w:ind w:left="6060"/>
        <w:spacing w:after="0"/>
        <w:rPr>
          <w:sz w:val="20"/>
          <w:szCs w:val="20"/>
          <w:color w:val="auto"/>
        </w:rPr>
      </w:pPr>
      <w:r>
        <w:rPr>
          <w:rFonts w:ascii="Arial" w:cs="Arial" w:eastAsia="Arial" w:hAnsi="Arial"/>
          <w:sz w:val="14"/>
          <w:szCs w:val="14"/>
          <w:b w:val="1"/>
          <w:bCs w:val="1"/>
          <w:color w:val="auto"/>
        </w:rPr>
        <w:t>(Principal Accounting and Financial Officer)</w:t>
      </w:r>
    </w:p>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60"/>
          </w:cols>
          <w:pgMar w:left="240" w:top="459" w:right="299" w:bottom="1440" w:gutter="0" w:footer="0" w:header="0"/>
        </w:sectPr>
      </w:pPr>
    </w:p>
    <w:p>
      <w:pPr>
        <w:spacing w:after="0" w:line="168"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u w:val="single" w:color="auto"/>
          <w:color w:val="auto"/>
        </w:rPr>
        <w:t>Signature</w:t>
      </w:r>
    </w:p>
    <w:p>
      <w:pPr>
        <w:spacing w:after="0" w:line="141" w:lineRule="exact"/>
        <w:rPr>
          <w:sz w:val="20"/>
          <w:szCs w:val="20"/>
          <w:color w:val="auto"/>
        </w:rPr>
      </w:pPr>
    </w:p>
    <w:p>
      <w:pPr>
        <w:ind w:left="1660"/>
        <w:spacing w:after="0"/>
        <w:tabs>
          <w:tab w:leader="none" w:pos="20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K</w:t>
      </w:r>
      <w:r>
        <w:rPr>
          <w:rFonts w:ascii="Arial" w:cs="Arial" w:eastAsia="Arial" w:hAnsi="Arial"/>
          <w:sz w:val="13"/>
          <w:szCs w:val="13"/>
          <w:color w:val="auto"/>
        </w:rPr>
        <w:t>URT</w:t>
      </w:r>
      <w:r>
        <w:rPr>
          <w:rFonts w:ascii="Arial" w:cs="Arial" w:eastAsia="Arial" w:hAnsi="Arial"/>
          <w:sz w:val="16"/>
          <w:szCs w:val="16"/>
          <w:color w:val="auto"/>
        </w:rPr>
        <w:t xml:space="preserve"> C. H</w:t>
      </w:r>
      <w:r>
        <w:rPr>
          <w:rFonts w:ascii="Arial" w:cs="Arial" w:eastAsia="Arial" w:hAnsi="Arial"/>
          <w:sz w:val="13"/>
          <w:szCs w:val="13"/>
          <w:color w:val="auto"/>
        </w:rPr>
        <w:t>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2"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Kurt C. Hall</w:t>
      </w:r>
    </w:p>
    <w:p>
      <w:pPr>
        <w:spacing w:after="0" w:line="195" w:lineRule="exact"/>
        <w:rPr>
          <w:sz w:val="20"/>
          <w:szCs w:val="20"/>
          <w:color w:val="auto"/>
        </w:rPr>
      </w:pPr>
    </w:p>
    <w:p>
      <w:pPr>
        <w:ind w:left="1500"/>
        <w:spacing w:after="0"/>
        <w:tabs>
          <w:tab w:leader="none" w:pos="18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ARY</w:t>
      </w:r>
      <w:r>
        <w:rPr>
          <w:rFonts w:ascii="Arial" w:cs="Arial" w:eastAsia="Arial" w:hAnsi="Arial"/>
          <w:sz w:val="16"/>
          <w:szCs w:val="16"/>
          <w:color w:val="auto"/>
        </w:rPr>
        <w:t xml:space="preserve"> W. F</w:t>
      </w:r>
      <w:r>
        <w:rPr>
          <w:rFonts w:ascii="Arial" w:cs="Arial" w:eastAsia="Arial" w:hAnsi="Arial"/>
          <w:sz w:val="13"/>
          <w:szCs w:val="13"/>
          <w:color w:val="auto"/>
        </w:rPr>
        <w:t>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ind w:left="2040"/>
        <w:spacing w:after="0"/>
        <w:rPr>
          <w:sz w:val="20"/>
          <w:szCs w:val="20"/>
          <w:color w:val="auto"/>
        </w:rPr>
      </w:pPr>
      <w:r>
        <w:rPr>
          <w:rFonts w:ascii="Arial" w:cs="Arial" w:eastAsia="Arial" w:hAnsi="Arial"/>
          <w:sz w:val="14"/>
          <w:szCs w:val="14"/>
          <w:b w:val="1"/>
          <w:bCs w:val="1"/>
          <w:color w:val="auto"/>
        </w:rPr>
        <w:t>Gary W. Ferrera</w:t>
      </w:r>
    </w:p>
    <w:p>
      <w:pPr>
        <w:spacing w:after="0" w:line="357" w:lineRule="exact"/>
        <w:rPr>
          <w:sz w:val="20"/>
          <w:szCs w:val="20"/>
          <w:color w:val="auto"/>
        </w:rPr>
      </w:pPr>
    </w:p>
    <w:p>
      <w:pPr>
        <w:ind w:left="1340"/>
        <w:spacing w:after="0"/>
        <w:tabs>
          <w:tab w:leader="none" w:pos="16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L. C</w:t>
      </w:r>
      <w:r>
        <w:rPr>
          <w:rFonts w:ascii="Arial" w:cs="Arial" w:eastAsia="Arial" w:hAnsi="Arial"/>
          <w:sz w:val="14"/>
          <w:szCs w:val="14"/>
          <w:color w:val="auto"/>
        </w:rPr>
        <w:t>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2"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Michael L. Campbell</w:t>
      </w:r>
    </w:p>
    <w:p>
      <w:pPr>
        <w:spacing w:after="0" w:line="127" w:lineRule="exact"/>
        <w:rPr>
          <w:sz w:val="20"/>
          <w:szCs w:val="20"/>
          <w:color w:val="auto"/>
        </w:rPr>
      </w:pPr>
    </w:p>
    <w:p>
      <w:pPr>
        <w:ind w:left="1260"/>
        <w:spacing w:after="0"/>
        <w:tabs>
          <w:tab w:leader="none" w:pos="16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L</w:t>
      </w:r>
      <w:r>
        <w:rPr>
          <w:rFonts w:ascii="Arial" w:cs="Arial" w:eastAsia="Arial" w:hAnsi="Arial"/>
          <w:sz w:val="14"/>
          <w:szCs w:val="14"/>
          <w:color w:val="auto"/>
        </w:rPr>
        <w:t>AWRENCE</w:t>
      </w:r>
      <w:r>
        <w:rPr>
          <w:rFonts w:ascii="Arial" w:cs="Arial" w:eastAsia="Arial" w:hAnsi="Arial"/>
          <w:sz w:val="18"/>
          <w:szCs w:val="18"/>
          <w:color w:val="auto"/>
        </w:rPr>
        <w:t xml:space="preserve"> A. G</w:t>
      </w:r>
      <w:r>
        <w:rPr>
          <w:rFonts w:ascii="Arial" w:cs="Arial" w:eastAsia="Arial" w:hAnsi="Arial"/>
          <w:sz w:val="14"/>
          <w:szCs w:val="14"/>
          <w:color w:val="auto"/>
        </w:rPr>
        <w:t>OODMAN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2" w:lineRule="exact"/>
        <w:rPr>
          <w:sz w:val="20"/>
          <w:szCs w:val="20"/>
          <w:color w:val="auto"/>
        </w:rPr>
      </w:pPr>
    </w:p>
    <w:p>
      <w:pPr>
        <w:ind w:left="1860"/>
        <w:spacing w:after="0"/>
        <w:rPr>
          <w:sz w:val="20"/>
          <w:szCs w:val="20"/>
          <w:color w:val="auto"/>
        </w:rPr>
      </w:pPr>
      <w:r>
        <w:rPr>
          <w:rFonts w:ascii="Arial" w:cs="Arial" w:eastAsia="Arial" w:hAnsi="Arial"/>
          <w:sz w:val="14"/>
          <w:szCs w:val="14"/>
          <w:b w:val="1"/>
          <w:bCs w:val="1"/>
          <w:color w:val="auto"/>
        </w:rPr>
        <w:t>Lawrence A. Goodman</w:t>
      </w:r>
    </w:p>
    <w:p>
      <w:pPr>
        <w:spacing w:after="0" w:line="127" w:lineRule="exact"/>
        <w:rPr>
          <w:sz w:val="20"/>
          <w:szCs w:val="20"/>
          <w:color w:val="auto"/>
        </w:rPr>
      </w:pPr>
    </w:p>
    <w:p>
      <w:pPr>
        <w:ind w:left="1620"/>
        <w:spacing w:after="0"/>
        <w:tabs>
          <w:tab w:leader="none" w:pos="19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R. H</w:t>
      </w:r>
      <w:r>
        <w:rPr>
          <w:rFonts w:ascii="Arial" w:cs="Arial" w:eastAsia="Arial" w:hAnsi="Arial"/>
          <w:sz w:val="13"/>
          <w:szCs w:val="13"/>
          <w:color w:val="auto"/>
        </w:rPr>
        <w:t>AAS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2"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David R. Haas</w:t>
      </w:r>
    </w:p>
    <w:p>
      <w:pPr>
        <w:spacing w:after="0" w:line="127" w:lineRule="exact"/>
        <w:rPr>
          <w:sz w:val="20"/>
          <w:szCs w:val="20"/>
          <w:color w:val="auto"/>
        </w:rPr>
      </w:pPr>
    </w:p>
    <w:p>
      <w:pPr>
        <w:ind w:left="1300"/>
        <w:spacing w:after="0"/>
        <w:tabs>
          <w:tab w:leader="none" w:pos="16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AMES</w:t>
      </w:r>
      <w:r>
        <w:rPr>
          <w:rFonts w:ascii="Arial" w:cs="Arial" w:eastAsia="Arial" w:hAnsi="Arial"/>
          <w:sz w:val="16"/>
          <w:szCs w:val="16"/>
          <w:color w:val="auto"/>
        </w:rPr>
        <w:t xml:space="preserve"> R. H</w:t>
      </w:r>
      <w:r>
        <w:rPr>
          <w:rFonts w:ascii="Arial" w:cs="Arial" w:eastAsia="Arial" w:hAnsi="Arial"/>
          <w:sz w:val="13"/>
          <w:szCs w:val="13"/>
          <w:color w:val="auto"/>
        </w:rPr>
        <w:t>OLLAND</w:t>
      </w:r>
      <w:r>
        <w:rPr>
          <w:rFonts w:ascii="Arial" w:cs="Arial" w:eastAsia="Arial" w:hAnsi="Arial"/>
          <w:sz w:val="16"/>
          <w:szCs w:val="16"/>
          <w:color w:val="auto"/>
        </w:rPr>
        <w:t>, J</w:t>
      </w:r>
      <w:r>
        <w:rPr>
          <w:rFonts w:ascii="Arial" w:cs="Arial" w:eastAsia="Arial" w:hAnsi="Arial"/>
          <w:sz w:val="13"/>
          <w:szCs w:val="13"/>
          <w:color w:val="auto"/>
        </w:rPr>
        <w:t>R</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2" w:lineRule="exact"/>
        <w:rPr>
          <w:sz w:val="20"/>
          <w:szCs w:val="20"/>
          <w:color w:val="auto"/>
        </w:rPr>
      </w:pPr>
    </w:p>
    <w:p>
      <w:pPr>
        <w:ind w:left="1900"/>
        <w:spacing w:after="0"/>
        <w:rPr>
          <w:sz w:val="20"/>
          <w:szCs w:val="20"/>
          <w:color w:val="auto"/>
        </w:rPr>
      </w:pPr>
      <w:r>
        <w:rPr>
          <w:rFonts w:ascii="Arial" w:cs="Arial" w:eastAsia="Arial" w:hAnsi="Arial"/>
          <w:sz w:val="14"/>
          <w:szCs w:val="14"/>
          <w:b w:val="1"/>
          <w:bCs w:val="1"/>
          <w:color w:val="auto"/>
        </w:rPr>
        <w:t>James R. Holland, Jr.</w:t>
      </w:r>
    </w:p>
    <w:p>
      <w:pPr>
        <w:spacing w:after="0" w:line="127" w:lineRule="exact"/>
        <w:rPr>
          <w:sz w:val="20"/>
          <w:szCs w:val="20"/>
          <w:color w:val="auto"/>
        </w:rPr>
      </w:pPr>
    </w:p>
    <w:p>
      <w:pPr>
        <w:ind w:left="1400"/>
        <w:spacing w:after="0"/>
        <w:tabs>
          <w:tab w:leader="none" w:pos="17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L. L</w:t>
      </w:r>
      <w:r>
        <w:rPr>
          <w:rFonts w:ascii="Arial" w:cs="Arial" w:eastAsia="Arial" w:hAnsi="Arial"/>
          <w:sz w:val="13"/>
          <w:szCs w:val="13"/>
          <w:color w:val="auto"/>
        </w:rPr>
        <w:t>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2" w:lineRule="exact"/>
        <w:rPr>
          <w:sz w:val="20"/>
          <w:szCs w:val="20"/>
          <w:color w:val="auto"/>
        </w:rPr>
      </w:pPr>
    </w:p>
    <w:p>
      <w:pPr>
        <w:ind w:left="1940"/>
        <w:spacing w:after="0"/>
        <w:rPr>
          <w:sz w:val="20"/>
          <w:szCs w:val="20"/>
          <w:color w:val="auto"/>
        </w:rPr>
      </w:pPr>
      <w:r>
        <w:rPr>
          <w:rFonts w:ascii="Arial" w:cs="Arial" w:eastAsia="Arial" w:hAnsi="Arial"/>
          <w:sz w:val="14"/>
          <w:szCs w:val="14"/>
          <w:b w:val="1"/>
          <w:bCs w:val="1"/>
          <w:color w:val="auto"/>
        </w:rPr>
        <w:t>Stephen L. Lanning</w:t>
      </w:r>
    </w:p>
    <w:p>
      <w:pPr>
        <w:spacing w:after="0" w:line="127" w:lineRule="exact"/>
        <w:rPr>
          <w:sz w:val="20"/>
          <w:szCs w:val="20"/>
          <w:color w:val="auto"/>
        </w:rPr>
      </w:pPr>
    </w:p>
    <w:p>
      <w:pPr>
        <w:ind w:left="1500"/>
        <w:spacing w:after="0"/>
        <w:tabs>
          <w:tab w:leader="none" w:pos="18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G</w:t>
      </w:r>
      <w:r>
        <w:rPr>
          <w:rFonts w:ascii="Arial" w:cs="Arial" w:eastAsia="Arial" w:hAnsi="Arial"/>
          <w:sz w:val="13"/>
          <w:szCs w:val="13"/>
          <w:color w:val="auto"/>
        </w:rPr>
        <w:t>ERARDO</w:t>
      </w:r>
      <w:r>
        <w:rPr>
          <w:rFonts w:ascii="Arial" w:cs="Arial" w:eastAsia="Arial" w:hAnsi="Arial"/>
          <w:sz w:val="16"/>
          <w:szCs w:val="16"/>
          <w:color w:val="auto"/>
        </w:rPr>
        <w:t xml:space="preserve"> I. L</w:t>
      </w:r>
      <w:r>
        <w:rPr>
          <w:rFonts w:ascii="Arial" w:cs="Arial" w:eastAsia="Arial" w:hAnsi="Arial"/>
          <w:sz w:val="13"/>
          <w:szCs w:val="13"/>
          <w:color w:val="auto"/>
        </w:rPr>
        <w:t>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2"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Gerardo I. Lopez</w:t>
      </w:r>
    </w:p>
    <w:p>
      <w:pPr>
        <w:spacing w:after="0" w:line="127" w:lineRule="exact"/>
        <w:rPr>
          <w:sz w:val="20"/>
          <w:szCs w:val="20"/>
          <w:color w:val="auto"/>
        </w:rPr>
      </w:pPr>
    </w:p>
    <w:p>
      <w:pPr>
        <w:ind w:left="1480"/>
        <w:spacing w:after="0"/>
        <w:tabs>
          <w:tab w:leader="none" w:pos="182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E</w:t>
      </w:r>
      <w:r>
        <w:rPr>
          <w:rFonts w:ascii="Arial" w:cs="Arial" w:eastAsia="Arial" w:hAnsi="Arial"/>
          <w:sz w:val="13"/>
          <w:szCs w:val="13"/>
          <w:color w:val="auto"/>
        </w:rPr>
        <w:t>DWARD</w:t>
      </w:r>
      <w:r>
        <w:rPr>
          <w:rFonts w:ascii="Arial" w:cs="Arial" w:eastAsia="Arial" w:hAnsi="Arial"/>
          <w:sz w:val="16"/>
          <w:szCs w:val="16"/>
          <w:color w:val="auto"/>
        </w:rPr>
        <w:t xml:space="preserve"> H. M</w:t>
      </w:r>
      <w:r>
        <w:rPr>
          <w:rFonts w:ascii="Arial" w:cs="Arial" w:eastAsia="Arial" w:hAnsi="Arial"/>
          <w:sz w:val="13"/>
          <w:szCs w:val="13"/>
          <w:color w:val="auto"/>
        </w:rPr>
        <w:t>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2"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Edward H. Meyer</w:t>
      </w:r>
    </w:p>
    <w:p>
      <w:pPr>
        <w:spacing w:after="0" w:line="127" w:lineRule="exact"/>
        <w:rPr>
          <w:sz w:val="20"/>
          <w:szCs w:val="20"/>
          <w:color w:val="auto"/>
        </w:rPr>
      </w:pPr>
    </w:p>
    <w:p>
      <w:pPr>
        <w:ind w:left="1460"/>
        <w:spacing w:after="0"/>
        <w:tabs>
          <w:tab w:leader="none" w:pos="180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L</w:t>
      </w:r>
      <w:r>
        <w:rPr>
          <w:rFonts w:ascii="Arial" w:cs="Arial" w:eastAsia="Arial" w:hAnsi="Arial"/>
          <w:sz w:val="14"/>
          <w:szCs w:val="14"/>
          <w:color w:val="auto"/>
        </w:rPr>
        <w:t>EE</w:t>
      </w:r>
      <w:r>
        <w:rPr>
          <w:rFonts w:ascii="Arial" w:cs="Arial" w:eastAsia="Arial" w:hAnsi="Arial"/>
          <w:sz w:val="18"/>
          <w:szCs w:val="18"/>
          <w:color w:val="auto"/>
        </w:rPr>
        <w:t xml:space="preserve"> R</w:t>
      </w:r>
      <w:r>
        <w:rPr>
          <w:rFonts w:ascii="Arial" w:cs="Arial" w:eastAsia="Arial" w:hAnsi="Arial"/>
          <w:sz w:val="14"/>
          <w:szCs w:val="14"/>
          <w:color w:val="auto"/>
        </w:rPr>
        <w:t>OY</w:t>
      </w:r>
      <w:r>
        <w:rPr>
          <w:rFonts w:ascii="Arial" w:cs="Arial" w:eastAsia="Arial" w:hAnsi="Arial"/>
          <w:sz w:val="18"/>
          <w:szCs w:val="18"/>
          <w:color w:val="auto"/>
        </w:rPr>
        <w:t xml:space="preserve"> M</w:t>
      </w:r>
      <w:r>
        <w:rPr>
          <w:rFonts w:ascii="Arial" w:cs="Arial" w:eastAsia="Arial" w:hAnsi="Arial"/>
          <w:sz w:val="14"/>
          <w:szCs w:val="14"/>
          <w:color w:val="auto"/>
        </w:rPr>
        <w:t>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2" w:lineRule="exact"/>
        <w:rPr>
          <w:sz w:val="20"/>
          <w:szCs w:val="20"/>
          <w:color w:val="auto"/>
        </w:rPr>
      </w:pPr>
    </w:p>
    <w:p>
      <w:pPr>
        <w:ind w:left="2020"/>
        <w:spacing w:after="0"/>
        <w:rPr>
          <w:sz w:val="20"/>
          <w:szCs w:val="20"/>
          <w:color w:val="auto"/>
        </w:rPr>
      </w:pPr>
      <w:r>
        <w:rPr>
          <w:rFonts w:ascii="Arial" w:cs="Arial" w:eastAsia="Arial" w:hAnsi="Arial"/>
          <w:sz w:val="14"/>
          <w:szCs w:val="14"/>
          <w:b w:val="1"/>
          <w:bCs w:val="1"/>
          <w:color w:val="auto"/>
        </w:rPr>
        <w:t>Lee Roy Mitchell</w:t>
      </w:r>
    </w:p>
    <w:p>
      <w:pPr>
        <w:spacing w:after="0" w:line="127" w:lineRule="exact"/>
        <w:rPr>
          <w:sz w:val="20"/>
          <w:szCs w:val="20"/>
          <w:color w:val="auto"/>
        </w:rPr>
      </w:pPr>
    </w:p>
    <w:p>
      <w:pPr>
        <w:ind w:left="1400"/>
        <w:spacing w:after="0"/>
        <w:tabs>
          <w:tab w:leader="none" w:pos="174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COTT</w:t>
      </w:r>
      <w:r>
        <w:rPr>
          <w:rFonts w:ascii="Arial" w:cs="Arial" w:eastAsia="Arial" w:hAnsi="Arial"/>
          <w:sz w:val="16"/>
          <w:szCs w:val="16"/>
          <w:color w:val="auto"/>
        </w:rPr>
        <w:t xml:space="preserve"> N. S</w:t>
      </w:r>
      <w:r>
        <w:rPr>
          <w:rFonts w:ascii="Arial" w:cs="Arial" w:eastAsia="Arial" w:hAnsi="Arial"/>
          <w:sz w:val="13"/>
          <w:szCs w:val="13"/>
          <w:color w:val="auto"/>
        </w:rPr>
        <w:t>CHNEIDER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9024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12" w:lineRule="exact"/>
        <w:rPr>
          <w:sz w:val="20"/>
          <w:szCs w:val="20"/>
          <w:color w:val="auto"/>
        </w:rPr>
      </w:pPr>
    </w:p>
    <w:p>
      <w:pPr>
        <w:ind w:left="1980"/>
        <w:spacing w:after="0"/>
        <w:rPr>
          <w:sz w:val="20"/>
          <w:szCs w:val="20"/>
          <w:color w:val="auto"/>
        </w:rPr>
      </w:pPr>
      <w:r>
        <w:rPr>
          <w:rFonts w:ascii="Arial" w:cs="Arial" w:eastAsia="Arial" w:hAnsi="Arial"/>
          <w:sz w:val="14"/>
          <w:szCs w:val="14"/>
          <w:b w:val="1"/>
          <w:bCs w:val="1"/>
          <w:color w:val="auto"/>
        </w:rPr>
        <w:t>Scott N. Schneider</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860" w:type="dxa"/>
            <w:vAlign w:val="bottom"/>
          </w:tcPr>
          <w:p>
            <w:pPr>
              <w:spacing w:after="0"/>
              <w:rPr>
                <w:sz w:val="14"/>
                <w:szCs w:val="14"/>
                <w:color w:val="auto"/>
              </w:rPr>
            </w:pPr>
          </w:p>
        </w:tc>
        <w:tc>
          <w:tcPr>
            <w:tcW w:w="8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8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63"/>
        </w:trPr>
        <w:tc>
          <w:tcPr>
            <w:tcW w:w="4120" w:type="dxa"/>
            <w:vAlign w:val="bottom"/>
            <w:gridSpan w:val="3"/>
          </w:tcPr>
          <w:p>
            <w:pPr>
              <w:spacing w:after="0"/>
              <w:rPr>
                <w:sz w:val="20"/>
                <w:szCs w:val="20"/>
                <w:color w:val="auto"/>
              </w:rPr>
            </w:pPr>
            <w:r>
              <w:rPr>
                <w:rFonts w:ascii="Arial" w:cs="Arial" w:eastAsia="Arial" w:hAnsi="Arial"/>
                <w:sz w:val="18"/>
                <w:szCs w:val="18"/>
                <w:color w:val="auto"/>
              </w:rPr>
              <w:t>President, Chief Executive Officer</w:t>
            </w:r>
          </w:p>
        </w:tc>
        <w:tc>
          <w:tcPr>
            <w:tcW w:w="1660" w:type="dxa"/>
            <w:vAlign w:val="bottom"/>
            <w:gridSpan w:val="3"/>
          </w:tcPr>
          <w:p>
            <w:pPr>
              <w:jc w:val="center"/>
              <w:ind w:left="292"/>
              <w:spacing w:after="0"/>
              <w:rPr>
                <w:sz w:val="20"/>
                <w:szCs w:val="20"/>
                <w:color w:val="auto"/>
              </w:rPr>
            </w:pPr>
            <w:r>
              <w:rPr>
                <w:rFonts w:ascii="Arial" w:cs="Arial" w:eastAsia="Arial" w:hAnsi="Arial"/>
                <w:sz w:val="18"/>
                <w:szCs w:val="18"/>
                <w:color w:val="auto"/>
                <w:w w:val="86"/>
              </w:rPr>
              <w:t>February 25, 2011</w:t>
            </w: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520"/>
        </w:trPr>
        <w:tc>
          <w:tcPr>
            <w:tcW w:w="4120" w:type="dxa"/>
            <w:vAlign w:val="bottom"/>
            <w:gridSpan w:val="3"/>
          </w:tcPr>
          <w:p>
            <w:pPr>
              <w:spacing w:after="0"/>
              <w:rPr>
                <w:sz w:val="20"/>
                <w:szCs w:val="20"/>
                <w:color w:val="auto"/>
              </w:rPr>
            </w:pPr>
            <w:r>
              <w:rPr>
                <w:rFonts w:ascii="Arial" w:cs="Arial" w:eastAsia="Arial" w:hAnsi="Arial"/>
                <w:sz w:val="18"/>
                <w:szCs w:val="18"/>
                <w:color w:val="auto"/>
                <w:w w:val="98"/>
              </w:rPr>
              <w:t>Executive Vice President and Chief Financial Officer</w:t>
            </w:r>
          </w:p>
        </w:tc>
        <w:tc>
          <w:tcPr>
            <w:tcW w:w="1660" w:type="dxa"/>
            <w:vAlign w:val="bottom"/>
            <w:gridSpan w:val="3"/>
          </w:tcPr>
          <w:p>
            <w:pPr>
              <w:jc w:val="center"/>
              <w:ind w:left="292"/>
              <w:spacing w:after="0"/>
              <w:rPr>
                <w:sz w:val="20"/>
                <w:szCs w:val="20"/>
                <w:color w:val="auto"/>
              </w:rPr>
            </w:pPr>
            <w:r>
              <w:rPr>
                <w:rFonts w:ascii="Arial" w:cs="Arial" w:eastAsia="Arial" w:hAnsi="Arial"/>
                <w:sz w:val="18"/>
                <w:szCs w:val="18"/>
                <w:color w:val="auto"/>
                <w:w w:val="86"/>
              </w:rPr>
              <w:t>February 25, 2011</w:t>
            </w:r>
          </w:p>
        </w:tc>
      </w:tr>
      <w:tr>
        <w:trPr>
          <w:trHeight w:val="222"/>
        </w:trPr>
        <w:tc>
          <w:tcPr>
            <w:tcW w:w="4120" w:type="dxa"/>
            <w:vAlign w:val="bottom"/>
            <w:gridSpan w:val="3"/>
          </w:tcPr>
          <w:p>
            <w:pPr>
              <w:spacing w:after="0"/>
              <w:rPr>
                <w:sz w:val="20"/>
                <w:szCs w:val="20"/>
                <w:color w:val="auto"/>
              </w:rPr>
            </w:pPr>
            <w:r>
              <w:rPr>
                <w:rFonts w:ascii="Arial" w:cs="Arial" w:eastAsia="Arial" w:hAnsi="Arial"/>
                <w:sz w:val="18"/>
                <w:szCs w:val="18"/>
                <w:color w:val="auto"/>
              </w:rPr>
              <w:t>(Principal Accounting and Financial Officer)</w:t>
            </w:r>
          </w:p>
        </w:tc>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378"/>
        </w:trPr>
        <w:tc>
          <w:tcPr>
            <w:tcW w:w="41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292"/>
              <w:spacing w:after="0"/>
              <w:rPr>
                <w:sz w:val="20"/>
                <w:szCs w:val="20"/>
                <w:color w:val="auto"/>
              </w:rPr>
            </w:pPr>
            <w:r>
              <w:rPr>
                <w:rFonts w:ascii="Arial" w:cs="Arial" w:eastAsia="Arial" w:hAnsi="Arial"/>
                <w:sz w:val="18"/>
                <w:szCs w:val="18"/>
                <w:color w:val="auto"/>
                <w:w w:val="86"/>
              </w:rPr>
              <w:t>February 25, 2011</w:t>
            </w:r>
          </w:p>
        </w:tc>
      </w:tr>
      <w:tr>
        <w:trPr>
          <w:trHeight w:val="527"/>
        </w:trPr>
        <w:tc>
          <w:tcPr>
            <w:tcW w:w="41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292"/>
              <w:spacing w:after="0"/>
              <w:rPr>
                <w:sz w:val="20"/>
                <w:szCs w:val="20"/>
                <w:color w:val="auto"/>
              </w:rPr>
            </w:pPr>
            <w:r>
              <w:rPr>
                <w:rFonts w:ascii="Arial" w:cs="Arial" w:eastAsia="Arial" w:hAnsi="Arial"/>
                <w:sz w:val="18"/>
                <w:szCs w:val="18"/>
                <w:color w:val="auto"/>
                <w:w w:val="86"/>
              </w:rPr>
              <w:t>February 25, 2011</w:t>
            </w:r>
          </w:p>
        </w:tc>
      </w:tr>
      <w:tr>
        <w:trPr>
          <w:trHeight w:val="527"/>
        </w:trPr>
        <w:tc>
          <w:tcPr>
            <w:tcW w:w="41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292"/>
              <w:spacing w:after="0"/>
              <w:rPr>
                <w:sz w:val="20"/>
                <w:szCs w:val="20"/>
                <w:color w:val="auto"/>
              </w:rPr>
            </w:pPr>
            <w:r>
              <w:rPr>
                <w:rFonts w:ascii="Arial" w:cs="Arial" w:eastAsia="Arial" w:hAnsi="Arial"/>
                <w:sz w:val="18"/>
                <w:szCs w:val="18"/>
                <w:color w:val="auto"/>
                <w:w w:val="86"/>
              </w:rPr>
              <w:t>February 25, 2011</w:t>
            </w:r>
          </w:p>
        </w:tc>
      </w:tr>
      <w:tr>
        <w:trPr>
          <w:trHeight w:val="527"/>
        </w:trPr>
        <w:tc>
          <w:tcPr>
            <w:tcW w:w="41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292"/>
              <w:spacing w:after="0"/>
              <w:rPr>
                <w:sz w:val="20"/>
                <w:szCs w:val="20"/>
                <w:color w:val="auto"/>
              </w:rPr>
            </w:pPr>
            <w:r>
              <w:rPr>
                <w:rFonts w:ascii="Arial" w:cs="Arial" w:eastAsia="Arial" w:hAnsi="Arial"/>
                <w:sz w:val="18"/>
                <w:szCs w:val="18"/>
                <w:color w:val="auto"/>
                <w:w w:val="86"/>
              </w:rPr>
              <w:t>February 25, 2011</w:t>
            </w:r>
          </w:p>
        </w:tc>
      </w:tr>
      <w:tr>
        <w:trPr>
          <w:trHeight w:val="527"/>
        </w:trPr>
        <w:tc>
          <w:tcPr>
            <w:tcW w:w="41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292"/>
              <w:spacing w:after="0"/>
              <w:rPr>
                <w:sz w:val="20"/>
                <w:szCs w:val="20"/>
                <w:color w:val="auto"/>
              </w:rPr>
            </w:pPr>
            <w:r>
              <w:rPr>
                <w:rFonts w:ascii="Arial" w:cs="Arial" w:eastAsia="Arial" w:hAnsi="Arial"/>
                <w:sz w:val="18"/>
                <w:szCs w:val="18"/>
                <w:color w:val="auto"/>
                <w:w w:val="86"/>
              </w:rPr>
              <w:t>February 25, 2011</w:t>
            </w:r>
          </w:p>
        </w:tc>
      </w:tr>
      <w:tr>
        <w:trPr>
          <w:trHeight w:val="527"/>
        </w:trPr>
        <w:tc>
          <w:tcPr>
            <w:tcW w:w="41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292"/>
              <w:spacing w:after="0"/>
              <w:rPr>
                <w:sz w:val="20"/>
                <w:szCs w:val="20"/>
                <w:color w:val="auto"/>
              </w:rPr>
            </w:pPr>
            <w:r>
              <w:rPr>
                <w:rFonts w:ascii="Arial" w:cs="Arial" w:eastAsia="Arial" w:hAnsi="Arial"/>
                <w:sz w:val="18"/>
                <w:szCs w:val="18"/>
                <w:color w:val="auto"/>
                <w:w w:val="86"/>
              </w:rPr>
              <w:t>February 25, 2011</w:t>
            </w:r>
          </w:p>
        </w:tc>
      </w:tr>
      <w:tr>
        <w:trPr>
          <w:trHeight w:val="527"/>
        </w:trPr>
        <w:tc>
          <w:tcPr>
            <w:tcW w:w="41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292"/>
              <w:spacing w:after="0"/>
              <w:rPr>
                <w:sz w:val="20"/>
                <w:szCs w:val="20"/>
                <w:color w:val="auto"/>
              </w:rPr>
            </w:pPr>
            <w:r>
              <w:rPr>
                <w:rFonts w:ascii="Arial" w:cs="Arial" w:eastAsia="Arial" w:hAnsi="Arial"/>
                <w:sz w:val="18"/>
                <w:szCs w:val="18"/>
                <w:color w:val="auto"/>
                <w:w w:val="86"/>
              </w:rPr>
              <w:t>February 25, 2011</w:t>
            </w:r>
          </w:p>
        </w:tc>
      </w:tr>
      <w:tr>
        <w:trPr>
          <w:trHeight w:val="527"/>
        </w:trPr>
        <w:tc>
          <w:tcPr>
            <w:tcW w:w="41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292"/>
              <w:spacing w:after="0"/>
              <w:rPr>
                <w:sz w:val="20"/>
                <w:szCs w:val="20"/>
                <w:color w:val="auto"/>
              </w:rPr>
            </w:pPr>
            <w:r>
              <w:rPr>
                <w:rFonts w:ascii="Arial" w:cs="Arial" w:eastAsia="Arial" w:hAnsi="Arial"/>
                <w:sz w:val="18"/>
                <w:szCs w:val="18"/>
                <w:color w:val="auto"/>
                <w:w w:val="86"/>
              </w:rPr>
              <w:t>February 25, 2011</w:t>
            </w:r>
          </w:p>
        </w:tc>
      </w:tr>
      <w:tr>
        <w:trPr>
          <w:trHeight w:val="527"/>
        </w:trPr>
        <w:tc>
          <w:tcPr>
            <w:tcW w:w="41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660" w:type="dxa"/>
            <w:vAlign w:val="bottom"/>
            <w:gridSpan w:val="3"/>
          </w:tcPr>
          <w:p>
            <w:pPr>
              <w:jc w:val="center"/>
              <w:ind w:left="292"/>
              <w:spacing w:after="0"/>
              <w:rPr>
                <w:sz w:val="20"/>
                <w:szCs w:val="20"/>
                <w:color w:val="auto"/>
              </w:rPr>
            </w:pPr>
            <w:r>
              <w:rPr>
                <w:rFonts w:ascii="Arial" w:cs="Arial" w:eastAsia="Arial" w:hAnsi="Arial"/>
                <w:sz w:val="18"/>
                <w:szCs w:val="18"/>
                <w:color w:val="auto"/>
                <w:w w:val="86"/>
              </w:rPr>
              <w:t>February 25, 2011</w:t>
            </w:r>
          </w:p>
        </w:tc>
      </w:tr>
      <w:tr>
        <w:trPr>
          <w:trHeight w:val="513"/>
        </w:trPr>
        <w:tc>
          <w:tcPr>
            <w:tcW w:w="1820" w:type="dxa"/>
            <w:vAlign w:val="bottom"/>
          </w:tcPr>
          <w:p>
            <w:pPr>
              <w:ind w:left="360"/>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2">
            <w:col w:w="4540" w:space="720"/>
            <w:col w:w="6100"/>
          </w:cols>
          <w:pgMar w:left="240" w:top="459" w:right="299"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00" w:type="dxa"/>
            <w:vAlign w:val="bottom"/>
            <w:gridSpan w:val="3"/>
          </w:tcPr>
          <w:p>
            <w:pPr>
              <w:ind w:left="2960"/>
              <w:spacing w:after="0"/>
              <w:rPr>
                <w:sz w:val="20"/>
                <w:szCs w:val="20"/>
                <w:color w:val="auto"/>
              </w:rPr>
            </w:pPr>
            <w:r>
              <w:rPr>
                <w:rFonts w:ascii="Arial" w:cs="Arial" w:eastAsia="Arial" w:hAnsi="Arial"/>
                <w:sz w:val="18"/>
                <w:szCs w:val="18"/>
                <w:b w:val="1"/>
                <w:bCs w:val="1"/>
                <w:color w:val="auto"/>
              </w:rPr>
              <w:t>INDEX TO EXHIBITS</w:t>
            </w:r>
          </w:p>
        </w:tc>
      </w:tr>
      <w:tr>
        <w:trPr>
          <w:trHeight w:val="353"/>
        </w:trPr>
        <w:tc>
          <w:tcPr>
            <w:tcW w:w="140" w:type="dxa"/>
            <w:vAlign w:val="bottom"/>
          </w:tcPr>
          <w:p>
            <w:pPr>
              <w:spacing w:after="0"/>
              <w:rPr>
                <w:sz w:val="24"/>
                <w:szCs w:val="2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Exhibit</w:t>
            </w:r>
          </w:p>
        </w:tc>
        <w:tc>
          <w:tcPr>
            <w:tcW w:w="680" w:type="dxa"/>
            <w:vAlign w:val="bottom"/>
          </w:tcPr>
          <w:p>
            <w:pPr>
              <w:spacing w:after="0"/>
              <w:rPr>
                <w:sz w:val="24"/>
                <w:szCs w:val="2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Reference</w:t>
            </w:r>
          </w:p>
        </w:tc>
        <w:tc>
          <w:tcPr>
            <w:tcW w:w="4580" w:type="dxa"/>
            <w:vAlign w:val="bottom"/>
          </w:tcPr>
          <w:p>
            <w:pPr>
              <w:spacing w:after="0"/>
              <w:rPr>
                <w:sz w:val="24"/>
                <w:szCs w:val="2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220" w:type="dxa"/>
            <w:vAlign w:val="bottom"/>
          </w:tcPr>
          <w:p>
            <w:pPr>
              <w:spacing w:after="0"/>
              <w:rPr>
                <w:sz w:val="24"/>
                <w:szCs w:val="24"/>
                <w:color w:val="auto"/>
              </w:rPr>
            </w:pPr>
          </w:p>
        </w:tc>
      </w:tr>
      <w:tr>
        <w:trPr>
          <w:trHeight w:val="309"/>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1.1</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(31)</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95"/>
              </w:rPr>
              <w:t>Underwriting Agreement dated as of August 12, 2010, by and among National CineMedia, Inc., National CineMedia, LLC,</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93"/>
              </w:rPr>
              <w:t>American Multi-Cinema, Inc., AMC ShowPlace Theatres, Inc., Regal CineMedia Holdings, LLC and Credit Suisse Securities</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(USA) LLC (as Representative of the Several Underwriters).</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(1)</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Amended and Restated Certificate of Incorporation.</w:t>
            </w:r>
          </w:p>
        </w:tc>
      </w:tr>
      <w:tr>
        <w:trPr>
          <w:trHeight w:val="324"/>
        </w:trPr>
        <w:tc>
          <w:tcPr>
            <w:tcW w:w="58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(2)</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Amended and Restated Bylaws.</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91"/>
              </w:rPr>
              <w:t>National CineMedia, LLC Third Amended and Restated Limited Liability Company Operating Agreement dated as of February</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93"/>
              </w:rPr>
              <w:t>13, 2007, by and among American Multi-Cinema, Inc., Cinemark Media, Inc., Regal CineMedia Holdings, LLC and National</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CineMedia, Inc.</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10.1.1</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(24)</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90"/>
              </w:rPr>
              <w:t>First Amendment to Third Amended and Restated Limited Liability Company Operating Agreement of National CineMedia, LLC</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89"/>
              </w:rPr>
              <w:t>dated as of March 16, 2009, by and among American Multi-Cinema, Inc., Cinemark Media, Inc., Regal CineMedia Holdings, LLC</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and National CineMedia, Inc.</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10.1.2</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(30)</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92"/>
              </w:rPr>
              <w:t>Second Amendment to Third Amended and Restated Limited Liability Company Operating Agreement of National CineMedia,</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90"/>
              </w:rPr>
              <w:t>LLC dated as of August 6, 2010, by and among American Multi-Cinema, Inc., Cinemark Media, Inc., Regal CineMedia Holdings,</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LLC and National CineMedia, Inc.</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93"/>
              </w:rPr>
              <w:t>Exhibitor Services Agreement dated as of February 13, 2007, by and between National CineMedia, Inc. and American Multi-</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92"/>
              </w:rPr>
              <w:t>Cinema, Inc. (Confidential treatment granted as to certain portions, which portions were omitted and filed separately with the</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Commission.)</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10.2.1</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(20)</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93"/>
              </w:rPr>
              <w:t>Amendment to Exhibitor Services Agreement dated as of November 5, 2008, by and between National CineMedia LLC and</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95"/>
              </w:rPr>
              <w:t>American Multi-Cinema, Inc. (Confidential treatment granted as to certain portions, which portions were omitted and filed</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separately with the Commission.)</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10.2.2</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(32)</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89"/>
              </w:rPr>
              <w:t>Second Amendment to Exhibitor Services Agreement dated as of October 1, 2010, by and between National CineMedia, LLC and</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95"/>
              </w:rPr>
              <w:t>American Multi-Cinema, Inc. (Confidential treatment granted as to certain portions, which portions were omitted and filed</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separately with the Commission.)</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90"/>
              </w:rPr>
              <w:t>Exhibitor Services Agreement dated as of February 13, 2007, by and between National CineMedia, Inc. and Cinemark USA, Inc.</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92"/>
              </w:rPr>
              <w:t>(Confidential treatment granted as to certain portions, which portions were omitted and filed separately with the Commission.)</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10.3.1</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(21)</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93"/>
              </w:rPr>
              <w:t>Amendment to Exhibitor Services Agreement dated as of November 5, 2008, by and between National CineMedia LLC and</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90"/>
              </w:rPr>
              <w:t>Cinemark USA, Inc. (Confidential treatment granted as to certain portions, which portions were omitted and filed separately with</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the Commission.)</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10.3.2</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(33)</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89"/>
              </w:rPr>
              <w:t>Second Amendment to Exhibitor Services Agreement dated as of October 1, 2010, by and between National CineMedia, LLC and</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90"/>
              </w:rPr>
              <w:t>Cinemark USA, Inc. (Confidential treatment granted as to certain portions, which portions were omitted and filed separately with</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the Commission.)</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10.4</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89"/>
              </w:rPr>
              <w:t>Exhibitor Services Agreement dated as of February 13, 2007, by and between National CineMedia, Inc. and Regal Cinemas, Inc.</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92"/>
              </w:rPr>
              <w:t>(Confidential treatment granted as to certain portions, which portions were omitted and filed separately with the Commission.)</w:t>
            </w:r>
          </w:p>
        </w:tc>
      </w:tr>
      <w:tr>
        <w:trPr>
          <w:trHeight w:val="365"/>
        </w:trPr>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580" w:type="dxa"/>
            <w:vAlign w:val="bottom"/>
          </w:tcPr>
          <w:p>
            <w:pPr>
              <w:ind w:left="3740"/>
              <w:spacing w:after="0"/>
              <w:rPr>
                <w:sz w:val="20"/>
                <w:szCs w:val="20"/>
                <w:color w:val="auto"/>
              </w:rPr>
            </w:pPr>
            <w:r>
              <w:rPr>
                <w:rFonts w:ascii="Arial" w:cs="Arial" w:eastAsia="Arial" w:hAnsi="Arial"/>
                <w:sz w:val="18"/>
                <w:szCs w:val="18"/>
                <w:color w:val="auto"/>
              </w:rPr>
              <w:t>66</w:t>
            </w:r>
          </w:p>
        </w:tc>
        <w:tc>
          <w:tcPr>
            <w:tcW w:w="700" w:type="dxa"/>
            <w:vAlign w:val="bottom"/>
          </w:tcPr>
          <w:p>
            <w:pPr>
              <w:spacing w:after="0"/>
              <w:rPr>
                <w:sz w:val="24"/>
                <w:szCs w:val="24"/>
                <w:color w:val="auto"/>
              </w:rPr>
            </w:pPr>
          </w:p>
        </w:tc>
        <w:tc>
          <w:tcPr>
            <w:tcW w:w="42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Exhibit</w:t>
            </w:r>
          </w:p>
        </w:tc>
        <w:tc>
          <w:tcPr>
            <w:tcW w:w="680" w:type="dxa"/>
            <w:vAlign w:val="bottom"/>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Reference</w:t>
            </w:r>
          </w:p>
        </w:tc>
        <w:tc>
          <w:tcPr>
            <w:tcW w:w="458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260" w:type="dxa"/>
            <w:vAlign w:val="bottom"/>
          </w:tcPr>
          <w:p>
            <w:pPr>
              <w:spacing w:after="0"/>
              <w:rPr>
                <w:sz w:val="14"/>
                <w:szCs w:val="14"/>
                <w:color w:val="auto"/>
              </w:rPr>
            </w:pPr>
          </w:p>
        </w:tc>
      </w:tr>
      <w:tr>
        <w:trPr>
          <w:trHeight w:val="309"/>
        </w:trPr>
        <w:tc>
          <w:tcPr>
            <w:tcW w:w="580" w:type="dxa"/>
            <w:vAlign w:val="bottom"/>
            <w:gridSpan w:val="2"/>
          </w:tcPr>
          <w:p>
            <w:pPr>
              <w:spacing w:after="0"/>
              <w:rPr>
                <w:sz w:val="20"/>
                <w:szCs w:val="20"/>
                <w:color w:val="auto"/>
              </w:rPr>
            </w:pPr>
            <w:r>
              <w:rPr>
                <w:rFonts w:ascii="Arial" w:cs="Arial" w:eastAsia="Arial" w:hAnsi="Arial"/>
                <w:sz w:val="18"/>
                <w:szCs w:val="18"/>
                <w:color w:val="auto"/>
              </w:rPr>
              <w:t>10.4.1</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(22)</w:t>
            </w: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89"/>
              </w:rPr>
              <w:t>Amendment to Exhibitor Services Agreement dated as of November 5, 2008, by and between National CineMedia LLC and Regal</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2"/>
              </w:rPr>
              <w:t>Cinemas, Inc. (Confidential treatment granted as to certain portions, which portions were omitted and filed separately with the</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rPr>
              <w:t>Commission.)</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10.4.2</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(34)</w:t>
            </w: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89"/>
              </w:rPr>
              <w:t>Second Amendment to Exhibitor Services Agreement dated as of October 1, 2010, by and between National CineMedia, LLC and</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0"/>
              </w:rPr>
              <w:t>Regal Cinemas, Inc. (Confidential treatment granted as to certain portions, which portions were omitted and filed separately with</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rPr>
              <w:t>the Commission.)</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10.5</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w:t>
            </w: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4"/>
              </w:rPr>
              <w:t>ESA Payment Letter dated as of February 13, 2007, by and among National CineMedia, Inc., American Multi-Cinema, Inc.,</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rPr>
              <w:t>Cinemark USA, Inc. and Regal Cinemas, Inc.</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10.6</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w:t>
            </w: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7"/>
              </w:rPr>
              <w:t>Common Unit Adjustment Agreement dated as of February 13, 2007, by and among National CineMedia, Inc., National</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0"/>
              </w:rPr>
              <w:t>CineMedia, LLC, Regal CineMedia Holdings, LLC, American Multi-Cinema, Inc., Cinemark Media, Inc, Regal Cinemas, Inc. and</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0"/>
              </w:rPr>
              <w:t>Cinemark USA, Inc. (Confidential treatment granted as to certain portions, which portions were omitted and filed separately with</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rPr>
              <w:t>the Commission.)</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10.7</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w:t>
            </w: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1"/>
              </w:rPr>
              <w:t>Tax Receivable Agreement dated as of February 13, 2007, by and among National CineMedia, Inc., National CineMedia, LLC,</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1"/>
              </w:rPr>
              <w:t>Regal CineMedia Holdings, LLC, Cinemark Media, Inc., Regal Cinemas, Inc., American Multi-Cinema, Inc. and Cinemark USA,</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rPr>
              <w:t>Inc.</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10.7.1</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(19)</w:t>
            </w: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0"/>
              </w:rPr>
              <w:t>Second Amendment to Tax Receivable Agreement dated as of April 29, 2008, by and among National CineMedia, Inc., National</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3"/>
              </w:rPr>
              <w:t>CineMedia, LLC, Regal CineMedia Holdings, LLC, Cinemark Media, Inc., Regal Cinemas, Inc., American Multi-Cinema, Inc.</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rPr>
              <w:t>and Cinemark USA, Inc.</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10.8</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w:t>
            </w: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89"/>
              </w:rPr>
              <w:t>First Amended and Restated Loews Screen Integration Agreement by and between National CineMedia, LLC and American Multi-</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3"/>
              </w:rPr>
              <w:t>Cinema, Inc. (Confidential treatment granted as to certain portions, which portions were omitted and filed separately with the</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rPr>
              <w:t>Commission.)</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10.9</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w:t>
            </w: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2"/>
              </w:rPr>
              <w:t>Second Amended and Restated Software License Agreement dated as of February 13, 2007, by and among American Multi-</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2"/>
              </w:rPr>
              <w:t>Cinema, Inc., Regal CineMedia Corporation, Cinemark USA, Inc., Digital Cinema Implementation Partners, LLC and National</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rPr>
              <w:t>CineMedia, LLC.</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10.10</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w:t>
            </w: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89"/>
              </w:rPr>
              <w:t>Director Designation Agreement dated as of February 13, 2007, by and among National CineMedia, Inc., American Multi-Cinema,</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rPr>
              <w:t>Inc., Cinemark Media, Inc. and Regal CineMedia Holdings, LLC.</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10.11</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w:t>
            </w: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0"/>
              </w:rPr>
              <w:t>Registration Rights Agreement dated as of February 13, 2007, by and among National CineMedia, Inc., American Multi-Cinema,</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rPr>
              <w:t>Inc., Regal CineMedia Holdings, LLC and Cinemark Media, Inc.</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10.12</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w:t>
            </w: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7"/>
              </w:rPr>
              <w:t>Management Services Agreement dated as of February 13, 2007, by and among National CineMedia, Inc. and National</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rPr>
              <w:t>CineMedia, LLC.</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10.13</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w:t>
            </w: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88"/>
              </w:rPr>
              <w:t>$805,000,000 Credit Agreement dated as of February 13, 2007, by and among National CineMedia, LLC, as borrower; the Lenders</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4"/>
              </w:rPr>
              <w:t>(as defined therein; Lehman Brothers Inc. and J.P. Morgan Securities, Inc., as arrangers; JPMorgan Chase Bank, N.A., as</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89"/>
              </w:rPr>
              <w:t>syndication agent; Credit Suisse (USA) LLC and Morgan Stanley Senior Funding, Inc., as co-documentation agents; and Lehman</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40" w:type="dxa"/>
            <w:vAlign w:val="bottom"/>
            <w:gridSpan w:val="3"/>
          </w:tcPr>
          <w:p>
            <w:pPr>
              <w:ind w:left="300"/>
              <w:spacing w:after="0"/>
              <w:rPr>
                <w:sz w:val="20"/>
                <w:szCs w:val="20"/>
                <w:color w:val="auto"/>
              </w:rPr>
            </w:pPr>
            <w:r>
              <w:rPr>
                <w:rFonts w:ascii="Arial" w:cs="Arial" w:eastAsia="Arial" w:hAnsi="Arial"/>
                <w:sz w:val="18"/>
                <w:szCs w:val="18"/>
                <w:color w:val="auto"/>
                <w:w w:val="93"/>
              </w:rPr>
              <w:t>Commercial Paper Inc., as administrative agent (including forms of Term Note, Revolving Credit Note and Swing Line Note).</w:t>
            </w:r>
          </w:p>
        </w:tc>
      </w:tr>
      <w:tr>
        <w:trPr>
          <w:trHeight w:val="365"/>
        </w:trPr>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580" w:type="dxa"/>
            <w:vAlign w:val="bottom"/>
          </w:tcPr>
          <w:p>
            <w:pPr>
              <w:ind w:left="3740"/>
              <w:spacing w:after="0"/>
              <w:rPr>
                <w:sz w:val="20"/>
                <w:szCs w:val="20"/>
                <w:color w:val="auto"/>
              </w:rPr>
            </w:pPr>
            <w:r>
              <w:rPr>
                <w:rFonts w:ascii="Arial" w:cs="Arial" w:eastAsia="Arial" w:hAnsi="Arial"/>
                <w:sz w:val="18"/>
                <w:szCs w:val="18"/>
                <w:color w:val="auto"/>
              </w:rPr>
              <w:t>67</w:t>
            </w:r>
          </w:p>
        </w:tc>
        <w:tc>
          <w:tcPr>
            <w:tcW w:w="700" w:type="dxa"/>
            <w:vAlign w:val="bottom"/>
          </w:tcPr>
          <w:p>
            <w:pPr>
              <w:spacing w:after="0"/>
              <w:rPr>
                <w:sz w:val="24"/>
                <w:szCs w:val="24"/>
                <w:color w:val="auto"/>
              </w:rPr>
            </w:pPr>
          </w:p>
        </w:tc>
        <w:tc>
          <w:tcPr>
            <w:tcW w:w="426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Exhibit</w:t>
            </w:r>
          </w:p>
        </w:tc>
        <w:tc>
          <w:tcPr>
            <w:tcW w:w="680" w:type="dxa"/>
            <w:vAlign w:val="bottom"/>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Reference</w:t>
            </w:r>
          </w:p>
        </w:tc>
        <w:tc>
          <w:tcPr>
            <w:tcW w:w="458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4220" w:type="dxa"/>
            <w:vAlign w:val="bottom"/>
          </w:tcPr>
          <w:p>
            <w:pPr>
              <w:spacing w:after="0"/>
              <w:rPr>
                <w:sz w:val="14"/>
                <w:szCs w:val="14"/>
                <w:color w:val="auto"/>
              </w:rPr>
            </w:pPr>
          </w:p>
        </w:tc>
      </w:tr>
      <w:tr>
        <w:trPr>
          <w:trHeight w:val="309"/>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10.13.1</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(28)</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92"/>
              </w:rPr>
              <w:t>Amendment, Resignation, Waiver, Consent And Appointment Agreement dated as of March 31, 2010 by and among National</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95"/>
              </w:rPr>
              <w:t>CineMedia, LLC, as borrower; the Lenders (as defined therein; Lehman Brothers Inc. and J.P. Morgan Securities, Inc., as</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88"/>
              </w:rPr>
              <w:t>arrangers; JPMorgan Chase Bank, N.A., as syndication agent; Credit Suisse (USA) LLC and Morgan Stanley Senior Funding, Inc.,</w:t>
            </w:r>
          </w:p>
        </w:tc>
      </w:tr>
      <w:tr>
        <w:trPr>
          <w:trHeight w:val="216"/>
        </w:trPr>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90"/>
              </w:rPr>
              <w:t>as co-documentation agents; Lehman Commercial Paper Inc., as administrative agent (including forms of Term Note, Revolving</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Credit Note and Swing Line Note); and Barclays Bank PLC as successor administrative agent.</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10.14</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90"/>
              </w:rPr>
              <w:t>Employment Agreement dated as of February 13, 2007, by and among National CineMedia, Inc., National CineMedia, LLC and</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Kurt C. Hall.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10.14.1</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(23)</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91"/>
              </w:rPr>
              <w:t>First Amendment to Employment Agreement effective as of January 1, 2009, by and among National CineMedia, Inc., National</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CineMedia, LLC and Kurt C. Hall.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10.15</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90"/>
              </w:rPr>
              <w:t>Employment Agreement dated as of February 13, 2007, by and among National CineMedia, Inc., National CineMedia, LLC and</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Clifford E. Marks.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10.15.1</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(23)</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91"/>
              </w:rPr>
              <w:t>First Amendment to Employment Agreement effective as of January 1, 2009, by and among National CineMedia, Inc., National</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CineMedia, LLC and Clifford E. Marks.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10.16</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90"/>
              </w:rPr>
              <w:t>Employment Agreement dated as of February 13, 2007, by and among National CineMedia, Inc., National CineMedia, LLC and</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Gary W. Ferrera.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10.16.1</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(23)</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91"/>
              </w:rPr>
              <w:t>First Amendment to Employment Agreement effective as of January 1, 2009, by and among National CineMedia, Inc., National</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CineMedia, LLC and Gary W. Ferrera.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10.17.2</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(27)</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88"/>
              </w:rPr>
              <w:t>Separation Agreement and Release and Consulting Agreement dated as of December 2, 2009 by and among National CineMedia,</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Inc., National CineMedia, LLC and Thomas C. Galley.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rPr>
              <w:t>10.18</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90"/>
              </w:rPr>
              <w:t>Employment Agreement dated as of February 13, 2007, by and among National CineMedia, Inc., National CineMedia, LLC and</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Ralph E. Hardy. +</w:t>
            </w:r>
          </w:p>
        </w:tc>
      </w:tr>
      <w:tr>
        <w:trPr>
          <w:trHeight w:val="318"/>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10.18.1</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(23)</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w w:val="91"/>
              </w:rPr>
              <w:t>First Amendment to Employment Agreement effective as of January 1, 2009, by and among National CineMedia, Inc., National</w:t>
            </w:r>
          </w:p>
        </w:tc>
      </w:tr>
      <w:tr>
        <w:trPr>
          <w:trHeight w:val="222"/>
        </w:trPr>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CineMedia, LLC and Ralph E. Hardy.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10.19</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(4)</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National CineMedia, Inc. 2007 Equity Incentive Plan.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10.19.1</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(23)</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First Amendment to National CineMedia, Inc. 2007 Equity Incentive Plan.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10.19.2</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(25)</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Second Amendment to National CineMedia, Inc. 2007 Equity Incentive Plan.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10.20</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(5)</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Form of Option Substitution Award.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10.21</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(6)</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Form of Restricted Stock Substitution Award.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10.22</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(7)</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Form of Stock Option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10.22.1</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(23)</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Form of 2009 Stock Option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10.22.2</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(36)</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Form of 2010 Stock Option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10.22.3</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Form of 2011 Stock Option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rPr>
              <w:t>10.23</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(8)</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Form of Restricted Stock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10.23.1</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(23)</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Form of 2009 Restricted Stock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10.23.2</w:t>
            </w:r>
          </w:p>
        </w:tc>
        <w:tc>
          <w:tcPr>
            <w:tcW w:w="1300" w:type="dxa"/>
            <w:vAlign w:val="bottom"/>
            <w:gridSpan w:val="2"/>
          </w:tcPr>
          <w:p>
            <w:pPr>
              <w:ind w:left="580"/>
              <w:spacing w:after="0"/>
              <w:rPr>
                <w:sz w:val="20"/>
                <w:szCs w:val="20"/>
                <w:color w:val="auto"/>
              </w:rPr>
            </w:pPr>
            <w:r>
              <w:rPr>
                <w:rFonts w:ascii="Arial" w:cs="Arial" w:eastAsia="Arial" w:hAnsi="Arial"/>
                <w:sz w:val="18"/>
                <w:szCs w:val="18"/>
                <w:color w:val="auto"/>
              </w:rPr>
              <w:t>(36)</w:t>
            </w: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Form of 2010 Restricted Stock Agreement. +</w:t>
            </w:r>
          </w:p>
        </w:tc>
      </w:tr>
      <w:tr>
        <w:trPr>
          <w:trHeight w:val="324"/>
        </w:trPr>
        <w:tc>
          <w:tcPr>
            <w:tcW w:w="580" w:type="dxa"/>
            <w:vAlign w:val="bottom"/>
            <w:gridSpan w:val="2"/>
          </w:tcPr>
          <w:p>
            <w:pPr>
              <w:spacing w:after="0"/>
              <w:rPr>
                <w:sz w:val="20"/>
                <w:szCs w:val="20"/>
                <w:color w:val="auto"/>
              </w:rPr>
            </w:pPr>
            <w:r>
              <w:rPr>
                <w:rFonts w:ascii="Arial" w:cs="Arial" w:eastAsia="Arial" w:hAnsi="Arial"/>
                <w:sz w:val="18"/>
                <w:szCs w:val="18"/>
                <w:color w:val="auto"/>
                <w:w w:val="93"/>
              </w:rPr>
              <w:t>10.23.3</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9500" w:type="dxa"/>
            <w:vAlign w:val="bottom"/>
            <w:gridSpan w:val="3"/>
          </w:tcPr>
          <w:p>
            <w:pPr>
              <w:ind w:left="300"/>
              <w:spacing w:after="0"/>
              <w:rPr>
                <w:sz w:val="20"/>
                <w:szCs w:val="20"/>
                <w:color w:val="auto"/>
              </w:rPr>
            </w:pPr>
            <w:r>
              <w:rPr>
                <w:rFonts w:ascii="Arial" w:cs="Arial" w:eastAsia="Arial" w:hAnsi="Arial"/>
                <w:sz w:val="18"/>
                <w:szCs w:val="18"/>
                <w:color w:val="auto"/>
              </w:rPr>
              <w:t>Form of 2011 Restricted Stock Agreement. +</w:t>
            </w:r>
          </w:p>
        </w:tc>
      </w:tr>
      <w:tr>
        <w:trPr>
          <w:trHeight w:val="365"/>
        </w:trPr>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580" w:type="dxa"/>
            <w:vAlign w:val="bottom"/>
          </w:tcPr>
          <w:p>
            <w:pPr>
              <w:ind w:left="3740"/>
              <w:spacing w:after="0"/>
              <w:rPr>
                <w:sz w:val="20"/>
                <w:szCs w:val="20"/>
                <w:color w:val="auto"/>
              </w:rPr>
            </w:pPr>
            <w:r>
              <w:rPr>
                <w:rFonts w:ascii="Arial" w:cs="Arial" w:eastAsia="Arial" w:hAnsi="Arial"/>
                <w:sz w:val="18"/>
                <w:szCs w:val="18"/>
                <w:color w:val="auto"/>
              </w:rPr>
              <w:t>68</w:t>
            </w:r>
          </w:p>
        </w:tc>
        <w:tc>
          <w:tcPr>
            <w:tcW w:w="700" w:type="dxa"/>
            <w:vAlign w:val="bottom"/>
          </w:tcPr>
          <w:p>
            <w:pPr>
              <w:spacing w:after="0"/>
              <w:rPr>
                <w:sz w:val="24"/>
                <w:szCs w:val="24"/>
                <w:color w:val="auto"/>
              </w:rPr>
            </w:pPr>
          </w:p>
        </w:tc>
        <w:tc>
          <w:tcPr>
            <w:tcW w:w="42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Exhibit</w:t>
            </w:r>
          </w:p>
        </w:tc>
        <w:tc>
          <w:tcPr>
            <w:tcW w:w="620" w:type="dxa"/>
            <w:vAlign w:val="bottom"/>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Reference</w:t>
            </w:r>
          </w:p>
        </w:tc>
        <w:tc>
          <w:tcPr>
            <w:tcW w:w="4520" w:type="dxa"/>
            <w:vAlign w:val="bottom"/>
          </w:tcPr>
          <w:p>
            <w:pPr>
              <w:spacing w:after="0"/>
              <w:rPr>
                <w:sz w:val="14"/>
                <w:szCs w:val="14"/>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Description</w:t>
            </w:r>
          </w:p>
        </w:tc>
        <w:tc>
          <w:tcPr>
            <w:tcW w:w="4140" w:type="dxa"/>
            <w:vAlign w:val="bottom"/>
          </w:tcPr>
          <w:p>
            <w:pPr>
              <w:spacing w:after="0"/>
              <w:rPr>
                <w:sz w:val="14"/>
                <w:szCs w:val="14"/>
                <w:color w:val="auto"/>
              </w:rPr>
            </w:pPr>
          </w:p>
        </w:tc>
      </w:tr>
      <w:tr>
        <w:trPr>
          <w:trHeight w:val="316"/>
        </w:trPr>
        <w:tc>
          <w:tcPr>
            <w:tcW w:w="640" w:type="dxa"/>
            <w:vAlign w:val="bottom"/>
            <w:gridSpan w:val="2"/>
          </w:tcPr>
          <w:p>
            <w:pPr>
              <w:spacing w:after="0"/>
              <w:rPr>
                <w:sz w:val="20"/>
                <w:szCs w:val="20"/>
                <w:color w:val="auto"/>
              </w:rPr>
            </w:pPr>
            <w:r>
              <w:rPr>
                <w:rFonts w:ascii="Arial" w:cs="Arial" w:eastAsia="Arial" w:hAnsi="Arial"/>
                <w:sz w:val="18"/>
                <w:szCs w:val="18"/>
                <w:color w:val="auto"/>
              </w:rPr>
              <w:t>10.24</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(9)</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w w:val="90"/>
              </w:rPr>
              <w:t>Confirmation of Swap, dated as of June 12, 2007, between National CineMedia, LLC and Morgan Stanley Capital Services Inc.</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10.25</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(10)</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w w:val="88"/>
              </w:rPr>
              <w:t>ISDA Master Agreement dated as of March 2, 2007, between National CineMedia, LLC and Morgan Stanley Capital Services and</w:t>
            </w:r>
          </w:p>
        </w:tc>
      </w:tr>
      <w:tr>
        <w:trPr>
          <w:trHeight w:val="222"/>
        </w:trPr>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Schedule.</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10.26</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(11)</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National CineMedia, Inc. Executive Officer 2007 Performance Bonus Plan +</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10.27</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(12)</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w w:val="99"/>
              </w:rPr>
              <w:t>Confirmation of Swap, dated as of July 25, 2007, between National CineMedia, LLC and Credit Suisse International.</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10.28</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(13)</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w w:val="93"/>
              </w:rPr>
              <w:t>ISDA Master Agreement dated as of March 2, 2007, between National CineMedia, LLC and Credit Suisse International and</w:t>
            </w:r>
          </w:p>
        </w:tc>
      </w:tr>
      <w:tr>
        <w:trPr>
          <w:trHeight w:val="222"/>
        </w:trPr>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Schedule.</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10.29</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(14)</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w w:val="96"/>
              </w:rPr>
              <w:t>Confirmation of Swap, dated as of August 6, 2007, between National CineMedia, LLC and JPMorgan Chase Bank, N.A.</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10.30</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(15)</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w w:val="94"/>
              </w:rPr>
              <w:t>ISDA Master Agreement dated as of August 6, 2007, between National CineMedia, LLC and JPMorgan Chase Bank, N.A.</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10.32</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(17)</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w w:val="93"/>
              </w:rPr>
              <w:t>ISDA Master Agreement dated as of September 14, 2007, between National CineMedia, LLC and Lehman Brothers Special</w:t>
            </w:r>
          </w:p>
        </w:tc>
      </w:tr>
      <w:tr>
        <w:trPr>
          <w:trHeight w:val="222"/>
        </w:trPr>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Financing, Inc.</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10.34</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(23)</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Form of Restricted Stock Unit Agreement. +</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10.35</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(26)</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National CineMedia, Inc. 2009 Performance Bonus Plan +</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10.36</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(36)</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w w:val="89"/>
              </w:rPr>
              <w:t>ISDA Novation Agreement dated as of February 4, 2010, between National CineMedia, LLC, Lehman Brothers Special Financing</w:t>
            </w:r>
          </w:p>
        </w:tc>
      </w:tr>
      <w:tr>
        <w:trPr>
          <w:trHeight w:val="222"/>
        </w:trPr>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Inc. and Barclays Bank PLC.</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10.37</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(36)</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Confirmation of Swap, dated as of February 16, 2010, between National CineMedia, LLC and Barclays Bank PLC.</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10.38</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(29)</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ISDA Master Agreement dated as of February 4, 2010 between National CineMedia, LLC and Barclays Bank PLC.</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10.39</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(35)</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National CineMedia, Inc. 2010 Performance Bonus Plan. +</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21.1</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List of Subsidiaries.</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23.1</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31.1</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Rule 13a-14(a) Certification of Chief Executive Officer</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31.2</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Rule 13a-14(a) Certification of Chief Financial Officer</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32.1</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Certification of Chief Executive Officer Pursuant to 18 U.S.C. Section 1350</w:t>
            </w:r>
          </w:p>
        </w:tc>
      </w:tr>
      <w:tr>
        <w:trPr>
          <w:trHeight w:val="324"/>
        </w:trPr>
        <w:tc>
          <w:tcPr>
            <w:tcW w:w="640" w:type="dxa"/>
            <w:vAlign w:val="bottom"/>
            <w:gridSpan w:val="2"/>
          </w:tcPr>
          <w:p>
            <w:pPr>
              <w:spacing w:after="0"/>
              <w:rPr>
                <w:sz w:val="20"/>
                <w:szCs w:val="20"/>
                <w:color w:val="auto"/>
              </w:rPr>
            </w:pPr>
            <w:r>
              <w:rPr>
                <w:rFonts w:ascii="Arial" w:cs="Arial" w:eastAsia="Arial" w:hAnsi="Arial"/>
                <w:sz w:val="18"/>
                <w:szCs w:val="18"/>
                <w:color w:val="auto"/>
              </w:rPr>
              <w:t>32.2</w:t>
            </w:r>
          </w:p>
        </w:tc>
        <w:tc>
          <w:tcPr>
            <w:tcW w:w="12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Certification of Chief Financial Officer Pursuant to 18 U.S.C. Section 1350</w:t>
            </w:r>
          </w:p>
        </w:tc>
      </w:tr>
      <w:tr>
        <w:trPr>
          <w:trHeight w:val="318"/>
        </w:trPr>
        <w:tc>
          <w:tcPr>
            <w:tcW w:w="640" w:type="dxa"/>
            <w:vAlign w:val="bottom"/>
            <w:gridSpan w:val="2"/>
          </w:tcPr>
          <w:p>
            <w:pPr>
              <w:spacing w:after="0"/>
              <w:rPr>
                <w:sz w:val="20"/>
                <w:szCs w:val="20"/>
                <w:color w:val="auto"/>
              </w:rPr>
            </w:pPr>
            <w:r>
              <w:rPr>
                <w:rFonts w:ascii="Arial" w:cs="Arial" w:eastAsia="Arial" w:hAnsi="Arial"/>
                <w:sz w:val="18"/>
                <w:szCs w:val="18"/>
                <w:color w:val="auto"/>
              </w:rPr>
              <w:t>99.1</w:t>
            </w:r>
          </w:p>
        </w:tc>
        <w:tc>
          <w:tcPr>
            <w:tcW w:w="620" w:type="dxa"/>
            <w:vAlign w:val="bottom"/>
          </w:tcPr>
          <w:p>
            <w:pPr>
              <w:ind w:left="5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w w:val="89"/>
              </w:rPr>
              <w:t>The audited financial statements of National CineMedia, LLC as of and for the year ended December 30, 2010 (and comparative</w:t>
            </w:r>
          </w:p>
        </w:tc>
      </w:tr>
      <w:tr>
        <w:trPr>
          <w:trHeight w:val="222"/>
        </w:trPr>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360" w:type="dxa"/>
            <w:vAlign w:val="bottom"/>
            <w:gridSpan w:val="3"/>
          </w:tcPr>
          <w:p>
            <w:pPr>
              <w:ind w:left="200"/>
              <w:spacing w:after="0"/>
              <w:rPr>
                <w:sz w:val="20"/>
                <w:szCs w:val="20"/>
                <w:color w:val="auto"/>
              </w:rPr>
            </w:pPr>
            <w:r>
              <w:rPr>
                <w:rFonts w:ascii="Arial" w:cs="Arial" w:eastAsia="Arial" w:hAnsi="Arial"/>
                <w:sz w:val="18"/>
                <w:szCs w:val="18"/>
                <w:color w:val="auto"/>
              </w:rPr>
              <w:t>periods).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77" w:lineRule="exact"/>
        <w:rPr>
          <w:sz w:val="20"/>
          <w:szCs w:val="20"/>
          <w:color w:val="auto"/>
        </w:rPr>
      </w:pPr>
    </w:p>
    <w:p>
      <w:pPr>
        <w:ind w:left="580" w:hanging="572"/>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7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5"/>
          <w:szCs w:val="15"/>
          <w:color w:val="auto"/>
        </w:rPr>
        <w:t>Management contract.</w:t>
      </w:r>
    </w:p>
    <w:p>
      <w:pPr>
        <w:spacing w:after="0" w:line="77" w:lineRule="exact"/>
        <w:rPr>
          <w:sz w:val="20"/>
          <w:szCs w:val="20"/>
          <w:color w:val="auto"/>
        </w:rPr>
      </w:pPr>
    </w:p>
    <w:p>
      <w:pPr>
        <w:ind w:left="580" w:hanging="572"/>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Incorporated by reference to Exhibit 4.1 from the Registrant’s Registration Statement on Form S-8 (File No. 333-140652) filed on February 13, 2007.</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Incorporated by reference to Exhibit 4.2 from the Registrant’s Registration Statement on Form S-8 (File No. 333-140652) filed on February 13, 2007.</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240" w:top="459"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hanging="572"/>
        <w:spacing w:after="0" w:line="268"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Exhibits of the same number from the Registrant’s Current Report on Form 8-K (File No. 001-33296) filed on February 16, 2007.</w:t>
      </w:r>
    </w:p>
    <w:p>
      <w:pPr>
        <w:spacing w:after="0" w:line="37" w:lineRule="exact"/>
        <w:rPr>
          <w:rFonts w:ascii="Arial" w:cs="Arial" w:eastAsia="Arial" w:hAnsi="Arial"/>
          <w:sz w:val="18"/>
          <w:szCs w:val="18"/>
          <w:color w:val="auto"/>
        </w:rPr>
      </w:pPr>
    </w:p>
    <w:p>
      <w:pPr>
        <w:ind w:left="580" w:hanging="572"/>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to Exhibit 4.3 from the Registrant’s Registration Statement on Form S-8 (File No. 333-140652) filed on February 13, 2007.</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to Exhibit 4.4 from the Registrant’s Registration Statement on Form S-8 (File No. 333-140652) filed on February 13, 2007.</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to Exhibit 4.5 from the Registrant’s Registration Statement on Form S-8 (File No. 333-140652) filed on February 13, 2007.</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to Exhibit 4.6 from the Registrant’s Registration Statement on Form S-8 (File No. 333-140652) filed on February 13, 2007.</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to Exhibit 4.7 from the Registrant’s Registration Statement on Form S-8 (File No. 333-140652) filed on February 13, 2007.</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Quarterly Report on Form 10-Q (File No. 001-33296) filed on August 10, 2007.</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to Exhibit 10.2 from the Registrant’s Quarterly Report on Form 10-Q (File No. 001-33296) filed on August 10, 2007.</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Current Report on Form 8-K (File No. 001-33296) filed on August 30, 2007.</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Quarterly Report on Form 10-Q (File No. 001-33296) filed on November 9, 2007.</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to Exhibit 10.2 from the Registrant’s Quarterly Report on Form 10-Q (File No. 001-33296) filed on November 9, 2007.</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to Exhibit 10.3 from the Registrant’s Quarterly Report on Form 10-Q (File No. 001-33296) filed on November 9, 2007.</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to Exhibit 10.4 from the Registrant’s Quarterly Report on Form 10-Q (File No. 001-33296) filed on November 9, 2007.</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to Exhibit 10.5 from the Registrant’s Quarterly Report on Form 10-Q (File No. 001-33296) filed on November 9, 2007.</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to Exhibit 10.6 from the Registrant’s Quarterly Report on Form 10-Q (File No. 001-33296) filed on November 9, 2007.</w:t>
      </w:r>
    </w:p>
    <w:p>
      <w:pPr>
        <w:spacing w:after="0" w:line="99" w:lineRule="exact"/>
        <w:rPr>
          <w:rFonts w:ascii="Arial" w:cs="Arial" w:eastAsia="Arial" w:hAnsi="Arial"/>
          <w:sz w:val="16"/>
          <w:szCs w:val="16"/>
          <w:color w:val="auto"/>
        </w:rPr>
      </w:pPr>
    </w:p>
    <w:p>
      <w:pPr>
        <w:ind w:left="580" w:right="80" w:hanging="572"/>
        <w:spacing w:after="0" w:line="268"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Appendix B from the Registrant’s Definitive Proxy Statement on Form Def 14-A (File No. 001-33296) filed on March 28, 2008.</w:t>
      </w:r>
    </w:p>
    <w:p>
      <w:pPr>
        <w:spacing w:after="0" w:line="37" w:lineRule="exact"/>
        <w:rPr>
          <w:rFonts w:ascii="Arial" w:cs="Arial" w:eastAsia="Arial" w:hAnsi="Arial"/>
          <w:sz w:val="18"/>
          <w:szCs w:val="18"/>
          <w:color w:val="auto"/>
        </w:rPr>
      </w:pPr>
    </w:p>
    <w:p>
      <w:pPr>
        <w:ind w:left="580" w:hanging="572"/>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Exhibit 10.1 from the Registrant’s Current Report on Form 8-K (File No. 001-33296) filed on May 5, 2008.</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Current Report on Form 8-K (File No. 001-33296) filed on November 6, 2008.</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to Exhibit 10.2 from the Registrant’s Current Report on Form 8-K (File No. 001-33296) filed on November 6, 2008.</w:t>
      </w:r>
    </w:p>
    <w:p>
      <w:pPr>
        <w:spacing w:after="0" w:line="99" w:lineRule="exact"/>
        <w:rPr>
          <w:rFonts w:ascii="Arial" w:cs="Arial" w:eastAsia="Arial" w:hAnsi="Arial"/>
          <w:sz w:val="16"/>
          <w:szCs w:val="16"/>
          <w:color w:val="auto"/>
        </w:rPr>
      </w:pPr>
    </w:p>
    <w:p>
      <w:pPr>
        <w:ind w:left="580" w:hanging="572"/>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to Exhibit 10.3 from the Registrant’s Current Report on Form 8-K (File No. 001-33296) filed on November 6, 2008.</w:t>
      </w:r>
    </w:p>
    <w:p>
      <w:pPr>
        <w:spacing w:after="0" w:line="99" w:lineRule="exact"/>
        <w:rPr>
          <w:rFonts w:ascii="Arial" w:cs="Arial" w:eastAsia="Arial" w:hAnsi="Arial"/>
          <w:sz w:val="16"/>
          <w:szCs w:val="16"/>
          <w:color w:val="auto"/>
        </w:rPr>
      </w:pPr>
    </w:p>
    <w:p>
      <w:pPr>
        <w:ind w:left="580" w:right="180" w:hanging="572"/>
        <w:spacing w:after="0" w:line="268" w:lineRule="auto"/>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Incorporated by reference to Exhibits of the same number from the Registrant’s Annual Report on Form 10-K (File No. 001-33296) filed on March 6, 2009.</w:t>
      </w:r>
    </w:p>
    <w:p>
      <w:pPr>
        <w:spacing w:after="0" w:line="37" w:lineRule="exact"/>
        <w:rPr>
          <w:rFonts w:ascii="Arial" w:cs="Arial" w:eastAsia="Arial" w:hAnsi="Arial"/>
          <w:sz w:val="18"/>
          <w:szCs w:val="18"/>
          <w:color w:val="auto"/>
        </w:rPr>
      </w:pPr>
    </w:p>
    <w:p>
      <w:pPr>
        <w:ind w:left="580" w:hanging="572"/>
        <w:spacing w:after="0"/>
        <w:tabs>
          <w:tab w:leader="none" w:pos="5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Incorporated by reference to Exhibit 10.1.1 from the Registrant’s Quarterly Report on Form 10-Q (File No. 001-33296) filed on August 7, 2009.</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80"/>
          </w:cols>
          <w:pgMar w:left="240" w:top="459" w:right="3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2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to Appendix B from the Registrant’s Definitive Proxy Statement on Form Def 14-A (File No. 001-33296) filed on March 19, 2009.</w:t>
      </w:r>
    </w:p>
    <w:p>
      <w:pPr>
        <w:spacing w:after="0" w:line="37" w:lineRule="exact"/>
        <w:rPr>
          <w:rFonts w:ascii="Arial" w:cs="Arial" w:eastAsia="Arial" w:hAnsi="Arial"/>
          <w:sz w:val="18"/>
          <w:szCs w:val="18"/>
          <w:color w:val="auto"/>
        </w:rPr>
      </w:pPr>
    </w:p>
    <w:p>
      <w:pPr>
        <w:ind w:left="460" w:right="30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to Appendix A from the Registrant’s Definitive Proxy Statement on Form Def 14-A (File No. 001-33296) filed on March 19, 2009.</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Current Report on Form 8-K (File No. 001-33296) filed on December 21, 2009.</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to Exhibit 10.1 from the Registrant’s Current Report on Form 8-K (File No. 001-33296) filed on April 6, 2010.</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to Exhibit 10.1 from the Registrant’s Current Report on Form 8-K (File No. 001-33296) filed on April 14, 2010.</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Current Report on Form 8-K (File No. 001-33296) filed on August 10, 2010.</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to Exhibit 1.1 from the Registrant’s Current Report on Form 8-K (File No. 001-33296) filed on August 13, 2010.</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Incorporated by reference to Exhibit 10.1 from the Registrant’s Current Report on Form 8-K (File No. 001-33296) filed on October 6, 2010.</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Incorporated by reference to Exhibit 10.2 from the Registrant’s Current Report on Form 8-K (File No. 001-33296) filed on October 6, 2010.</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Incorporated by reference to Exhibit 10.3 from the Registrant’s Current Report on Form 8-K (File No. 001-33296) filed on October 6, 2010.</w:t>
      </w:r>
    </w:p>
    <w:p>
      <w:pPr>
        <w:spacing w:after="0" w:line="99" w:lineRule="exact"/>
        <w:rPr>
          <w:rFonts w:ascii="Arial" w:cs="Arial" w:eastAsia="Arial" w:hAnsi="Arial"/>
          <w:sz w:val="16"/>
          <w:szCs w:val="16"/>
          <w:color w:val="auto"/>
        </w:rPr>
      </w:pPr>
    </w:p>
    <w:p>
      <w:pPr>
        <w:ind w:left="460" w:right="30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Incorporated by reference to Appendix A from the Registrant’s Definitive Proxy Statement on Form Def 14-A (File No. 001-33296) filed on March 18, 2010.</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Incorporated by reference to Exhibits of the same number from the Registrant’s Annual Report on Form 10-K (File No. 001-33296) filed on March 9, 2010.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2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National CineMedia, Inc. and Subsidiary</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11020" w:type="dxa"/>
            <w:vAlign w:val="bottom"/>
            <w:gridSpan w:val="9"/>
            <w:vMerge w:val="continue"/>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440" w:type="dxa"/>
            <w:vAlign w:val="bottom"/>
          </w:tcPr>
          <w:p>
            <w:pPr>
              <w:spacing w:after="0"/>
              <w:rPr>
                <w:sz w:val="24"/>
                <w:szCs w:val="24"/>
                <w:color w:val="auto"/>
              </w:rPr>
            </w:pPr>
          </w:p>
        </w:tc>
        <w:tc>
          <w:tcPr>
            <w:tcW w:w="41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Report of Independent Registered Public Accounting Firm</w:t>
              </w:r>
            </w:hyperlink>
          </w:p>
        </w:tc>
        <w:tc>
          <w:tcPr>
            <w:tcW w:w="6460" w:type="dxa"/>
            <w:vAlign w:val="bottom"/>
            <w:gridSpan w:val="6"/>
          </w:tcPr>
          <w:p>
            <w:pPr>
              <w:spacing w:after="0"/>
              <w:rPr>
                <w:sz w:val="24"/>
                <w:szCs w:val="24"/>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w w:val="81"/>
              </w:rPr>
              <w:t>F-2</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580" w:type="dxa"/>
            <w:vAlign w:val="bottom"/>
            <w:gridSpan w:val="8"/>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Consolidated Balance Sheets as of December 30, 2010 and December 31, 2009</w:t>
              </w:r>
            </w:hyperlink>
          </w:p>
        </w:tc>
        <w:tc>
          <w:tcPr>
            <w:tcW w:w="300" w:type="dxa"/>
            <w:vAlign w:val="bottom"/>
          </w:tcPr>
          <w:p>
            <w:pPr>
              <w:ind w:left="60"/>
              <w:spacing w:after="0"/>
              <w:rPr>
                <w:sz w:val="20"/>
                <w:szCs w:val="20"/>
                <w:color w:val="auto"/>
              </w:rPr>
            </w:pPr>
            <w:r>
              <w:rPr>
                <w:rFonts w:ascii="Arial" w:cs="Arial" w:eastAsia="Arial" w:hAnsi="Arial"/>
                <w:sz w:val="18"/>
                <w:szCs w:val="18"/>
                <w:color w:val="auto"/>
                <w:w w:val="81"/>
              </w:rPr>
              <w:t>F-3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580" w:type="dxa"/>
            <w:vAlign w:val="bottom"/>
            <w:gridSpan w:val="8"/>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Consolidated Statements of Operations for the years ended December 30, 2010, December 31, 2009 and January 1, 2009</w:t>
              </w:r>
            </w:hyperlink>
          </w:p>
        </w:tc>
        <w:tc>
          <w:tcPr>
            <w:tcW w:w="300" w:type="dxa"/>
            <w:vAlign w:val="bottom"/>
          </w:tcPr>
          <w:p>
            <w:pPr>
              <w:ind w:left="60"/>
              <w:spacing w:after="0"/>
              <w:rPr>
                <w:sz w:val="20"/>
                <w:szCs w:val="20"/>
                <w:color w:val="auto"/>
              </w:rPr>
            </w:pPr>
            <w:r>
              <w:rPr>
                <w:rFonts w:ascii="Arial" w:cs="Arial" w:eastAsia="Arial" w:hAnsi="Arial"/>
                <w:sz w:val="18"/>
                <w:szCs w:val="18"/>
                <w:color w:val="auto"/>
                <w:w w:val="81"/>
              </w:rPr>
              <w:t>F-4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4480" w:type="dxa"/>
            <w:vAlign w:val="bottom"/>
            <w:gridSpan w:val="3"/>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10580" w:type="dxa"/>
            <w:vAlign w:val="bottom"/>
            <w:gridSpan w:val="8"/>
          </w:tcPr>
          <w:p>
            <w:pPr>
              <w:spacing w:after="0"/>
              <w:rPr>
                <w:rFonts w:ascii="Arial" w:cs="Arial" w:eastAsia="Arial" w:hAnsi="Arial"/>
                <w:sz w:val="18"/>
                <w:szCs w:val="18"/>
                <w:color w:val="0000EE"/>
                <w:w w:val="96"/>
              </w:rPr>
            </w:pPr>
            <w:hyperlink w:anchor="page76">
              <w:r>
                <w:rPr>
                  <w:rFonts w:ascii="Arial" w:cs="Arial" w:eastAsia="Arial" w:hAnsi="Arial"/>
                  <w:sz w:val="18"/>
                  <w:szCs w:val="18"/>
                  <w:color w:val="0000EE"/>
                  <w:w w:val="96"/>
                </w:rPr>
                <w:t>Consolidated Statements of Equity/(Deficit) and Comprehensive Income for the years ended December 30, 2010 and December 31, 2009</w:t>
              </w:r>
            </w:hyperlink>
          </w:p>
        </w:tc>
        <w:tc>
          <w:tcPr>
            <w:tcW w:w="300" w:type="dxa"/>
            <w:vAlign w:val="bottom"/>
          </w:tcPr>
          <w:p>
            <w:pPr>
              <w:ind w:left="60"/>
              <w:spacing w:after="0"/>
              <w:rPr>
                <w:sz w:val="20"/>
                <w:szCs w:val="20"/>
                <w:color w:val="auto"/>
              </w:rPr>
            </w:pPr>
            <w:r>
              <w:rPr>
                <w:rFonts w:ascii="Arial" w:cs="Arial" w:eastAsia="Arial" w:hAnsi="Arial"/>
                <w:sz w:val="18"/>
                <w:szCs w:val="18"/>
                <w:color w:val="auto"/>
                <w:w w:val="81"/>
              </w:rPr>
              <w:t>F-5</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9680" w:type="dxa"/>
            <w:vAlign w:val="bottom"/>
            <w:tcBorders>
              <w:top w:val="single" w:sz="8" w:color="0000EE"/>
            </w:tcBorders>
            <w:gridSpan w:val="7"/>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Consolidated Statement of Equity/(Deficit) and Comprehensive Income for the year ended January 1, 2009</w:t>
              </w:r>
            </w:hyperlink>
          </w:p>
        </w:tc>
        <w:tc>
          <w:tcPr>
            <w:tcW w:w="900" w:type="dxa"/>
            <w:vAlign w:val="bottom"/>
          </w:tcPr>
          <w:p>
            <w:pPr>
              <w:spacing w:after="0"/>
              <w:rPr>
                <w:sz w:val="24"/>
                <w:szCs w:val="24"/>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w w:val="81"/>
              </w:rPr>
              <w:t>F-6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4480" w:type="dxa"/>
            <w:vAlign w:val="bottom"/>
            <w:gridSpan w:val="3"/>
            <w:shd w:val="clear" w:color="auto" w:fill="0000EE"/>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40" w:type="dxa"/>
            <w:vAlign w:val="bottom"/>
          </w:tcPr>
          <w:p>
            <w:pPr>
              <w:spacing w:after="0"/>
              <w:rPr>
                <w:sz w:val="24"/>
                <w:szCs w:val="24"/>
                <w:color w:val="auto"/>
              </w:rPr>
            </w:pPr>
          </w:p>
        </w:tc>
        <w:tc>
          <w:tcPr>
            <w:tcW w:w="858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78">
              <w:r>
                <w:rPr>
                  <w:rFonts w:ascii="Arial" w:cs="Arial" w:eastAsia="Arial" w:hAnsi="Arial"/>
                  <w:sz w:val="18"/>
                  <w:szCs w:val="18"/>
                  <w:color w:val="0000EE"/>
                  <w:w w:val="87"/>
                </w:rPr>
                <w:t>Consolidated Statements of Cash Flows for the years ended December 30, 2010, December 31, 2009 and January 1, 2009</w:t>
              </w:r>
            </w:hyperlink>
          </w:p>
        </w:tc>
        <w:tc>
          <w:tcPr>
            <w:tcW w:w="2000" w:type="dxa"/>
            <w:vAlign w:val="bottom"/>
            <w:gridSpan w:val="2"/>
          </w:tcPr>
          <w:p>
            <w:pPr>
              <w:spacing w:after="0"/>
              <w:rPr>
                <w:sz w:val="24"/>
                <w:szCs w:val="24"/>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w w:val="81"/>
              </w:rPr>
              <w:t>F-7</w:t>
            </w:r>
          </w:p>
        </w:tc>
        <w:tc>
          <w:tcPr>
            <w:tcW w:w="0" w:type="dxa"/>
            <w:vAlign w:val="bottom"/>
          </w:tcPr>
          <w:p>
            <w:pPr>
              <w:spacing w:after="0"/>
              <w:rPr>
                <w:sz w:val="1"/>
                <w:szCs w:val="1"/>
                <w:color w:val="auto"/>
              </w:rPr>
            </w:pPr>
          </w:p>
        </w:tc>
      </w:tr>
      <w:tr>
        <w:trPr>
          <w:trHeight w:val="304"/>
        </w:trPr>
        <w:tc>
          <w:tcPr>
            <w:tcW w:w="440" w:type="dxa"/>
            <w:vAlign w:val="bottom"/>
          </w:tcPr>
          <w:p>
            <w:pPr>
              <w:spacing w:after="0"/>
              <w:rPr>
                <w:sz w:val="24"/>
                <w:szCs w:val="24"/>
                <w:color w:val="auto"/>
              </w:rPr>
            </w:pPr>
          </w:p>
        </w:tc>
        <w:tc>
          <w:tcPr>
            <w:tcW w:w="10580" w:type="dxa"/>
            <w:vAlign w:val="bottom"/>
            <w:gridSpan w:val="8"/>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Notes to Consolidated Financial Statements</w:t>
              </w:r>
            </w:hyperlink>
          </w:p>
        </w:tc>
        <w:tc>
          <w:tcPr>
            <w:tcW w:w="300" w:type="dxa"/>
            <w:vAlign w:val="bottom"/>
          </w:tcPr>
          <w:p>
            <w:pPr>
              <w:ind w:left="60"/>
              <w:spacing w:after="0"/>
              <w:rPr>
                <w:sz w:val="20"/>
                <w:szCs w:val="20"/>
                <w:color w:val="auto"/>
              </w:rPr>
            </w:pPr>
            <w:r>
              <w:rPr>
                <w:rFonts w:ascii="Arial" w:cs="Arial" w:eastAsia="Arial" w:hAnsi="Arial"/>
                <w:sz w:val="18"/>
                <w:szCs w:val="18"/>
                <w:color w:val="auto"/>
                <w:w w:val="81"/>
              </w:rPr>
              <w:t>F-9</w:t>
            </w:r>
          </w:p>
        </w:tc>
        <w:tc>
          <w:tcPr>
            <w:tcW w:w="0" w:type="dxa"/>
            <w:vAlign w:val="bottom"/>
          </w:tcPr>
          <w:p>
            <w:pPr>
              <w:spacing w:after="0"/>
              <w:rPr>
                <w:sz w:val="1"/>
                <w:szCs w:val="1"/>
                <w:color w:val="auto"/>
              </w:rPr>
            </w:pPr>
          </w:p>
        </w:tc>
      </w:tr>
      <w:tr>
        <w:trPr>
          <w:trHeight w:val="383"/>
        </w:trPr>
        <w:tc>
          <w:tcPr>
            <w:tcW w:w="440" w:type="dxa"/>
            <w:vAlign w:val="bottom"/>
          </w:tcPr>
          <w:p>
            <w:pPr>
              <w:spacing w:after="0"/>
              <w:rPr>
                <w:sz w:val="24"/>
                <w:szCs w:val="24"/>
                <w:color w:val="auto"/>
              </w:rPr>
            </w:pPr>
          </w:p>
        </w:tc>
        <w:tc>
          <w:tcPr>
            <w:tcW w:w="3080" w:type="dxa"/>
            <w:vAlign w:val="bottom"/>
            <w:tcBorders>
              <w:top w:val="single" w:sz="8" w:color="0000EE"/>
            </w:tcBorders>
          </w:tcPr>
          <w:p>
            <w:pPr>
              <w:spacing w:after="0"/>
              <w:rPr>
                <w:sz w:val="24"/>
                <w:szCs w:val="24"/>
                <w:color w:val="auto"/>
              </w:rPr>
            </w:pPr>
          </w:p>
        </w:tc>
        <w:tc>
          <w:tcPr>
            <w:tcW w:w="1040" w:type="dxa"/>
            <w:vAlign w:val="bottom"/>
          </w:tcPr>
          <w:p>
            <w:pPr>
              <w:spacing w:after="0"/>
              <w:rPr>
                <w:sz w:val="24"/>
                <w:szCs w:val="24"/>
                <w:color w:val="auto"/>
              </w:rPr>
            </w:pPr>
          </w:p>
        </w:tc>
        <w:tc>
          <w:tcPr>
            <w:tcW w:w="6460" w:type="dxa"/>
            <w:vAlign w:val="bottom"/>
            <w:gridSpan w:val="6"/>
          </w:tcPr>
          <w:p>
            <w:pPr>
              <w:ind w:left="104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Centennial, Colorado</w:t>
      </w:r>
    </w:p>
    <w:p>
      <w:pPr>
        <w:spacing w:after="0" w:line="16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We have audited the accompanying consolidated balance sheets of National CineMedia, Inc. and subsidiary as of December 30, 2010 and December 31, 2009 and the related statements of operations, equity / (deficit) and comprehensive income and cash flows for the years ended December 30, 2010, December 31, 2009 and January 1, 2009. These financial statements are the responsibility of the Company’s management.</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responsibility is to express an opinion on the financial statements based on our audits. 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16" w:lineRule="exact"/>
        <w:rPr>
          <w:sz w:val="20"/>
          <w:szCs w:val="20"/>
          <w:color w:val="auto"/>
        </w:rPr>
      </w:pPr>
    </w:p>
    <w:p>
      <w:pPr>
        <w:ind w:right="600" w:firstLine="456"/>
        <w:spacing w:after="0" w:line="306" w:lineRule="auto"/>
        <w:rPr>
          <w:sz w:val="20"/>
          <w:szCs w:val="20"/>
          <w:color w:val="auto"/>
        </w:rPr>
      </w:pPr>
      <w:r>
        <w:rPr>
          <w:rFonts w:ascii="Arial" w:cs="Arial" w:eastAsia="Arial" w:hAnsi="Arial"/>
          <w:sz w:val="16"/>
          <w:szCs w:val="16"/>
          <w:color w:val="auto"/>
        </w:rPr>
        <w:t>In our opinion, such consolidated financial statements present fairly, in all material respects, the financial position of National CineMedia, Inc. and subsidiary as of December 30, 2010 and December 31, 2009 and the results of their operations and their cash flows for the years ended December 30, 2010, December 31, 2009 and January 1, 2009, in conformity with accounting principles generally accepted in the United States of America.</w:t>
      </w:r>
    </w:p>
    <w:p>
      <w:pPr>
        <w:spacing w:after="0" w:line="10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December 30, 2010,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issued by the Committee of Sponsoring Organizations of the Treadway Commission and our report dated February 24, 2011 expressed an unqualified opinion on the Company’s internal control over financial reporting.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2011</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December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2010</w:t>
            </w:r>
          </w:p>
        </w:tc>
        <w:tc>
          <w:tcPr>
            <w:tcW w:w="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74.4</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420"/>
              <w:spacing w:after="0" w:line="149" w:lineRule="exact"/>
              <w:rPr>
                <w:sz w:val="20"/>
                <w:szCs w:val="20"/>
                <w:color w:val="auto"/>
              </w:rPr>
            </w:pPr>
            <w:r>
              <w:rPr>
                <w:rFonts w:ascii="Arial" w:cs="Arial" w:eastAsia="Arial" w:hAnsi="Arial"/>
                <w:sz w:val="14"/>
                <w:szCs w:val="14"/>
                <w:color w:val="auto"/>
              </w:rPr>
              <w:t>Short-term investments</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Receivables, net of allowance of $3.7 and $3.6 million, respectively</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100.7</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420"/>
              <w:spacing w:after="0" w:line="149" w:lineRule="exact"/>
              <w:rPr>
                <w:sz w:val="20"/>
                <w:szCs w:val="20"/>
                <w:color w:val="auto"/>
              </w:rPr>
            </w:pPr>
            <w:r>
              <w:rPr>
                <w:rFonts w:ascii="Arial" w:cs="Arial" w:eastAsia="Arial" w:hAnsi="Arial"/>
                <w:sz w:val="14"/>
                <w:szCs w:val="14"/>
                <w:color w:val="auto"/>
              </w:rPr>
              <w:t>Prepaid expenses</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8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920" w:type="dxa"/>
            <w:vAlign w:val="bottom"/>
          </w:tcPr>
          <w:p>
            <w:pPr>
              <w:ind w:left="860"/>
              <w:spacing w:after="0" w:line="155" w:lineRule="exact"/>
              <w:rPr>
                <w:sz w:val="20"/>
                <w:szCs w:val="20"/>
                <w:color w:val="auto"/>
              </w:rPr>
            </w:pPr>
            <w:r>
              <w:rPr>
                <w:rFonts w:ascii="Arial" w:cs="Arial" w:eastAsia="Arial" w:hAnsi="Arial"/>
                <w:sz w:val="14"/>
                <w:szCs w:val="14"/>
                <w:color w:val="auto"/>
              </w:rPr>
              <w:t>Total current assets</w:t>
            </w:r>
          </w:p>
        </w:tc>
        <w:tc>
          <w:tcPr>
            <w:tcW w:w="16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189.2</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185.0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PROPERTY AND EQUIPMENT, net of accumulated depreciation of $46.4 and $39.3 million, respectively</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spacing w:after="0" w:line="149" w:lineRule="exact"/>
              <w:rPr>
                <w:sz w:val="20"/>
                <w:szCs w:val="20"/>
                <w:color w:val="auto"/>
              </w:rPr>
            </w:pPr>
            <w:r>
              <w:rPr>
                <w:rFonts w:ascii="Arial" w:cs="Arial" w:eastAsia="Arial" w:hAnsi="Arial"/>
                <w:sz w:val="14"/>
                <w:szCs w:val="14"/>
                <w:color w:val="auto"/>
              </w:rPr>
              <w:t>INTANGIBLE ASSETS, net of accumulated amortization of $10.8 and $4.4 million, respectively</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275.2</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ASSETS:</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420"/>
              <w:spacing w:after="0" w:line="149" w:lineRule="exact"/>
              <w:rPr>
                <w:sz w:val="20"/>
                <w:szCs w:val="20"/>
                <w:color w:val="auto"/>
              </w:rPr>
            </w:pPr>
            <w:r>
              <w:rPr>
                <w:rFonts w:ascii="Arial" w:cs="Arial" w:eastAsia="Arial" w:hAnsi="Arial"/>
                <w:sz w:val="14"/>
                <w:szCs w:val="14"/>
                <w:color w:val="auto"/>
              </w:rPr>
              <w:t>Deferred tax assets, net of valuation allowance of $1.7 and $1.9 million, respectively</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355.7</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Debt issuance costs, net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420"/>
              <w:spacing w:after="0" w:line="149" w:lineRule="exact"/>
              <w:rPr>
                <w:sz w:val="20"/>
                <w:szCs w:val="20"/>
                <w:color w:val="auto"/>
              </w:rPr>
            </w:pPr>
            <w:r>
              <w:rPr>
                <w:rFonts w:ascii="Arial" w:cs="Arial" w:eastAsia="Arial" w:hAnsi="Arial"/>
                <w:sz w:val="14"/>
                <w:szCs w:val="14"/>
                <w:color w:val="auto"/>
              </w:rPr>
              <w:t>Other investment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long-term assets</w:t>
            </w: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8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920" w:type="dxa"/>
            <w:vAlign w:val="bottom"/>
          </w:tcPr>
          <w:p>
            <w:pPr>
              <w:ind w:left="860"/>
              <w:spacing w:after="0" w:line="155" w:lineRule="exact"/>
              <w:rPr>
                <w:sz w:val="20"/>
                <w:szCs w:val="20"/>
                <w:color w:val="auto"/>
              </w:rPr>
            </w:pPr>
            <w:r>
              <w:rPr>
                <w:rFonts w:ascii="Arial" w:cs="Arial" w:eastAsia="Arial" w:hAnsi="Arial"/>
                <w:sz w:val="14"/>
                <w:szCs w:val="14"/>
                <w:color w:val="auto"/>
              </w:rPr>
              <w:t>Total other assets</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370.3</w:t>
            </w:r>
          </w:p>
        </w:tc>
        <w:tc>
          <w:tcPr>
            <w:tcW w:w="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285.3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854.5</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628.2</w:t>
            </w:r>
          </w:p>
        </w:tc>
        <w:tc>
          <w:tcPr>
            <w:tcW w:w="0" w:type="dxa"/>
            <w:vAlign w:val="bottom"/>
          </w:tcPr>
          <w:p>
            <w:pPr>
              <w:spacing w:after="0"/>
              <w:rPr>
                <w:sz w:val="1"/>
                <w:szCs w:val="1"/>
                <w:color w:val="auto"/>
              </w:rPr>
            </w:pPr>
          </w:p>
        </w:tc>
      </w:tr>
      <w:tr>
        <w:trPr>
          <w:trHeight w:val="20"/>
        </w:trPr>
        <w:tc>
          <w:tcPr>
            <w:tcW w:w="8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EQUITY/(DEFICIT)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420"/>
              <w:spacing w:after="0" w:line="149" w:lineRule="exact"/>
              <w:rPr>
                <w:sz w:val="20"/>
                <w:szCs w:val="20"/>
                <w:color w:val="auto"/>
              </w:rPr>
            </w:pPr>
            <w:r>
              <w:rPr>
                <w:rFonts w:ascii="Arial" w:cs="Arial" w:eastAsia="Arial" w:hAnsi="Arial"/>
                <w:sz w:val="14"/>
                <w:szCs w:val="14"/>
                <w:color w:val="auto"/>
              </w:rPr>
              <w:t>Amounts due to founding members</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25.2</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Payable to founding members under tax sharing agreement</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8.9</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 payable</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420"/>
              <w:spacing w:after="0" w:line="149" w:lineRule="exact"/>
              <w:rPr>
                <w:sz w:val="20"/>
                <w:szCs w:val="20"/>
                <w:color w:val="auto"/>
              </w:rPr>
            </w:pPr>
            <w:r>
              <w:rPr>
                <w:rFonts w:ascii="Arial" w:cs="Arial" w:eastAsia="Arial" w:hAnsi="Arial"/>
                <w:sz w:val="14"/>
                <w:szCs w:val="14"/>
                <w:color w:val="auto"/>
              </w:rPr>
              <w:t>Current portion of long-term debt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Current portion of interest rate swap agreements</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420"/>
              <w:spacing w:after="0" w:line="149" w:lineRule="exact"/>
              <w:rPr>
                <w:sz w:val="20"/>
                <w:szCs w:val="20"/>
                <w:color w:val="auto"/>
              </w:rPr>
            </w:pPr>
            <w:r>
              <w:rPr>
                <w:rFonts w:ascii="Arial" w:cs="Arial" w:eastAsia="Arial" w:hAnsi="Arial"/>
                <w:sz w:val="14"/>
                <w:szCs w:val="14"/>
                <w:color w:val="auto"/>
              </w:rPr>
              <w:t>Accrued payroll and related expenses</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12.7</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420"/>
              <w:spacing w:after="0" w:line="149" w:lineRule="exact"/>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3.8</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liabilities</w:t>
            </w: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8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920" w:type="dxa"/>
            <w:vAlign w:val="bottom"/>
          </w:tcPr>
          <w:p>
            <w:pPr>
              <w:ind w:left="860"/>
              <w:spacing w:after="0" w:line="155" w:lineRule="exact"/>
              <w:rPr>
                <w:sz w:val="20"/>
                <w:szCs w:val="20"/>
                <w:color w:val="auto"/>
              </w:rPr>
            </w:pPr>
            <w:r>
              <w:rPr>
                <w:rFonts w:ascii="Arial" w:cs="Arial" w:eastAsia="Arial" w:hAnsi="Arial"/>
                <w:sz w:val="14"/>
                <w:szCs w:val="14"/>
                <w:color w:val="auto"/>
              </w:rPr>
              <w:t>Total current liabilities</w:t>
            </w:r>
          </w:p>
        </w:tc>
        <w:tc>
          <w:tcPr>
            <w:tcW w:w="160" w:type="dxa"/>
            <w:vAlign w:val="bottom"/>
          </w:tcPr>
          <w:p>
            <w:pPr>
              <w:spacing w:after="0"/>
              <w:rPr>
                <w:sz w:val="13"/>
                <w:szCs w:val="13"/>
                <w:color w:val="auto"/>
              </w:rPr>
            </w:pPr>
          </w:p>
        </w:tc>
        <w:tc>
          <w:tcPr>
            <w:tcW w:w="1440" w:type="dxa"/>
            <w:vAlign w:val="bottom"/>
            <w:gridSpan w:val="2"/>
          </w:tcPr>
          <w:p>
            <w:pPr>
              <w:jc w:val="right"/>
              <w:ind w:right="800"/>
              <w:spacing w:after="0" w:line="155" w:lineRule="exact"/>
              <w:rPr>
                <w:sz w:val="20"/>
                <w:szCs w:val="20"/>
                <w:color w:val="auto"/>
              </w:rPr>
            </w:pPr>
            <w:r>
              <w:rPr>
                <w:rFonts w:ascii="Arial" w:cs="Arial" w:eastAsia="Arial" w:hAnsi="Arial"/>
                <w:sz w:val="14"/>
                <w:szCs w:val="14"/>
                <w:color w:val="auto"/>
              </w:rPr>
              <w:t>111.9</w:t>
            </w:r>
          </w:p>
        </w:tc>
        <w:tc>
          <w:tcPr>
            <w:tcW w:w="160" w:type="dxa"/>
            <w:vAlign w:val="bottom"/>
          </w:tcPr>
          <w:p>
            <w:pPr>
              <w:spacing w:after="0"/>
              <w:rPr>
                <w:sz w:val="13"/>
                <w:szCs w:val="13"/>
                <w:color w:val="auto"/>
              </w:rPr>
            </w:pP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NON-CURRENT LIABILITIES:</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420"/>
              <w:spacing w:after="0" w:line="149" w:lineRule="exact"/>
              <w:rPr>
                <w:sz w:val="20"/>
                <w:szCs w:val="20"/>
                <w:color w:val="auto"/>
              </w:rPr>
            </w:pPr>
            <w:r>
              <w:rPr>
                <w:rFonts w:ascii="Arial" w:cs="Arial" w:eastAsia="Arial" w:hAnsi="Arial"/>
                <w:sz w:val="14"/>
                <w:szCs w:val="14"/>
                <w:color w:val="auto"/>
              </w:rPr>
              <w:t>Borrowings</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775.0</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799.0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 liability</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68.1</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420"/>
              <w:spacing w:after="0" w:line="149" w:lineRule="exact"/>
              <w:rPr>
                <w:sz w:val="20"/>
                <w:szCs w:val="20"/>
                <w:color w:val="auto"/>
              </w:rPr>
            </w:pPr>
            <w:r>
              <w:rPr>
                <w:rFonts w:ascii="Arial" w:cs="Arial" w:eastAsia="Arial" w:hAnsi="Arial"/>
                <w:sz w:val="14"/>
                <w:szCs w:val="14"/>
                <w:color w:val="auto"/>
              </w:rPr>
              <w:t>Payable to founding members under tax sharing agreement</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172.4</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Interest rate swap agreements</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45.5</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920" w:type="dxa"/>
            <w:vAlign w:val="bottom"/>
          </w:tcPr>
          <w:p>
            <w:pPr>
              <w:ind w:left="420"/>
              <w:spacing w:after="0" w:line="149" w:lineRule="exact"/>
              <w:rPr>
                <w:sz w:val="20"/>
                <w:szCs w:val="20"/>
                <w:color w:val="auto"/>
              </w:rPr>
            </w:pPr>
            <w:r>
              <w:rPr>
                <w:rFonts w:ascii="Arial" w:cs="Arial" w:eastAsia="Arial" w:hAnsi="Arial"/>
                <w:sz w:val="14"/>
                <w:szCs w:val="14"/>
                <w:color w:val="auto"/>
              </w:rPr>
              <w:t>Other long-term liabilities</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0.0</w:t>
            </w:r>
          </w:p>
        </w:tc>
        <w:tc>
          <w:tcPr>
            <w:tcW w:w="8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0.3</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non-current liabilities</w:t>
            </w: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1,061.0</w:t>
            </w:r>
          </w:p>
        </w:tc>
        <w:tc>
          <w:tcPr>
            <w:tcW w:w="8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1,004.7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920" w:type="dxa"/>
            <w:vAlign w:val="bottom"/>
          </w:tcPr>
          <w:p>
            <w:pPr>
              <w:ind w:left="860"/>
              <w:spacing w:after="0" w:line="155" w:lineRule="exact"/>
              <w:rPr>
                <w:sz w:val="20"/>
                <w:szCs w:val="20"/>
                <w:color w:val="auto"/>
              </w:rPr>
            </w:pPr>
            <w:r>
              <w:rPr>
                <w:rFonts w:ascii="Arial" w:cs="Arial" w:eastAsia="Arial" w:hAnsi="Arial"/>
                <w:sz w:val="14"/>
                <w:szCs w:val="14"/>
                <w:color w:val="auto"/>
              </w:rPr>
              <w:t>Total liabilities</w:t>
            </w:r>
          </w:p>
        </w:tc>
        <w:tc>
          <w:tcPr>
            <w:tcW w:w="16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1,172.9</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1,121.3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(NOTE 14)</w:t>
            </w: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spacing w:after="0" w:line="149" w:lineRule="exact"/>
              <w:rPr>
                <w:sz w:val="20"/>
                <w:szCs w:val="20"/>
                <w:color w:val="auto"/>
              </w:rPr>
            </w:pPr>
            <w:r>
              <w:rPr>
                <w:rFonts w:ascii="Arial" w:cs="Arial" w:eastAsia="Arial" w:hAnsi="Arial"/>
                <w:sz w:val="14"/>
                <w:szCs w:val="14"/>
                <w:color w:val="auto"/>
              </w:rPr>
              <w:t>EQUITY/(DEFICIT):</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NCM, Inc. Stockholders’ Equity:</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420"/>
              <w:spacing w:after="0" w:line="149" w:lineRule="exact"/>
              <w:rPr>
                <w:sz w:val="20"/>
                <w:szCs w:val="20"/>
                <w:color w:val="auto"/>
              </w:rPr>
            </w:pPr>
            <w:r>
              <w:rPr>
                <w:rFonts w:ascii="Arial" w:cs="Arial" w:eastAsia="Arial" w:hAnsi="Arial"/>
                <w:sz w:val="14"/>
                <w:szCs w:val="14"/>
                <w:color w:val="auto"/>
              </w:rPr>
              <w:t>Preferred stock, $0.01 par value; 10,000,000 shares authorized, none issued and outstanding, respectively</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0.0</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Common stock, $0.01 par value; 120,000,000 shares authorized, 53,549,477 and 42,121,747 issued and outstanding, respectively</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420"/>
              <w:spacing w:after="0" w:line="149" w:lineRule="exact"/>
              <w:rPr>
                <w:sz w:val="20"/>
                <w:szCs w:val="20"/>
                <w:color w:val="auto"/>
              </w:rPr>
            </w:pPr>
            <w:r>
              <w:rPr>
                <w:rFonts w:ascii="Arial" w:cs="Arial" w:eastAsia="Arial" w:hAnsi="Arial"/>
                <w:sz w:val="14"/>
                <w:szCs w:val="14"/>
                <w:color w:val="auto"/>
              </w:rPr>
              <w:t>Additional paid in capital (deficit)</w:t>
            </w:r>
          </w:p>
        </w:tc>
        <w:tc>
          <w:tcPr>
            <w:tcW w:w="160" w:type="dxa"/>
            <w:vAlign w:val="bottom"/>
          </w:tcPr>
          <w:p>
            <w:pPr>
              <w:spacing w:after="0"/>
              <w:rPr>
                <w:sz w:val="12"/>
                <w:szCs w:val="12"/>
                <w:color w:val="auto"/>
              </w:rPr>
            </w:pPr>
          </w:p>
        </w:tc>
        <w:tc>
          <w:tcPr>
            <w:tcW w:w="14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(373.3)</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Retained earnings (distributions in excess of earnings)</w:t>
            </w: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(20.5)</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tcPr>
          <w:p>
            <w:pPr>
              <w:ind w:left="420"/>
              <w:spacing w:after="0" w:line="149" w:lineRule="exact"/>
              <w:rPr>
                <w:sz w:val="20"/>
                <w:szCs w:val="20"/>
                <w:color w:val="auto"/>
              </w:rPr>
            </w:pPr>
            <w:r>
              <w:rPr>
                <w:rFonts w:ascii="Arial" w:cs="Arial" w:eastAsia="Arial" w:hAnsi="Arial"/>
                <w:sz w:val="14"/>
                <w:szCs w:val="14"/>
                <w:color w:val="auto"/>
              </w:rPr>
              <w:t>Accumulated other comprehensive loss</w:t>
            </w:r>
          </w:p>
        </w:tc>
        <w:tc>
          <w:tcPr>
            <w:tcW w:w="160" w:type="dxa"/>
            <w:vAlign w:val="bottom"/>
          </w:tcPr>
          <w:p>
            <w:pPr>
              <w:spacing w:after="0"/>
              <w:rPr>
                <w:sz w:val="12"/>
                <w:szCs w:val="12"/>
                <w:color w:val="auto"/>
              </w:rPr>
            </w:pPr>
          </w:p>
        </w:tc>
        <w:tc>
          <w:tcPr>
            <w:tcW w:w="14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(17.5)</w:t>
            </w:r>
          </w:p>
        </w:tc>
        <w:tc>
          <w:tcPr>
            <w:tcW w:w="16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NCM, Inc. stockholders’ equity/(deficit)</w:t>
            </w: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(410.8)</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(516.1)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920" w:type="dxa"/>
            <w:vAlign w:val="bottom"/>
          </w:tcPr>
          <w:p>
            <w:pPr>
              <w:spacing w:after="0" w:line="149" w:lineRule="exact"/>
              <w:rPr>
                <w:sz w:val="20"/>
                <w:szCs w:val="20"/>
                <w:color w:val="auto"/>
              </w:rPr>
            </w:pPr>
            <w:r>
              <w:rPr>
                <w:rFonts w:ascii="Arial" w:cs="Arial" w:eastAsia="Arial" w:hAnsi="Arial"/>
                <w:sz w:val="14"/>
                <w:szCs w:val="14"/>
                <w:color w:val="auto"/>
              </w:rPr>
              <w:t>Noncontrolling interests</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92.4</w:t>
            </w:r>
          </w:p>
        </w:tc>
        <w:tc>
          <w:tcPr>
            <w:tcW w:w="8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92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equity/(deficit)</w:t>
            </w:r>
          </w:p>
        </w:tc>
        <w:tc>
          <w:tcPr>
            <w:tcW w:w="160" w:type="dxa"/>
            <w:vAlign w:val="bottom"/>
            <w:shd w:val="clear" w:color="auto" w:fill="CCEEFF"/>
          </w:tcPr>
          <w:p>
            <w:pPr>
              <w:spacing w:after="0"/>
              <w:rPr>
                <w:sz w:val="12"/>
                <w:szCs w:val="12"/>
                <w:color w:val="auto"/>
              </w:rPr>
            </w:pPr>
          </w:p>
        </w:tc>
        <w:tc>
          <w:tcPr>
            <w:tcW w:w="14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(318.4)</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(493.1)</w:t>
            </w:r>
          </w:p>
        </w:tc>
        <w:tc>
          <w:tcPr>
            <w:tcW w:w="0" w:type="dxa"/>
            <w:vAlign w:val="bottom"/>
          </w:tcPr>
          <w:p>
            <w:pPr>
              <w:spacing w:after="0"/>
              <w:rPr>
                <w:sz w:val="1"/>
                <w:szCs w:val="1"/>
                <w:color w:val="auto"/>
              </w:rPr>
            </w:pPr>
          </w:p>
        </w:tc>
      </w:tr>
      <w:tr>
        <w:trPr>
          <w:trHeight w:val="156"/>
        </w:trPr>
        <w:tc>
          <w:tcPr>
            <w:tcW w:w="8940" w:type="dxa"/>
            <w:vAlign w:val="bottom"/>
            <w:gridSpan w:val="2"/>
          </w:tcPr>
          <w:p>
            <w:pPr>
              <w:spacing w:after="0" w:line="155" w:lineRule="exact"/>
              <w:rPr>
                <w:sz w:val="20"/>
                <w:szCs w:val="20"/>
                <w:color w:val="auto"/>
              </w:rPr>
            </w:pPr>
            <w:r>
              <w:rPr>
                <w:rFonts w:ascii="Arial" w:cs="Arial" w:eastAsia="Arial" w:hAnsi="Arial"/>
                <w:sz w:val="14"/>
                <w:szCs w:val="14"/>
                <w:color w:val="auto"/>
              </w:rPr>
              <w:t>TOTAL</w:t>
            </w: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854.5</w:t>
            </w:r>
          </w:p>
        </w:tc>
        <w:tc>
          <w:tcPr>
            <w:tcW w:w="80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628.2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4"/>
                <w:szCs w:val="14"/>
                <w:color w:val="auto"/>
              </w:rPr>
            </w:pPr>
          </w:p>
        </w:tc>
        <w:tc>
          <w:tcPr>
            <w:tcW w:w="164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88"/>
              </w:rPr>
              <w:t>Year Ended</w:t>
            </w: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4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87"/>
              </w:rPr>
              <w:t>December 30,</w:t>
            </w:r>
          </w:p>
        </w:tc>
        <w:tc>
          <w:tcPr>
            <w:tcW w:w="1740" w:type="dxa"/>
            <w:vAlign w:val="bottom"/>
            <w:gridSpan w:val="3"/>
          </w:tcPr>
          <w:p>
            <w:pPr>
              <w:jc w:val="center"/>
              <w:ind w:right="8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January 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2010</w:t>
            </w:r>
          </w:p>
        </w:tc>
        <w:tc>
          <w:tcPr>
            <w:tcW w:w="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2009</w:t>
            </w:r>
          </w:p>
        </w:tc>
        <w:tc>
          <w:tcPr>
            <w:tcW w:w="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Advertising (including revenue from founding members of $38.5, $38.2 and</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640"/>
              <w:spacing w:after="0"/>
              <w:rPr>
                <w:sz w:val="20"/>
                <w:szCs w:val="20"/>
                <w:color w:val="auto"/>
              </w:rPr>
            </w:pPr>
            <w:r>
              <w:rPr>
                <w:rFonts w:ascii="Arial" w:cs="Arial" w:eastAsia="Arial" w:hAnsi="Arial"/>
                <w:sz w:val="18"/>
                <w:szCs w:val="18"/>
                <w:color w:val="auto"/>
              </w:rPr>
              <w:t>$45.6 million, respectively)</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379.4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335.1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330.3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Fathom Events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48.0</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45.5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427.5</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380.7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369.5</w:t>
            </w:r>
          </w:p>
        </w:tc>
        <w:tc>
          <w:tcPr>
            <w:tcW w:w="0" w:type="dxa"/>
            <w:vAlign w:val="bottom"/>
          </w:tcPr>
          <w:p>
            <w:pPr>
              <w:spacing w:after="0"/>
              <w:rPr>
                <w:sz w:val="1"/>
                <w:szCs w:val="1"/>
                <w:color w:val="auto"/>
              </w:rPr>
            </w:pPr>
          </w:p>
        </w:tc>
      </w:tr>
      <w:tr>
        <w:trPr>
          <w:trHeight w:val="222"/>
        </w:trPr>
        <w:tc>
          <w:tcPr>
            <w:tcW w:w="64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Advertising operating costs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w w:val="97"/>
              </w:rPr>
              <w:t>Fathom Events operating costs (including costs to founding members of $7.3,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640"/>
              <w:spacing w:after="0"/>
              <w:rPr>
                <w:sz w:val="20"/>
                <w:szCs w:val="20"/>
                <w:color w:val="auto"/>
              </w:rPr>
            </w:pPr>
            <w:r>
              <w:rPr>
                <w:rFonts w:ascii="Arial" w:cs="Arial" w:eastAsia="Arial" w:hAnsi="Arial"/>
                <w:sz w:val="18"/>
                <w:szCs w:val="18"/>
                <w:color w:val="auto"/>
              </w:rPr>
              <w:t>$6.7, and $6.0 million, respectively)</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19"/>
                <w:szCs w:val="19"/>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Network costs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Theatre access fees—founding members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52.6</w:t>
            </w:r>
          </w:p>
        </w:tc>
        <w:tc>
          <w:tcPr>
            <w:tcW w:w="10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and marketing costs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Administrative and other costs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Severance plan costs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236.9</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212.5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w:t>
            </w: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8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190.6</w:t>
            </w:r>
          </w:p>
        </w:tc>
        <w:tc>
          <w:tcPr>
            <w:tcW w:w="100" w:type="dxa"/>
            <w:vAlign w:val="bottom"/>
          </w:tcPr>
          <w:p>
            <w:pPr>
              <w:spacing w:after="0"/>
              <w:rPr>
                <w:sz w:val="19"/>
                <w:szCs w:val="19"/>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168.2</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Other, Net: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Borrowings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47.1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derivative fair value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w w:val="95"/>
              </w:rPr>
              <w:t>Accretion of interest on the discounted payable to founding members under tax</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tcPr>
          <w:p>
            <w:pPr>
              <w:ind w:left="640"/>
              <w:spacing w:after="0"/>
              <w:rPr>
                <w:sz w:val="20"/>
                <w:szCs w:val="20"/>
                <w:color w:val="auto"/>
              </w:rPr>
            </w:pPr>
            <w:r>
              <w:rPr>
                <w:rFonts w:ascii="Arial" w:cs="Arial" w:eastAsia="Arial" w:hAnsi="Arial"/>
                <w:sz w:val="18"/>
                <w:szCs w:val="18"/>
                <w:color w:val="auto"/>
              </w:rPr>
              <w:t>sharing agreement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and other</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vMerge w:val="restart"/>
          </w:tcPr>
          <w:p>
            <w:pPr>
              <w:ind w:left="86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4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19"/>
                <w:szCs w:val="19"/>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Impairment and related loss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INCOME BEFORE INCOME TAXES</w:t>
            </w: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48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19"/>
                <w:szCs w:val="19"/>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Equity loss from investment,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109.1</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101.3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8"/>
                <w:szCs w:val="18"/>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Less: Distributions to Noncontrolling Interest in Excess of Proportionate Share of</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6480" w:type="dxa"/>
            <w:vAlign w:val="bottom"/>
            <w:gridSpan w:val="2"/>
            <w:vMerge w:val="restart"/>
          </w:tcPr>
          <w:p>
            <w:pPr>
              <w:spacing w:after="0"/>
              <w:rPr>
                <w:sz w:val="20"/>
                <w:szCs w:val="20"/>
                <w:color w:val="auto"/>
              </w:rPr>
            </w:pPr>
            <w:r>
              <w:rPr>
                <w:rFonts w:ascii="Arial" w:cs="Arial" w:eastAsia="Arial" w:hAnsi="Arial"/>
                <w:sz w:val="18"/>
                <w:szCs w:val="18"/>
                <w:color w:val="auto"/>
              </w:rPr>
              <w:t>NET INCOME ATTRIBUTABLE TO NCM, INC</w:t>
            </w: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80" w:type="dxa"/>
            <w:vAlign w:val="bottom"/>
            <w:gridSpan w:val="2"/>
            <w:vMerge w:val="continue"/>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29.2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26.1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EARNINGS PER NCM, INC. COMMON SHARE: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Basic</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0.63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rPr>
              <w:t>0.62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84"/>
              </w:rPr>
              <w:t>46,369,411</w:t>
            </w: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w w:val="84"/>
              </w:rPr>
              <w:t>42,118,639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42,040,879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60" w:type="dxa"/>
            <w:vAlign w:val="bottom"/>
          </w:tcPr>
          <w:p>
            <w:pPr>
              <w:ind w:left="420"/>
              <w:spacing w:after="0"/>
              <w:rPr>
                <w:sz w:val="20"/>
                <w:szCs w:val="20"/>
                <w:color w:val="auto"/>
              </w:rPr>
            </w:pPr>
            <w:r>
              <w:rPr>
                <w:rFonts w:ascii="Arial" w:cs="Arial" w:eastAsia="Arial" w:hAnsi="Arial"/>
                <w:sz w:val="18"/>
                <w:szCs w:val="18"/>
                <w:color w:val="auto"/>
              </w:rPr>
              <w:t>Diluted</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w w:val="84"/>
              </w:rPr>
              <w:t>46,959,992</w:t>
            </w:r>
          </w:p>
        </w:tc>
        <w:tc>
          <w:tcPr>
            <w:tcW w:w="100" w:type="dxa"/>
            <w:vAlign w:val="bottom"/>
          </w:tcPr>
          <w:p>
            <w:pPr>
              <w:spacing w:after="0"/>
              <w:rPr>
                <w:sz w:val="19"/>
                <w:szCs w:val="19"/>
                <w:color w:val="auto"/>
              </w:rPr>
            </w:pPr>
          </w:p>
        </w:tc>
        <w:tc>
          <w:tcPr>
            <w:tcW w:w="1640" w:type="dxa"/>
            <w:vAlign w:val="bottom"/>
            <w:gridSpan w:val="2"/>
          </w:tcPr>
          <w:p>
            <w:pPr>
              <w:jc w:val="right"/>
              <w:ind w:right="860"/>
              <w:spacing w:after="0"/>
              <w:rPr>
                <w:sz w:val="20"/>
                <w:szCs w:val="20"/>
                <w:color w:val="auto"/>
              </w:rPr>
            </w:pPr>
            <w:r>
              <w:rPr>
                <w:rFonts w:ascii="Arial" w:cs="Arial" w:eastAsia="Arial" w:hAnsi="Arial"/>
                <w:sz w:val="18"/>
                <w:szCs w:val="18"/>
                <w:color w:val="auto"/>
                <w:w w:val="84"/>
              </w:rPr>
              <w:t>42,403,135</w:t>
            </w:r>
          </w:p>
        </w:tc>
        <w:tc>
          <w:tcPr>
            <w:tcW w:w="1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42,041,305</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CONSOLIDATED STATEMENTS OF EQUITY/(DEFICIT) AND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w w:val="97"/>
              </w:rPr>
              <w:t>NCM, Inc.</w:t>
            </w: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60" w:type="dxa"/>
            <w:vAlign w:val="bottom"/>
            <w:gridSpan w:val="3"/>
          </w:tcPr>
          <w:p>
            <w:pPr>
              <w:ind w:left="380"/>
              <w:spacing w:after="0" w:line="129" w:lineRule="exact"/>
              <w:rPr>
                <w:sz w:val="20"/>
                <w:szCs w:val="20"/>
                <w:color w:val="auto"/>
              </w:rPr>
            </w:pPr>
            <w:r>
              <w:rPr>
                <w:rFonts w:ascii="Arial" w:cs="Arial" w:eastAsia="Arial" w:hAnsi="Arial"/>
                <w:sz w:val="14"/>
                <w:szCs w:val="14"/>
                <w:b w:val="1"/>
                <w:bCs w:val="1"/>
                <w:color w:val="auto"/>
                <w:w w:val="91"/>
              </w:rPr>
              <w:t>Class A Common</w:t>
            </w: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Stock</w:t>
            </w: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3"/>
            <w:vMerge w:val="restart"/>
          </w:tcPr>
          <w:p>
            <w:pPr>
              <w:jc w:val="center"/>
              <w:ind w:right="420"/>
              <w:spacing w:after="0"/>
              <w:rPr>
                <w:sz w:val="20"/>
                <w:szCs w:val="20"/>
                <w:color w:val="auto"/>
              </w:rPr>
            </w:pPr>
            <w:r>
              <w:rPr>
                <w:rFonts w:ascii="Arial" w:cs="Arial" w:eastAsia="Arial" w:hAnsi="Arial"/>
                <w:sz w:val="14"/>
                <w:szCs w:val="14"/>
                <w:b w:val="1"/>
                <w:bCs w:val="1"/>
                <w:color w:val="auto"/>
                <w:w w:val="87"/>
              </w:rPr>
              <w:t>Retained</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0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Earnings</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Paid in</w:t>
            </w: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(Distrib. in</w:t>
            </w:r>
          </w:p>
        </w:tc>
        <w:tc>
          <w:tcPr>
            <w:tcW w:w="114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Accum. Other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Capital</w:t>
            </w:r>
          </w:p>
        </w:tc>
        <w:tc>
          <w:tcPr>
            <w:tcW w:w="106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79"/>
              </w:rPr>
              <w:t>Excess of</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Noncontrolling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400" w:type="dxa"/>
            <w:vAlign w:val="bottom"/>
          </w:tcPr>
          <w:p>
            <w:pPr>
              <w:spacing w:after="0"/>
              <w:rPr>
                <w:sz w:val="14"/>
                <w:szCs w:val="14"/>
                <w:color w:val="auto"/>
              </w:rPr>
            </w:pPr>
          </w:p>
        </w:tc>
        <w:tc>
          <w:tcPr>
            <w:tcW w:w="8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40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(Deficit)</w:t>
            </w:r>
          </w:p>
        </w:tc>
        <w:tc>
          <w:tcPr>
            <w:tcW w:w="42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Earnings)</w:t>
            </w:r>
          </w:p>
        </w:tc>
        <w:tc>
          <w:tcPr>
            <w:tcW w:w="42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Income (Loss)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2009</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(493.1)</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42,121,747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(490.2)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Distributions to Members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(85.1)</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Subsidiary equity issued for purchase of</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Income tax and other impacts of subsidiary</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tcPr>
          <w:p>
            <w:pPr>
              <w:ind w:left="200"/>
              <w:spacing w:after="0"/>
              <w:rPr>
                <w:sz w:val="20"/>
                <w:szCs w:val="20"/>
                <w:color w:val="auto"/>
              </w:rPr>
            </w:pPr>
            <w:r>
              <w:rPr>
                <w:rFonts w:ascii="Arial" w:cs="Arial" w:eastAsia="Arial" w:hAnsi="Arial"/>
                <w:sz w:val="18"/>
                <w:szCs w:val="18"/>
                <w:color w:val="auto"/>
              </w:rPr>
              <w:t>ownership changes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24.9</w:t>
            </w:r>
          </w:p>
        </w:tc>
        <w:tc>
          <w:tcPr>
            <w:tcW w:w="40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42.6</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10,955,471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NCM, Inc. investment in subsidiary</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(174.9)</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(174.9)</w:t>
            </w:r>
          </w:p>
        </w:tc>
        <w:tc>
          <w:tcPr>
            <w:tcW w:w="1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Net impact to Consolidated Equity</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Unrealized loss on cash flow hedge, net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tax</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Pr>
          <w:p>
            <w:pPr>
              <w:ind w:left="420"/>
              <w:spacing w:after="0"/>
              <w:rPr>
                <w:sz w:val="20"/>
                <w:szCs w:val="20"/>
                <w:color w:val="auto"/>
              </w:rPr>
            </w:pPr>
            <w:r>
              <w:rPr>
                <w:rFonts w:ascii="Arial" w:cs="Arial" w:eastAsia="Arial" w:hAnsi="Arial"/>
                <w:sz w:val="18"/>
                <w:szCs w:val="18"/>
                <w:color w:val="auto"/>
              </w:rPr>
              <w:t>Net income, net of tax</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w:t>
            </w:r>
          </w:p>
        </w:tc>
        <w:tc>
          <w:tcPr>
            <w:tcW w:w="40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4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Total Comprehensive Income, net of tax</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29.2</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322"/>
        </w:trPr>
        <w:tc>
          <w:tcPr>
            <w:tcW w:w="348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w:t>
            </w:r>
          </w:p>
        </w:tc>
        <w:tc>
          <w:tcPr>
            <w:tcW w:w="400" w:type="dxa"/>
            <w:vAlign w:val="bottom"/>
          </w:tcPr>
          <w:p>
            <w:pPr>
              <w:spacing w:after="0"/>
              <w:rPr>
                <w:sz w:val="24"/>
                <w:szCs w:val="2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472,259</w:t>
            </w:r>
          </w:p>
        </w:tc>
        <w:tc>
          <w:tcPr>
            <w:tcW w:w="2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15.8</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$0.72 per share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(35.2)</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(35.2)</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3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480" w:type="dxa"/>
            <w:vAlign w:val="bottom"/>
            <w:gridSpan w:val="2"/>
          </w:tcPr>
          <w:p>
            <w:pPr>
              <w:spacing w:after="0"/>
              <w:rPr>
                <w:sz w:val="20"/>
                <w:szCs w:val="20"/>
                <w:color w:val="auto"/>
              </w:rPr>
            </w:pPr>
            <w:r>
              <w:rPr>
                <w:rFonts w:ascii="Arial" w:cs="Arial" w:eastAsia="Arial" w:hAnsi="Arial"/>
                <w:sz w:val="18"/>
                <w:szCs w:val="18"/>
                <w:color w:val="auto"/>
              </w:rPr>
              <w:t>Balance—December 30, 2010</w:t>
            </w:r>
          </w:p>
        </w:tc>
        <w:tc>
          <w:tcPr>
            <w:tcW w:w="20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(318.4)</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3"/>
              </w:rPr>
              <w:t>53,549,477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0.5</w:t>
            </w:r>
          </w:p>
        </w:tc>
        <w:tc>
          <w:tcPr>
            <w:tcW w:w="480" w:type="dxa"/>
            <w:vAlign w:val="bottom"/>
            <w:gridSpan w:val="2"/>
          </w:tcPr>
          <w:p>
            <w:pPr>
              <w:ind w:left="40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(373.3)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(20.5)</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(17.5)</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1, 2009</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(526.3)</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42,109,966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(494.9)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(13.1)</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Distributions to Members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(81.6)</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Subsidiary equity issued for purchase of</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 asset</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4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Impacts of subsidiary ownership changes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(14.7)</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60" w:type="dxa"/>
            <w:vAlign w:val="bottom"/>
          </w:tcPr>
          <w:p>
            <w:pPr>
              <w:ind w:left="420"/>
              <w:spacing w:after="0"/>
              <w:rPr>
                <w:sz w:val="20"/>
                <w:szCs w:val="20"/>
                <w:color w:val="auto"/>
              </w:rPr>
            </w:pPr>
            <w:r>
              <w:rPr>
                <w:rFonts w:ascii="Arial" w:cs="Arial" w:eastAsia="Arial" w:hAnsi="Arial"/>
                <w:sz w:val="18"/>
                <w:szCs w:val="18"/>
                <w:color w:val="auto"/>
                <w:w w:val="94"/>
              </w:rPr>
              <w:t>Unrealized gain on cash flow hedge, net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Pr>
          <w:p>
            <w:pPr>
              <w:ind w:left="640"/>
              <w:spacing w:after="0"/>
              <w:rPr>
                <w:sz w:val="20"/>
                <w:szCs w:val="20"/>
                <w:color w:val="auto"/>
              </w:rPr>
            </w:pPr>
            <w:r>
              <w:rPr>
                <w:rFonts w:ascii="Arial" w:cs="Arial" w:eastAsia="Arial" w:hAnsi="Arial"/>
                <w:sz w:val="18"/>
                <w:szCs w:val="18"/>
                <w:color w:val="auto"/>
              </w:rPr>
              <w:t>of tax</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21.7</w:t>
            </w:r>
          </w:p>
        </w:tc>
        <w:tc>
          <w:tcPr>
            <w:tcW w:w="400" w:type="dxa"/>
            <w:vAlign w:val="bottom"/>
          </w:tcPr>
          <w:p>
            <w:pPr>
              <w:spacing w:after="0"/>
              <w:rPr>
                <w:sz w:val="19"/>
                <w:szCs w:val="19"/>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 net of tax</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4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460" w:type="dxa"/>
            <w:vAlign w:val="bottom"/>
          </w:tcPr>
          <w:p>
            <w:pPr>
              <w:ind w:left="420"/>
              <w:spacing w:after="0"/>
              <w:rPr>
                <w:sz w:val="20"/>
                <w:szCs w:val="20"/>
                <w:color w:val="auto"/>
              </w:rPr>
            </w:pPr>
            <w:r>
              <w:rPr>
                <w:rFonts w:ascii="Arial" w:cs="Arial" w:eastAsia="Arial" w:hAnsi="Arial"/>
                <w:sz w:val="18"/>
                <w:szCs w:val="18"/>
                <w:color w:val="auto"/>
                <w:w w:val="94"/>
              </w:rPr>
              <w:t>Total Comprehensive Income, net of tax</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123.0</w:t>
            </w: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26.1</w:t>
            </w:r>
          </w:p>
        </w:tc>
        <w:tc>
          <w:tcPr>
            <w:tcW w:w="3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11,781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w:t>
            </w: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Cash dividends declared $0.64 per share</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(27.5)</w:t>
            </w: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(27.5)</w:t>
            </w:r>
          </w:p>
        </w:tc>
        <w:tc>
          <w:tcPr>
            <w:tcW w:w="3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Balance—December 31, 2009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(493.1)</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3"/>
              </w:rPr>
              <w:t>42,121,747</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8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(490.2)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(11.8)</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CONSOLIDATED STATEMENTS OF EQUITY/(DEFICIT) AND COMPREHENSIVE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3"/>
              </w:rPr>
              <w:t>NCM, Inc.</w:t>
            </w: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40" w:type="dxa"/>
            <w:vAlign w:val="bottom"/>
            <w:gridSpan w:val="3"/>
          </w:tcPr>
          <w:p>
            <w:pPr>
              <w:jc w:val="center"/>
              <w:ind w:left="197"/>
              <w:spacing w:after="0" w:line="129" w:lineRule="exact"/>
              <w:rPr>
                <w:sz w:val="20"/>
                <w:szCs w:val="20"/>
                <w:color w:val="auto"/>
              </w:rPr>
            </w:pPr>
            <w:r>
              <w:rPr>
                <w:rFonts w:ascii="Arial" w:cs="Arial" w:eastAsia="Arial" w:hAnsi="Arial"/>
                <w:sz w:val="14"/>
                <w:szCs w:val="14"/>
                <w:b w:val="1"/>
                <w:bCs w:val="1"/>
                <w:color w:val="auto"/>
                <w:w w:val="86"/>
              </w:rPr>
              <w:t>Class A Common</w:t>
            </w: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Borders>
              <w:bottom w:val="single" w:sz="8" w:color="auto"/>
            </w:tcBorders>
            <w:gridSpan w:val="2"/>
          </w:tcPr>
          <w:p>
            <w:pPr>
              <w:jc w:val="center"/>
              <w:ind w:left="397"/>
              <w:spacing w:after="0"/>
              <w:rPr>
                <w:sz w:val="20"/>
                <w:szCs w:val="20"/>
                <w:color w:val="auto"/>
              </w:rPr>
            </w:pPr>
            <w:r>
              <w:rPr>
                <w:rFonts w:ascii="Arial" w:cs="Arial" w:eastAsia="Arial" w:hAnsi="Arial"/>
                <w:sz w:val="14"/>
                <w:szCs w:val="14"/>
                <w:b w:val="1"/>
                <w:bCs w:val="1"/>
                <w:color w:val="auto"/>
                <w:w w:val="83"/>
              </w:rPr>
              <w:t>Stock</w:t>
            </w: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7"/>
              </w:rPr>
              <w:t>Retained</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Earnings</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1"/>
              </w:rPr>
              <w:t>Paid in</w:t>
            </w:r>
          </w:p>
        </w:tc>
        <w:tc>
          <w:tcPr>
            <w:tcW w:w="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(Distrib. in</w:t>
            </w:r>
          </w:p>
        </w:tc>
        <w:tc>
          <w:tcPr>
            <w:tcW w:w="160" w:type="dxa"/>
            <w:vAlign w:val="bottom"/>
          </w:tcPr>
          <w:p>
            <w:pPr>
              <w:spacing w:after="0"/>
              <w:rPr>
                <w:sz w:val="12"/>
                <w:szCs w:val="12"/>
                <w:color w:val="auto"/>
              </w:rPr>
            </w:pPr>
          </w:p>
        </w:tc>
        <w:tc>
          <w:tcPr>
            <w:tcW w:w="114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91"/>
              </w:rPr>
              <w:t>Accum. Other</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Capital</w:t>
            </w:r>
          </w:p>
        </w:tc>
        <w:tc>
          <w:tcPr>
            <w:tcW w:w="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79"/>
              </w:rPr>
              <w:t>Excess of</w:t>
            </w:r>
          </w:p>
        </w:tc>
        <w:tc>
          <w:tcPr>
            <w:tcW w:w="16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Noncontrolling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400" w:type="dxa"/>
            <w:vAlign w:val="bottom"/>
          </w:tcPr>
          <w:p>
            <w:pPr>
              <w:spacing w:after="0"/>
              <w:rPr>
                <w:sz w:val="14"/>
                <w:szCs w:val="14"/>
                <w:color w:val="auto"/>
              </w:rPr>
            </w:pPr>
          </w:p>
        </w:tc>
        <w:tc>
          <w:tcPr>
            <w:tcW w:w="8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4"/>
                <w:szCs w:val="14"/>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40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(Deficit)</w:t>
            </w:r>
          </w:p>
        </w:tc>
        <w:tc>
          <w:tcPr>
            <w:tcW w:w="400" w:type="dxa"/>
            <w:vAlign w:val="bottom"/>
          </w:tcPr>
          <w:p>
            <w:pPr>
              <w:spacing w:after="0"/>
              <w:rPr>
                <w:sz w:val="14"/>
                <w:szCs w:val="14"/>
                <w:color w:val="auto"/>
              </w:rPr>
            </w:pPr>
          </w:p>
        </w:tc>
        <w:tc>
          <w:tcPr>
            <w:tcW w:w="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Earnings)</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Income (Loss)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8"/>
              </w:rPr>
              <w:t>Interest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27, 2007</w:t>
            </w:r>
          </w:p>
        </w:tc>
        <w:tc>
          <w:tcPr>
            <w:tcW w:w="4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(572.4)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42,000,000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(581.1)</w:t>
            </w:r>
          </w:p>
        </w:tc>
        <w:tc>
          <w:tcPr>
            <w:tcW w:w="18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Distributions to Members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(75.5)</w:t>
            </w:r>
          </w:p>
        </w:tc>
        <w:tc>
          <w:tcPr>
            <w:tcW w:w="84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Contributions from Members</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Subsidiary equity issued for purchase of</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ind w:left="200"/>
              <w:spacing w:after="0"/>
              <w:rPr>
                <w:sz w:val="20"/>
                <w:szCs w:val="20"/>
                <w:color w:val="auto"/>
              </w:rPr>
            </w:pPr>
            <w:r>
              <w:rPr>
                <w:rFonts w:ascii="Arial" w:cs="Arial" w:eastAsia="Arial" w:hAnsi="Arial"/>
                <w:sz w:val="18"/>
                <w:szCs w:val="18"/>
                <w:color w:val="auto"/>
              </w:rPr>
              <w:t>intangible asset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116.1</w:t>
            </w:r>
          </w:p>
        </w:tc>
        <w:tc>
          <w:tcPr>
            <w:tcW w:w="84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49.2</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Income tax and other impacts of subsidiary</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ownership changes</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3"/>
              </w:rPr>
              <w:t>Unrealized (loss) on cash flow hedge, net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of tax</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20"/>
              <w:spacing w:after="0"/>
              <w:rPr>
                <w:sz w:val="20"/>
                <w:szCs w:val="20"/>
                <w:color w:val="auto"/>
              </w:rPr>
            </w:pPr>
            <w:r>
              <w:rPr>
                <w:rFonts w:ascii="Arial" w:cs="Arial" w:eastAsia="Arial" w:hAnsi="Arial"/>
                <w:sz w:val="18"/>
                <w:szCs w:val="18"/>
                <w:color w:val="auto"/>
              </w:rPr>
              <w:t>Net income, net of tax</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71.0</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Total Comprehensive Income, net of tax</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322"/>
        </w:trPr>
        <w:tc>
          <w:tcPr>
            <w:tcW w:w="356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109,966</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$0.62 per share</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w w:val="99"/>
              </w:rPr>
              <w:t>Recovery of Deficit in Noncontrolling Interest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1, 2009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(526.3)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42,109,966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(494.9)</w:t>
            </w:r>
          </w:p>
        </w:tc>
        <w:tc>
          <w:tcPr>
            <w:tcW w:w="18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w:t>
            </w:r>
          </w:p>
        </w:tc>
        <w:tc>
          <w:tcPr>
            <w:tcW w:w="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22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3"/>
              </w:rPr>
              <w:t>Year Ended</w:t>
            </w:r>
          </w:p>
        </w:tc>
        <w:tc>
          <w:tcPr>
            <w:tcW w:w="360" w:type="dxa"/>
            <w:vAlign w:val="bottom"/>
          </w:tcPr>
          <w:p>
            <w:pPr>
              <w:spacing w:after="0"/>
              <w:rPr>
                <w:sz w:val="14"/>
                <w:szCs w:val="14"/>
                <w:color w:val="auto"/>
              </w:rPr>
            </w:pPr>
          </w:p>
        </w:tc>
        <w:tc>
          <w:tcPr>
            <w:tcW w:w="1580" w:type="dxa"/>
            <w:vAlign w:val="bottom"/>
            <w:gridSpan w:val="3"/>
          </w:tcPr>
          <w:p>
            <w:pPr>
              <w:jc w:val="right"/>
              <w:ind w:right="840"/>
              <w:spacing w:after="0"/>
              <w:rPr>
                <w:sz w:val="20"/>
                <w:szCs w:val="20"/>
                <w:color w:val="auto"/>
              </w:rPr>
            </w:pPr>
            <w:r>
              <w:rPr>
                <w:rFonts w:ascii="Arial" w:cs="Arial" w:eastAsia="Arial" w:hAnsi="Arial"/>
                <w:sz w:val="14"/>
                <w:szCs w:val="14"/>
                <w:b w:val="1"/>
                <w:bCs w:val="1"/>
                <w:color w:val="auto"/>
                <w:w w:val="93"/>
              </w:rPr>
              <w:t>Year Ended</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12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30,</w:t>
            </w:r>
          </w:p>
        </w:tc>
        <w:tc>
          <w:tcPr>
            <w:tcW w:w="36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2"/>
              </w:rPr>
              <w:t>January 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109.1</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101.3</w:t>
            </w:r>
          </w:p>
        </w:tc>
        <w:tc>
          <w:tcPr>
            <w:tcW w:w="7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consolidated net income to net cash provided by operating</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Deferred income tax expense</w:t>
            </w:r>
          </w:p>
        </w:tc>
        <w:tc>
          <w:tcPr>
            <w:tcW w:w="1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Non-cash share-based compensation</w:t>
            </w:r>
          </w:p>
        </w:tc>
        <w:tc>
          <w:tcPr>
            <w:tcW w:w="1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14.0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share-based compensation</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Non-cash impairment and related loss</w:t>
            </w:r>
          </w:p>
        </w:tc>
        <w:tc>
          <w:tcPr>
            <w:tcW w:w="1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of interest on the discounted payable to founding members under tax sharing</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agreement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14.5</w:t>
            </w:r>
          </w:p>
        </w:tc>
        <w:tc>
          <w:tcPr>
            <w:tcW w:w="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Net unrealized loss (gain) on hedging transactions</w:t>
            </w:r>
          </w:p>
        </w:tc>
        <w:tc>
          <w:tcPr>
            <w:tcW w:w="1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loss from investment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1.9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non-cash operating activities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Receivables—net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Amounts due to founding members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rPr>
              <w:t>Payment to founding members under tax sharing agreement</w:t>
            </w: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(16.7)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(13.3)</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taxes and other</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rPr>
              <w:t>Other operating</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(0.7)</w:t>
            </w:r>
          </w:p>
        </w:tc>
        <w:tc>
          <w:tcPr>
            <w:tcW w:w="1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7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Proceeds from sale of property and equipment to founding member</w:t>
            </w:r>
          </w:p>
        </w:tc>
        <w:tc>
          <w:tcPr>
            <w:tcW w:w="1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 of short-term investments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Proceeds from sale of short-term investments</w:t>
            </w:r>
          </w:p>
        </w:tc>
        <w:tc>
          <w:tcPr>
            <w:tcW w:w="1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investment in affiliate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vMerge w:val="restart"/>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4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(15.6)</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Payment of dividends</w:t>
            </w: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(34.7)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borrowings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124.3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Repayments of borrowings</w:t>
            </w: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(152.5)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Founding member integration payments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Distributions to founding members</w:t>
            </w: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(90.5)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720"/>
              <w:spacing w:after="0"/>
              <w:rPr>
                <w:sz w:val="20"/>
                <w:szCs w:val="20"/>
                <w:color w:val="auto"/>
              </w:rPr>
            </w:pPr>
            <w:r>
              <w:rPr>
                <w:rFonts w:ascii="Arial" w:cs="Arial" w:eastAsia="Arial" w:hAnsi="Arial"/>
                <w:sz w:val="18"/>
                <w:szCs w:val="18"/>
                <w:color w:val="auto"/>
              </w:rPr>
              <w:t>(79.1)</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 of offering costs and fees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Excess tax benefit from share-based compensation</w:t>
            </w:r>
          </w:p>
        </w:tc>
        <w:tc>
          <w:tcPr>
            <w:tcW w:w="180" w:type="dxa"/>
            <w:vAlign w:val="bottom"/>
          </w:tcPr>
          <w:p>
            <w:pPr>
              <w:spacing w:after="0"/>
              <w:rPr>
                <w:sz w:val="18"/>
                <w:szCs w:val="18"/>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0.3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stock option exercises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Arial" w:cs="Arial" w:eastAsia="Arial" w:hAnsi="Arial"/>
                <w:sz w:val="18"/>
                <w:szCs w:val="18"/>
                <w:color w:val="auto"/>
              </w:rPr>
              <w:t>Repurchase of stock for restricted stock tax withholding</w:t>
            </w:r>
          </w:p>
        </w:tc>
        <w:tc>
          <w:tcPr>
            <w:tcW w:w="18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(144.8)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(106.0)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color w:val="auto"/>
              </w:rPr>
              <w:t>CHANGE IN CASH AND CASH EQUIVALENTS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(16.7)</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21.9</w:t>
            </w:r>
          </w:p>
        </w:tc>
        <w:tc>
          <w:tcPr>
            <w:tcW w:w="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ind w:left="640"/>
              <w:spacing w:after="0"/>
              <w:rPr>
                <w:sz w:val="20"/>
                <w:szCs w:val="20"/>
                <w:color w:val="auto"/>
              </w:rPr>
            </w:pPr>
            <w:r>
              <w:rPr>
                <w:rFonts w:ascii="Arial" w:cs="Arial" w:eastAsia="Arial" w:hAnsi="Arial"/>
                <w:sz w:val="18"/>
                <w:szCs w:val="18"/>
                <w:color w:val="auto"/>
              </w:rPr>
              <w:t>Beginning of period</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End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74.4</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NATIONAL CINEMEDIA, INC. AND SUBSIDIARY</w:t>
      </w:r>
    </w:p>
    <w:p>
      <w:pPr>
        <w:spacing w:after="0" w:line="90"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Year Ended</w:t>
            </w:r>
          </w:p>
        </w:tc>
        <w:tc>
          <w:tcPr>
            <w:tcW w:w="78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40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98"/>
              </w:rPr>
              <w:t>Year Ended</w:t>
            </w:r>
          </w:p>
        </w:tc>
      </w:tr>
      <w:tr>
        <w:trPr>
          <w:trHeight w:val="149"/>
        </w:trPr>
        <w:tc>
          <w:tcPr>
            <w:tcW w:w="6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30,</w:t>
            </w:r>
          </w:p>
        </w:tc>
        <w:tc>
          <w:tcPr>
            <w:tcW w:w="7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2"/>
                <w:szCs w:val="12"/>
                <w:color w:val="auto"/>
              </w:rPr>
            </w:pP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January 1,</w:t>
            </w:r>
          </w:p>
        </w:tc>
      </w:tr>
      <w:tr>
        <w:trPr>
          <w:trHeight w:val="161"/>
        </w:trPr>
        <w:tc>
          <w:tcPr>
            <w:tcW w:w="6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Contribution for severance plan payments</w:t>
            </w:r>
          </w:p>
        </w:tc>
        <w:tc>
          <w:tcPr>
            <w:tcW w:w="146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9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0.0</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an intangible asset with subsidiary equity</w:t>
            </w:r>
          </w:p>
        </w:tc>
        <w:tc>
          <w:tcPr>
            <w:tcW w:w="14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28.5</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Purchase of subsidiary equity with NCM, Inc. equity</w:t>
            </w:r>
          </w:p>
        </w:tc>
        <w:tc>
          <w:tcPr>
            <w:tcW w:w="146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174.9</w:t>
            </w:r>
          </w:p>
        </w:tc>
        <w:tc>
          <w:tcPr>
            <w:tcW w:w="9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0.0</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 of put liability by issuance of debt</w:t>
            </w:r>
          </w:p>
        </w:tc>
        <w:tc>
          <w:tcPr>
            <w:tcW w:w="14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Assets acquired in settlement of put liability</w:t>
            </w:r>
          </w:p>
        </w:tc>
        <w:tc>
          <w:tcPr>
            <w:tcW w:w="146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9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2.5</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dividends not requiring cash in the period</w:t>
            </w:r>
          </w:p>
        </w:tc>
        <w:tc>
          <w:tcPr>
            <w:tcW w:w="14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interest</w:t>
            </w:r>
          </w:p>
        </w:tc>
        <w:tc>
          <w:tcPr>
            <w:tcW w:w="14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9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38.8</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8"/>
                <w:szCs w:val="18"/>
                <w:color w:val="auto"/>
              </w:rPr>
            </w:pPr>
          </w:p>
        </w:tc>
      </w:tr>
      <w:tr>
        <w:trPr>
          <w:trHeight w:val="222"/>
        </w:trPr>
        <w:tc>
          <w:tcPr>
            <w:tcW w:w="6200" w:type="dxa"/>
            <w:vAlign w:val="bottom"/>
          </w:tcPr>
          <w:p>
            <w:pPr>
              <w:ind w:left="440"/>
              <w:spacing w:after="0"/>
              <w:rPr>
                <w:sz w:val="20"/>
                <w:szCs w:val="20"/>
                <w:color w:val="auto"/>
              </w:rPr>
            </w:pPr>
            <w:r>
              <w:rPr>
                <w:rFonts w:ascii="Arial" w:cs="Arial" w:eastAsia="Arial" w:hAnsi="Arial"/>
                <w:sz w:val="18"/>
                <w:szCs w:val="18"/>
                <w:color w:val="auto"/>
              </w:rPr>
              <w:t>Cash paid for income taxes</w:t>
            </w:r>
          </w:p>
        </w:tc>
        <w:tc>
          <w:tcPr>
            <w:tcW w:w="146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8.6</w:t>
            </w:r>
          </w:p>
        </w:tc>
        <w:tc>
          <w:tcPr>
            <w:tcW w:w="9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2.1</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National CineMedia, Inc. (“NCM, Inc.”) was incorporated in Delaware as a holding company with the sole purpose of becoming a member and sole manager of National CineMedia, LLC (“NCM LLC”). The terms “NCM”, “the Company” or “we” shall, unless the context otherwise requires, be deemed to include the consolidated entity. The Company operates the largest digital in-theatre network in North America, allowing NCM to distribute advertising, Fathom entertainment programming events and corporate events under long-term exhibitor services agreements (“ESAs”) with American Multi-Cinema, Inc. (“AMC”), a wholly owned subsidiary of AMC Entertainment, Inc. (“AMCE”), Regal Cinemas, Inc., a wholly owned subsidiary of Regal Entertainment Group (“Regal”), and Cinemark USA, Inc. (“Cinemark USA”), a wholly owned subsidiary of Cinemark Holdings, Inc. (“Cinemark”). AMC, Regal and Cinemark and their affiliates are referred to in this document as “founding members”. NCM LLC also provides such services to certain third-party theatre circuits under “network affiliate” agreements, which expire at various dates.</w:t>
      </w:r>
    </w:p>
    <w:p>
      <w:pPr>
        <w:spacing w:after="0" w:line="14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At December 30, 2010, NCM LLC had 110,752,192 common membership units outstanding, of which 53,549,477 (48.3%) were owned by NCM, Inc., 21,452,792 (19.4%) were owned by Regal, 18,803,420 (17.0%) were owned by AMC, and 16,946,503 (15.3%) were owned by Cinemark. The membership units held by the founding members are exchangeable into NCM, Inc. common stock on a one-for-one basis. During the third quarter of 2010, AMC and Regal completed a common unit membership redemption and an underwritten public offering of an aggregate 10,955,471 shares of the Company’s common stock (see Note 10).</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The Company has prepared its consolidated financial statements and related notes of NCM, Inc. in accordance with accounting principles generally accepted in the United States of America (“GAAP”) and the rules and regulations of the Securities and Exchange Commission (“SEC”).</w:t>
      </w:r>
    </w:p>
    <w:p>
      <w:pPr>
        <w:spacing w:after="0" w:line="85"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Company’s initial public offering (“IPO”) was completed in February 2007. The Company’s business is seasonal and for this and other reasons operating results for interim periods may not be indicative of the Company’s full year results or future performance. As a result of the various related-party agreements discussed in Note 10, the operating results as presented are not necessarily indicative of the results that might have occurred if all agreements were with non-related third parties.</w:t>
      </w:r>
    </w:p>
    <w:p>
      <w:pPr>
        <w:spacing w:after="0" w:line="14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b w:val="1"/>
          <w:bCs w:val="1"/>
          <w:i w:val="1"/>
          <w:iCs w:val="1"/>
          <w:color w:val="auto"/>
        </w:rPr>
        <w:t>Estimates</w:t>
      </w:r>
      <w:r>
        <w:rPr>
          <w:rFonts w:ascii="Arial" w:cs="Arial" w:eastAsia="Arial" w:hAnsi="Arial"/>
          <w:sz w:val="16"/>
          <w:szCs w:val="16"/>
          <w:color w:val="auto"/>
        </w:rPr>
        <w:t>—The preparation of financial statements in conformity with GAAP requires management to make estimates and assumptions that affect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equity-based compensation and income taxes. Actual results could differ from those estimates.</w:t>
      </w:r>
    </w:p>
    <w:p>
      <w:pPr>
        <w:spacing w:after="0" w:line="11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Consolidation</w:t>
      </w:r>
      <w:r>
        <w:rPr>
          <w:rFonts w:ascii="Arial" w:cs="Arial" w:eastAsia="Arial" w:hAnsi="Arial"/>
          <w:sz w:val="16"/>
          <w:szCs w:val="16"/>
          <w:color w:val="auto"/>
        </w:rPr>
        <w:t>—NCM, Inc. consolidates the accounts of NCM LLC under the provision of ASC 810</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Consolidation</w:t>
      </w:r>
      <w:r>
        <w:rPr>
          <w:rFonts w:ascii="Arial" w:cs="Arial" w:eastAsia="Arial" w:hAnsi="Arial"/>
          <w:sz w:val="16"/>
          <w:szCs w:val="16"/>
          <w:color w:val="auto"/>
        </w:rPr>
        <w:t>. Under ASC 810, a managing member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 limited liability company (“LLC”) is presumed to control the LLC, unless the non-managing members have the right to dissolve the entity or remove the managing member without cause, or if the non-managing members have substantive participating rights. The non-managing members of NCM LLC do not have either dissolution rights or removal rights. NCM, Inc. has evaluated the provisions of the NCM LLC membership agreement and has concluded that the various rights of the non-managing members are not substantive participation rights under ASC 810, as they do not limit NCM, Inc.’s ability to make decisions in the ordinary course of business. In addition, the Company adopted accounting guidance for noncontrolling interests effective January 2, 2009, which changed the manner of presentation and related disclosures for the noncontrolling interest in a subsidiary. The presentation changes are reflected retrospectively in the Company’s consolidated financial statements and Note 17. ASC 810 also changed the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measurement principles for noncontrolling interests by permitting the recognition of a deficit balance. Since the measurement principles cannot be applied retrospectively, the deficit in NCM LLC’s equity accounts due to distributions at the time of the IPO and related transactions, are reported at zero for all periods through January 1, 2009. The noncontrolling interest in NCM LLC’s deficit through January 1, 2009, has been charged against NCM, Inc.’s additional paid-in capital (deficit).</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Reclassifications—</w:t>
      </w:r>
      <w:r>
        <w:rPr>
          <w:rFonts w:ascii="Arial" w:cs="Arial" w:eastAsia="Arial" w:hAnsi="Arial"/>
          <w:sz w:val="18"/>
          <w:szCs w:val="18"/>
          <w:color w:val="auto"/>
        </w:rPr>
        <w:t>Certain reclassifications of previously reported amounts within operating activities in the statement of cash flows have been made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conform to the current year presentation.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b w:val="1"/>
          <w:bCs w:val="1"/>
          <w:i w:val="1"/>
          <w:iCs w:val="1"/>
          <w:color w:val="auto"/>
        </w:rPr>
        <w:t>Accounting Period</w:t>
      </w:r>
      <w:r>
        <w:rPr>
          <w:rFonts w:ascii="Arial" w:cs="Arial" w:eastAsia="Arial" w:hAnsi="Arial"/>
          <w:sz w:val="18"/>
          <w:szCs w:val="18"/>
          <w:color w:val="auto"/>
        </w:rPr>
        <w:t>—The Company operates on a 52-week fiscal year, with the fiscal year ending on the first Thursday after December 25, which,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years, results in a 53-week year, as was the case for fiscal year 2008.</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Segment Reporting</w:t>
      </w:r>
      <w:r>
        <w:rPr>
          <w:rFonts w:ascii="Arial" w:cs="Arial" w:eastAsia="Arial" w:hAnsi="Arial"/>
          <w:sz w:val="18"/>
          <w:szCs w:val="18"/>
          <w:color w:val="auto"/>
        </w:rPr>
        <w:t>—Segments are accounted for under ASC 280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Segment Reporting</w:t>
      </w:r>
      <w:r>
        <w:rPr>
          <w:rFonts w:ascii="Arial" w:cs="Arial" w:eastAsia="Arial" w:hAnsi="Arial"/>
          <w:sz w:val="18"/>
          <w:szCs w:val="18"/>
          <w:color w:val="auto"/>
        </w:rPr>
        <w:t>. Refer to Note 18.</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—Advertising revenue is recognized in the period in which an advertising contract is fulfilled against the contracted theatre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attendees. Advertising revenue is recorded net of make-good provisions to account for delivered attendance that is less than contracted attendance. When remaining delivered attendance is provided in subsequent periods, that portion of the revenue earned is recognized in that period. Deferred revenue refers to the unearned portion of advertising contracts. All deferred revenue is classified as a current liability. Fathom Events revenue is recognized in the period in which the event is held.</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Barter Transactions</w:t>
      </w:r>
      <w:r>
        <w:rPr>
          <w:rFonts w:ascii="Arial" w:cs="Arial" w:eastAsia="Arial" w:hAnsi="Arial"/>
          <w:sz w:val="16"/>
          <w:szCs w:val="16"/>
          <w:color w:val="auto"/>
        </w:rPr>
        <w:t>—The Company enters into barter transactions that exchange advertising program time for products and services used principally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selling and marketing activities. The Company records barter transactions at the estimated fair value of the advertising exchanged based on fair value received for similar advertising from cash paying customers. Revenues for advertising barter transactions are recognized when advertising is provided, and products and services received are charged to expense when used. The Company limits the use of such barter transactions to items and services for which it would otherwise have paid cash. Any timing differences between the delivery of the bartered revenue and the use of the bartered expense products and services are recorded through deferred revenue. Revenue and expense from barter transactions for the year ended December 30, 2010 were $1.5 million and $1.1 million, respectively and were not material to the Company’s consolidated statement of operations for the years ended December 31, 2009 and January 1, 2009.</w:t>
      </w:r>
    </w:p>
    <w:p>
      <w:pPr>
        <w:spacing w:after="0" w:line="118"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b w:val="1"/>
          <w:bCs w:val="1"/>
          <w:i w:val="1"/>
          <w:iCs w:val="1"/>
          <w:color w:val="auto"/>
        </w:rPr>
        <w:t>Operating Costs</w:t>
      </w:r>
      <w:r>
        <w:rPr>
          <w:rFonts w:ascii="Arial" w:cs="Arial" w:eastAsia="Arial" w:hAnsi="Arial"/>
          <w:sz w:val="16"/>
          <w:szCs w:val="16"/>
          <w:color w:val="auto"/>
        </w:rPr>
        <w:t>—Advertising related operating costs primarily include personnel and other costs related to advertising fulfillment, and to a lesser degree,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production costs of non-digital advertising, and payments due to unaffiliated theatre circuits under the network affiliate agreements.</w:t>
      </w:r>
    </w:p>
    <w:p>
      <w:pPr>
        <w:spacing w:after="0" w:line="85" w:lineRule="exact"/>
        <w:rPr>
          <w:sz w:val="20"/>
          <w:szCs w:val="20"/>
          <w:color w:val="auto"/>
        </w:rPr>
      </w:pPr>
    </w:p>
    <w:p>
      <w:pPr>
        <w:jc w:val="both"/>
        <w:ind w:right="160" w:firstLine="456"/>
        <w:spacing w:after="0" w:line="268" w:lineRule="auto"/>
        <w:rPr>
          <w:sz w:val="20"/>
          <w:szCs w:val="20"/>
          <w:color w:val="auto"/>
        </w:rPr>
      </w:pPr>
      <w:r>
        <w:rPr>
          <w:rFonts w:ascii="Arial" w:cs="Arial" w:eastAsia="Arial" w:hAnsi="Arial"/>
          <w:sz w:val="18"/>
          <w:szCs w:val="18"/>
          <w:color w:val="auto"/>
        </w:rPr>
        <w:t>Fathom Events operating costs include equipment rental, catering, movie tickets acquired primarily from the founding members, revenue share under the amended and restated ESAs and other direct costs of the meeting or event.</w:t>
      </w:r>
    </w:p>
    <w:p>
      <w:pPr>
        <w:spacing w:after="0" w:line="1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Payment to the founding members of a theatre access fee is comprised of a payment per theatre attendee and a payment per digital screen, both of which escalate over time.</w:t>
      </w:r>
    </w:p>
    <w:p>
      <w:pPr>
        <w:spacing w:after="0" w:line="132"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Network costs include personnel, satellite bandwidth, repairs, and other costs of maintaining and operating the digital network and preparing advertising and other content for transmission across the digital network. These costs are not specifically allocable between the advertising business and the Fathom Events business.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leases various office facilities under operating leases with terms ranging from 3 to 15 years. The Company calculates straight-line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rent expense over the initial lease term and renewals that are reasonably assured.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b w:val="1"/>
          <w:bCs w:val="1"/>
          <w:i w:val="1"/>
          <w:iCs w:val="1"/>
          <w:color w:val="auto"/>
        </w:rPr>
        <w:t>Advertising Costs</w:t>
      </w:r>
      <w:r>
        <w:rPr>
          <w:rFonts w:ascii="Arial" w:cs="Arial" w:eastAsia="Arial" w:hAnsi="Arial"/>
          <w:sz w:val="16"/>
          <w:szCs w:val="16"/>
          <w:color w:val="auto"/>
        </w:rPr>
        <w:t>—Costs related to advertising and other promotional expenditures are expensed as incurred. Due to the nature of the business,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has an insignificant amount of advertising costs included in selling and marketing costs on the statement of operations.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—All highly liquid debt instruments and investments purchased with an original maturity of three months or less are classified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cash equivalents and are considered available for sale securities. There are cash balances in a bank in excess of the federally insured limits or in the form of a money market demand account with a major financial institution.</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—At December 30, 2010 and December 31, 2009, other non-current assets included restricted cash of $0.3 million, which secures a letter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credit used as a lease deposit on NCM LLC’s New York office.</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Receivables</w:t>
      </w:r>
      <w:r>
        <w:rPr>
          <w:rFonts w:ascii="Arial" w:cs="Arial" w:eastAsia="Arial" w:hAnsi="Arial"/>
          <w:sz w:val="16"/>
          <w:szCs w:val="16"/>
          <w:color w:val="auto"/>
        </w:rPr>
        <w:t>—Bad debts are provided for using the allowance for doubtful accounts method based on historical experience and management’s evaluation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receivables at the end of the period. Receivables are written off when management determines amounts are uncollectible. Trade accounts receivable are uncollateralized and represent a large number of geographically dispersed debtors. At December 30, 2010, there was two advertising agency groups through which the Company sources national advertising revenue representing approximately 17% and 21%, of the Company’s outstanding gross receivable balance, respectively; however, none of the individual contracts related to the advertising agencies were more than 10% of advertising revenue. At December 31, 2009 there was one advertising agency group through which the Company sources national advertising revenue representing approximately 19% of the Company’s outstanding gross receivable balance; however, none of the individual contracts related to the advertising agency were more than 10% of advertising revenue. The collectability risk is reduced by dealing with large, national advertising agencies who have strong reputations in the advertising industry and clients with stable financial positions.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consisted of the following,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840" w:type="dxa"/>
            <w:vAlign w:val="bottom"/>
            <w:gridSpan w:val="4"/>
          </w:tcPr>
          <w:p>
            <w:pPr>
              <w:ind w:left="20"/>
              <w:spacing w:after="0"/>
              <w:rPr>
                <w:sz w:val="20"/>
                <w:szCs w:val="20"/>
                <w:color w:val="auto"/>
              </w:rPr>
            </w:pPr>
            <w:r>
              <w:rPr>
                <w:rFonts w:ascii="Arial" w:cs="Arial" w:eastAsia="Arial" w:hAnsi="Arial"/>
                <w:sz w:val="14"/>
                <w:szCs w:val="14"/>
                <w:b w:val="1"/>
                <w:bCs w:val="1"/>
                <w:color w:val="auto"/>
              </w:rPr>
              <w:t>As of December 30,</w:t>
            </w:r>
          </w:p>
        </w:tc>
        <w:tc>
          <w:tcPr>
            <w:tcW w:w="1880" w:type="dxa"/>
            <w:vAlign w:val="bottom"/>
            <w:gridSpan w:val="4"/>
          </w:tcPr>
          <w:p>
            <w:pPr>
              <w:ind w:left="640"/>
              <w:spacing w:after="0"/>
              <w:rPr>
                <w:sz w:val="20"/>
                <w:szCs w:val="20"/>
                <w:color w:val="auto"/>
              </w:rPr>
            </w:pPr>
            <w:r>
              <w:rPr>
                <w:rFonts w:ascii="Arial" w:cs="Arial" w:eastAsia="Arial" w:hAnsi="Arial"/>
                <w:sz w:val="14"/>
                <w:szCs w:val="14"/>
                <w:b w:val="1"/>
                <w:bCs w:val="1"/>
                <w:color w:val="auto"/>
                <w:w w:val="93"/>
              </w:rPr>
              <w:t>As of December 31,</w:t>
            </w:r>
          </w:p>
        </w:tc>
        <w:tc>
          <w:tcPr>
            <w:tcW w:w="0" w:type="dxa"/>
            <w:vAlign w:val="bottom"/>
          </w:tcPr>
          <w:p>
            <w:pPr>
              <w:spacing w:after="0"/>
              <w:rPr>
                <w:sz w:val="1"/>
                <w:szCs w:val="1"/>
                <w:color w:val="auto"/>
              </w:rPr>
            </w:pPr>
          </w:p>
        </w:tc>
      </w:tr>
      <w:tr>
        <w:trPr>
          <w:trHeight w:val="161"/>
        </w:trPr>
        <w:tc>
          <w:tcPr>
            <w:tcW w:w="4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2010</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Trade accounts</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w:t>
            </w: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w:t>
            </w: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9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60" w:type="dxa"/>
            <w:vAlign w:val="bottom"/>
            <w:vMerge w:val="continue"/>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100.7</w:t>
            </w:r>
          </w:p>
        </w:tc>
        <w:tc>
          <w:tcPr>
            <w:tcW w:w="700" w:type="dxa"/>
            <w:vAlign w:val="bottom"/>
          </w:tcPr>
          <w:p>
            <w:pPr>
              <w:spacing w:after="0"/>
              <w:rPr>
                <w:sz w:val="19"/>
                <w:szCs w:val="19"/>
                <w:color w:val="auto"/>
              </w:rPr>
            </w:pPr>
          </w:p>
        </w:tc>
        <w:tc>
          <w:tcPr>
            <w:tcW w:w="9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b w:val="1"/>
          <w:bCs w:val="1"/>
          <w:i w:val="1"/>
          <w:iCs w:val="1"/>
          <w:color w:val="auto"/>
        </w:rPr>
        <w:t>Long-lived Assets</w:t>
      </w:r>
      <w:r>
        <w:rPr>
          <w:rFonts w:ascii="Arial" w:cs="Arial" w:eastAsia="Arial" w:hAnsi="Arial"/>
          <w:sz w:val="18"/>
          <w:szCs w:val="18"/>
          <w:color w:val="auto"/>
        </w:rPr>
        <w:t>—Property and equipment is stated at cost, net of accumulated depreciation or amortization. Refer to Note 5. Major renewals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improvements are capitalized, while replacements, maintenance, and repairs that do not improve or extend the lives of the respective assets are expensed currently. In general, the equipment associated with the digital network that is located within the theatre is owned by the founding members, while equipment outside the theatre is owned by the Company. The Company records depreciation and amortization using the straight-line method over the following estimated useful lives:</w:t>
      </w:r>
    </w:p>
    <w:p>
      <w:pPr>
        <w:sectPr>
          <w:pgSz w:w="11900" w:h="16838" w:orient="portrait"/>
          <w:cols w:equalWidth="0" w:num="1">
            <w:col w:w="11400"/>
          </w:cols>
          <w:pgMar w:left="240" w:top="459" w:right="259" w:bottom="1440" w:gutter="0" w:footer="0" w:header="0"/>
        </w:sectPr>
      </w:pPr>
    </w:p>
    <w:p>
      <w:pPr>
        <w:spacing w:after="0" w:line="18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Equipment</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Computer hardware and software</w:t>
      </w:r>
    </w:p>
    <w:p>
      <w:pPr>
        <w:spacing w:after="0" w:line="4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4-10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3-5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Lesser of lease term or asset life</w:t>
      </w:r>
    </w:p>
    <w:p>
      <w:pPr>
        <w:spacing w:after="0" w:line="199" w:lineRule="exact"/>
        <w:rPr>
          <w:sz w:val="20"/>
          <w:szCs w:val="20"/>
          <w:color w:val="auto"/>
        </w:rPr>
      </w:pPr>
    </w:p>
    <w:p>
      <w:pPr>
        <w:sectPr>
          <w:pgSz w:w="11900" w:h="16838" w:orient="portrait"/>
          <w:cols w:equalWidth="0" w:num="2">
            <w:col w:w="5540" w:space="720"/>
            <w:col w:w="5140"/>
          </w:cols>
          <w:pgMar w:left="240" w:top="459" w:right="259" w:bottom="1440" w:gutter="0" w:footer="0" w:header="0"/>
          <w:type w:val="continuous"/>
        </w:sectPr>
      </w:pPr>
    </w:p>
    <w:p>
      <w:pPr>
        <w:ind w:right="180" w:firstLine="456"/>
        <w:spacing w:after="0" w:line="256" w:lineRule="auto"/>
        <w:rPr>
          <w:sz w:val="20"/>
          <w:szCs w:val="20"/>
          <w:color w:val="auto"/>
        </w:rPr>
      </w:pPr>
      <w:r>
        <w:rPr>
          <w:rFonts w:ascii="Arial" w:cs="Arial" w:eastAsia="Arial" w:hAnsi="Arial"/>
          <w:sz w:val="18"/>
          <w:szCs w:val="18"/>
          <w:color w:val="auto"/>
        </w:rPr>
        <w:t xml:space="preserve">Software and web site development costs developed or obtained for internal use are accounted for in accordance with ASC Subtopic 350-40 </w:t>
      </w:r>
      <w:r>
        <w:rPr>
          <w:rFonts w:ascii="Arial" w:cs="Arial" w:eastAsia="Arial" w:hAnsi="Arial"/>
          <w:sz w:val="18"/>
          <w:szCs w:val="18"/>
          <w:i w:val="1"/>
          <w:iCs w:val="1"/>
          <w:color w:val="auto"/>
        </w:rPr>
        <w:t>Internal Use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Software </w:t>
      </w:r>
      <w:r>
        <w:rPr>
          <w:rFonts w:ascii="Arial" w:cs="Arial" w:eastAsia="Arial" w:hAnsi="Arial"/>
          <w:sz w:val="18"/>
          <w:szCs w:val="18"/>
          <w:color w:val="auto"/>
        </w:rPr>
        <w:t>and ASC Subtopic 350-50</w:t>
      </w:r>
      <w:r>
        <w:rPr>
          <w:rFonts w:ascii="Arial" w:cs="Arial" w:eastAsia="Arial" w:hAnsi="Arial"/>
          <w:sz w:val="18"/>
          <w:szCs w:val="18"/>
          <w:i w:val="1"/>
          <w:iCs w:val="1"/>
          <w:color w:val="auto"/>
        </w:rPr>
        <w:t xml:space="preserve"> Website Development Costs</w:t>
      </w:r>
      <w:r>
        <w:rPr>
          <w:rFonts w:ascii="Arial" w:cs="Arial" w:eastAsia="Arial" w:hAnsi="Arial"/>
          <w:sz w:val="18"/>
          <w:szCs w:val="18"/>
          <w:color w:val="auto"/>
        </w:rPr>
        <w:t>. The subtopics require the capitalization of certain costs incurred in developing or obtaining</w:t>
      </w:r>
      <w:r>
        <w:rPr>
          <w:rFonts w:ascii="Arial" w:cs="Arial" w:eastAsia="Arial" w:hAnsi="Arial"/>
          <w:sz w:val="18"/>
          <w:szCs w:val="18"/>
          <w:i w:val="1"/>
          <w:iCs w:val="1"/>
          <w:color w:val="auto"/>
        </w:rPr>
        <w:t xml:space="preserve"> </w:t>
      </w:r>
      <w:r>
        <w:rPr>
          <w:rFonts w:ascii="Arial" w:cs="Arial" w:eastAsia="Arial" w:hAnsi="Arial"/>
          <w:sz w:val="18"/>
          <w:szCs w:val="18"/>
          <w:color w:val="auto"/>
        </w:rPr>
        <w:t>software for internal use. The majority of software costs and web site development costs, which are included in equipment, are depreciated over three to five years. As of December 30, 2010 and December 31, 2009, the Company had a</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net book value of $9.2 million and $11.0 million, respectively, of capitalized software and web site development costs. Approximately $6.5 million, $6.7 million and $4.9 million was recorded for the years ended December 30, 2010, December 31, 2009 and January 1, 2009, respectively, in depreciation expense. For the years ended December 30, 2010, December 31, 2009 and January 1, 2009 the Company recorded $1.2 million, $1.6 million and $1.2 million in research and development expense, respectively.</w:t>
      </w:r>
    </w:p>
    <w:p>
      <w:pPr>
        <w:spacing w:after="0" w:line="14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Construction in progress includes costs relating to installations of equipment into affiliate theatres. Assets under construction are not depreciated until placed into service.</w:t>
      </w:r>
    </w:p>
    <w:p>
      <w:pPr>
        <w:spacing w:after="0" w:line="132" w:lineRule="exact"/>
        <w:rPr>
          <w:sz w:val="20"/>
          <w:szCs w:val="20"/>
          <w:color w:val="auto"/>
        </w:rPr>
      </w:pPr>
    </w:p>
    <w:p>
      <w:pPr>
        <w:jc w:val="both"/>
        <w:ind w:right="400" w:firstLine="456"/>
        <w:spacing w:after="0" w:line="370" w:lineRule="auto"/>
        <w:rPr>
          <w:sz w:val="20"/>
          <w:szCs w:val="20"/>
          <w:color w:val="auto"/>
        </w:rPr>
      </w:pPr>
      <w:r>
        <w:rPr>
          <w:rFonts w:ascii="Arial" w:cs="Arial" w:eastAsia="Arial" w:hAnsi="Arial"/>
          <w:sz w:val="15"/>
          <w:szCs w:val="15"/>
          <w:color w:val="auto"/>
        </w:rPr>
        <w:t xml:space="preserve">The Company assesses impairment of long-lived assets pursuant with ASC 360 </w:t>
      </w:r>
      <w:r>
        <w:rPr>
          <w:rFonts w:ascii="Arial" w:cs="Arial" w:eastAsia="Arial" w:hAnsi="Arial"/>
          <w:sz w:val="15"/>
          <w:szCs w:val="15"/>
          <w:i w:val="1"/>
          <w:iCs w:val="1"/>
          <w:color w:val="auto"/>
        </w:rPr>
        <w:t>Property, Plant and Equipment</w:t>
      </w:r>
      <w:r>
        <w:rPr>
          <w:rFonts w:ascii="Arial" w:cs="Arial" w:eastAsia="Arial" w:hAnsi="Arial"/>
          <w:sz w:val="15"/>
          <w:szCs w:val="15"/>
          <w:color w:val="auto"/>
        </w:rPr>
        <w:t xml:space="preserve"> annually</w:t>
      </w:r>
      <w:r>
        <w:rPr>
          <w:rFonts w:ascii="Arial" w:cs="Arial" w:eastAsia="Arial" w:hAnsi="Arial"/>
          <w:sz w:val="15"/>
          <w:szCs w:val="15"/>
          <w:i w:val="1"/>
          <w:iCs w:val="1"/>
          <w:color w:val="auto"/>
        </w:rPr>
        <w:t>.</w:t>
      </w:r>
      <w:r>
        <w:rPr>
          <w:rFonts w:ascii="Arial" w:cs="Arial" w:eastAsia="Arial" w:hAnsi="Arial"/>
          <w:sz w:val="15"/>
          <w:szCs w:val="15"/>
          <w:color w:val="auto"/>
        </w:rPr>
        <w:t xml:space="preserve"> This includes determining if certain triggering events have occurred that could affect the value of an asset. Thus far, we have recorded no impairment charges related to long-lived assets.</w:t>
      </w:r>
    </w:p>
    <w:p>
      <w:pPr>
        <w:spacing w:after="0" w:line="6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Intangible assets</w:t>
      </w:r>
      <w:r>
        <w:rPr>
          <w:rFonts w:ascii="Arial" w:cs="Arial" w:eastAsia="Arial" w:hAnsi="Arial"/>
          <w:sz w:val="16"/>
          <w:szCs w:val="16"/>
          <w:color w:val="auto"/>
        </w:rPr>
        <w:t>—Intangible assets consist of contractual rights and are stated at cost, net of accumulated amortization. Refer to Note 6.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records amortization using the straight-line method over the estimated useful life of the intangibles, corresponding to the term of the ESAs. During the year ended December 30, 2010, NCM LLC recorded an intangible asset of $111.5 million, which is amortized over a weighted average amortization period of 26.7 years, and a second addition of $39.8 million, which is amortized over a weighted average amortization period of 27.0 years. As of December 30, 2010, the gross carrying amount of the intangible assets is $286.0 million, with a remaining weighted average amortization period of 27.0 years.</w:t>
      </w:r>
    </w:p>
    <w:p>
      <w:pPr>
        <w:spacing w:after="0" w:line="116" w:lineRule="exact"/>
        <w:rPr>
          <w:sz w:val="20"/>
          <w:szCs w:val="20"/>
          <w:color w:val="auto"/>
        </w:rPr>
      </w:pPr>
    </w:p>
    <w:p>
      <w:pPr>
        <w:jc w:val="both"/>
        <w:ind w:right="140" w:firstLine="456"/>
        <w:spacing w:after="0" w:line="335" w:lineRule="auto"/>
        <w:rPr>
          <w:sz w:val="20"/>
          <w:szCs w:val="20"/>
          <w:color w:val="auto"/>
        </w:rPr>
      </w:pPr>
      <w:r>
        <w:rPr>
          <w:rFonts w:ascii="Arial" w:cs="Arial" w:eastAsia="Arial" w:hAnsi="Arial"/>
          <w:sz w:val="15"/>
          <w:szCs w:val="15"/>
          <w:b w:val="1"/>
          <w:bCs w:val="1"/>
          <w:i w:val="1"/>
          <w:iCs w:val="1"/>
          <w:color w:val="auto"/>
        </w:rPr>
        <w:t>Amounts Due to/from Founding Members</w:t>
      </w:r>
      <w:r>
        <w:rPr>
          <w:rFonts w:ascii="Arial" w:cs="Arial" w:eastAsia="Arial" w:hAnsi="Arial"/>
          <w:sz w:val="15"/>
          <w:szCs w:val="15"/>
          <w:color w:val="auto"/>
        </w:rPr>
        <w:t>—Amounts due to/from founding members in the 2010 and 2009 periods include amounts due for the theatre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access fee, offset by a receivable for advertising time purchased by the founding members, as well as revenue share earned for Fathom Events plus any amounts outstanding under other contractually obligated payments. Payments to or received from the founding members against outstanding balances are made monthly.</w:t>
      </w:r>
    </w:p>
    <w:p>
      <w:pPr>
        <w:spacing w:after="0" w:line="8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—Income taxes are accounted for under the asset and liability method, which requires recognition of deferred tax assets and liabilities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differences are expected to be recovered or settled pursuant to the provisions of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effect of a change in tax rates on deferred tax assets and liabilities is recognized in income in the period that includes the enactment date.</w:t>
      </w:r>
    </w:p>
    <w:p>
      <w:pPr>
        <w:spacing w:after="0" w:line="1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Company records a valuation allowance if it is deemed more likely than not that all or a portion of its deferred income tax assets will not be realized, which will be assessed on an on-going basis. In addition, income tax rules and regulations are subject to interpretation and the application of those rules and regulations require judgment by the Company and may be challenged by the taxation authorities. The Company follows ASC 740-10-25, which requires the use of a two-step approach for recognizing and measuring tax benefits taken or expected to be taken in a tax return and disclosures regarding uncertainties in income tax positions. Only tax positions that meet the more likely than not recognition threshold are recognized. The Company’s unrecognized tax benefits or related interest and penalties are immaterial. Refer to Note 8.</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Accumulated Other Comprehensive Loss</w:t>
      </w:r>
      <w:r>
        <w:rPr>
          <w:rFonts w:ascii="Arial" w:cs="Arial" w:eastAsia="Arial" w:hAnsi="Arial"/>
          <w:sz w:val="18"/>
          <w:szCs w:val="18"/>
          <w:color w:val="auto"/>
        </w:rPr>
        <w:t>—Accumulated other comprehensive loss is composed of the following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Years Ended</w:t>
            </w:r>
          </w:p>
        </w:tc>
        <w:tc>
          <w:tcPr>
            <w:tcW w:w="1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736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w:t>
            </w:r>
          </w:p>
        </w:tc>
        <w:tc>
          <w:tcPr>
            <w:tcW w:w="380" w:type="dxa"/>
            <w:vAlign w:val="bottom"/>
          </w:tcPr>
          <w:p>
            <w:pPr>
              <w:spacing w:after="0"/>
              <w:rPr>
                <w:sz w:val="11"/>
                <w:szCs w:val="11"/>
                <w:color w:val="auto"/>
              </w:rPr>
            </w:pPr>
          </w:p>
        </w:tc>
        <w:tc>
          <w:tcPr>
            <w:tcW w:w="12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w:t>
            </w:r>
          </w:p>
        </w:tc>
        <w:tc>
          <w:tcPr>
            <w:tcW w:w="5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January</w:t>
            </w:r>
          </w:p>
        </w:tc>
        <w:tc>
          <w:tcPr>
            <w:tcW w:w="100" w:type="dxa"/>
            <w:vAlign w:val="bottom"/>
          </w:tcPr>
          <w:p>
            <w:pPr>
              <w:spacing w:after="0"/>
              <w:rPr>
                <w:sz w:val="11"/>
                <w:szCs w:val="11"/>
                <w:color w:val="auto"/>
              </w:rPr>
            </w:pPr>
          </w:p>
        </w:tc>
      </w:tr>
      <w:tr>
        <w:trPr>
          <w:trHeight w:val="161"/>
        </w:trPr>
        <w:tc>
          <w:tcPr>
            <w:tcW w:w="736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30, 2010</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31, 2009</w:t>
            </w:r>
          </w:p>
        </w:tc>
        <w:tc>
          <w:tcPr>
            <w:tcW w:w="660" w:type="dxa"/>
            <w:vAlign w:val="bottom"/>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1, 2009</w:t>
            </w:r>
          </w:p>
        </w:tc>
        <w:tc>
          <w:tcPr>
            <w:tcW w:w="100" w:type="dxa"/>
            <w:vAlign w:val="bottom"/>
          </w:tcPr>
          <w:p>
            <w:pPr>
              <w:spacing w:after="0"/>
              <w:rPr>
                <w:sz w:val="14"/>
                <w:szCs w:val="14"/>
                <w:color w:val="auto"/>
              </w:rPr>
            </w:pPr>
          </w:p>
        </w:tc>
      </w:tr>
      <w:tr>
        <w:trPr>
          <w:trHeight w:val="21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(18.7)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r>
      <w:tr>
        <w:trPr>
          <w:trHeight w:val="208"/>
        </w:trPr>
        <w:tc>
          <w:tcPr>
            <w:tcW w:w="7360" w:type="dxa"/>
            <w:vAlign w:val="bottom"/>
          </w:tcPr>
          <w:p>
            <w:pPr>
              <w:ind w:left="440"/>
              <w:spacing w:after="0"/>
              <w:rPr>
                <w:sz w:val="20"/>
                <w:szCs w:val="20"/>
                <w:color w:val="auto"/>
              </w:rPr>
            </w:pPr>
            <w:r>
              <w:rPr>
                <w:rFonts w:ascii="Arial" w:cs="Arial" w:eastAsia="Arial" w:hAnsi="Arial"/>
                <w:sz w:val="18"/>
                <w:szCs w:val="18"/>
                <w:color w:val="auto"/>
              </w:rPr>
              <w:t>Change in fair value on cash flow hedge, net of tax of $2.5, $(3.9) and $10.1 million,</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360" w:type="dxa"/>
            <w:vAlign w:val="bottom"/>
          </w:tcPr>
          <w:p>
            <w:pPr>
              <w:ind w:left="66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(9.7)</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20.9</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(49.4)</w:t>
            </w:r>
          </w:p>
        </w:tc>
      </w:tr>
      <w:tr>
        <w:trPr>
          <w:trHeight w:val="217"/>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Noncontrolling interest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7"/>
              </w:rPr>
              <w:t>(15.2)</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r>
      <w:tr>
        <w:trPr>
          <w:trHeight w:val="216"/>
        </w:trPr>
        <w:tc>
          <w:tcPr>
            <w:tcW w:w="7360" w:type="dxa"/>
            <w:vAlign w:val="bottom"/>
          </w:tcPr>
          <w:p>
            <w:pPr>
              <w:ind w:left="440"/>
              <w:spacing w:after="0"/>
              <w:rPr>
                <w:sz w:val="20"/>
                <w:szCs w:val="20"/>
                <w:color w:val="auto"/>
              </w:rPr>
            </w:pPr>
            <w:r>
              <w:rPr>
                <w:rFonts w:ascii="Arial" w:cs="Arial" w:eastAsia="Arial" w:hAnsi="Arial"/>
                <w:sz w:val="18"/>
                <w:szCs w:val="18"/>
                <w:color w:val="auto"/>
              </w:rPr>
              <w:t>Impact of change in ownership</w:t>
            </w:r>
          </w:p>
        </w:tc>
        <w:tc>
          <w:tcPr>
            <w:tcW w:w="1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08"/>
        </w:trPr>
        <w:tc>
          <w:tcPr>
            <w:tcW w:w="73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Reclassifications into earnings, net of tax of $(0.5), $(0.5) and $(0.1) million,</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73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respectively</w:t>
            </w:r>
          </w:p>
        </w:tc>
        <w:tc>
          <w:tcPr>
            <w:tcW w:w="1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r>
      <w:tr>
        <w:trPr>
          <w:trHeight w:val="222"/>
        </w:trPr>
        <w:tc>
          <w:tcPr>
            <w:tcW w:w="7360" w:type="dxa"/>
            <w:vAlign w:val="bottom"/>
          </w:tcPr>
          <w:p>
            <w:pPr>
              <w:spacing w:after="0"/>
              <w:rPr>
                <w:sz w:val="20"/>
                <w:szCs w:val="20"/>
                <w:color w:val="auto"/>
              </w:rPr>
            </w:pPr>
            <w:r>
              <w:rPr>
                <w:rFonts w:ascii="Arial" w:cs="Arial" w:eastAsia="Arial" w:hAnsi="Arial"/>
                <w:sz w:val="18"/>
                <w:szCs w:val="18"/>
                <w:color w:val="auto"/>
              </w:rPr>
              <w:t>Ending Balance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(17.5)</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20"/>
              <w:spacing w:after="0"/>
              <w:rPr>
                <w:sz w:val="20"/>
                <w:szCs w:val="20"/>
                <w:color w:val="auto"/>
              </w:rPr>
            </w:pPr>
            <w:r>
              <w:rPr>
                <w:rFonts w:ascii="Arial" w:cs="Arial" w:eastAsia="Arial" w:hAnsi="Arial"/>
                <w:sz w:val="18"/>
                <w:szCs w:val="18"/>
                <w:color w:val="auto"/>
                <w:w w:val="97"/>
              </w:rPr>
              <w:t>(11.8)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(18.7)</w:t>
            </w:r>
          </w:p>
        </w:tc>
      </w:tr>
      <w:tr>
        <w:trPr>
          <w:trHeight w:val="20"/>
        </w:trPr>
        <w:tc>
          <w:tcPr>
            <w:tcW w:w="7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b w:val="1"/>
          <w:bCs w:val="1"/>
          <w:i w:val="1"/>
          <w:iCs w:val="1"/>
          <w:color w:val="auto"/>
        </w:rPr>
        <w:t>Debt Issuance Costs</w:t>
      </w:r>
      <w:r>
        <w:rPr>
          <w:rFonts w:ascii="Arial" w:cs="Arial" w:eastAsia="Arial" w:hAnsi="Arial"/>
          <w:sz w:val="18"/>
          <w:szCs w:val="18"/>
          <w:color w:val="auto"/>
        </w:rPr>
        <w:t>—In relation to the issuance of long-term debt discussed in Note 11, there is a balance of $7.3 million and $9.2 million in deferred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financing costs as of December 30, 2010 and December 31, 2009, respectively. These debt issuance costs are being amortized over the terms of the underlying obligation and are included in interest expense. For each of the years ended December 30, 2010, December 31, 2009, and January 1, 2009 we amortized $1.9 million.</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Other Investment</w:t>
      </w:r>
      <w:r>
        <w:rPr>
          <w:rFonts w:ascii="Arial" w:cs="Arial" w:eastAsia="Arial" w:hAnsi="Arial"/>
          <w:sz w:val="16"/>
          <w:szCs w:val="16"/>
          <w:color w:val="auto"/>
        </w:rPr>
        <w:t>— Through March 15, 2010, the Company accounted for its investment in RMG Networks, Inc., (“RMG”) (formerly Danoo, Inc.)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equity method of accounting as required by ASC 323-10 </w:t>
      </w:r>
      <w:r>
        <w:rPr>
          <w:rFonts w:ascii="Arial" w:cs="Arial" w:eastAsia="Arial" w:hAnsi="Arial"/>
          <w:sz w:val="16"/>
          <w:szCs w:val="16"/>
          <w:i w:val="1"/>
          <w:iCs w:val="1"/>
          <w:color w:val="auto"/>
        </w:rPr>
        <w:t>Investments—Equity Method and Joint Ventures</w:t>
      </w:r>
      <w:r>
        <w:rPr>
          <w:rFonts w:ascii="Arial" w:cs="Arial" w:eastAsia="Arial" w:hAnsi="Arial"/>
          <w:sz w:val="16"/>
          <w:szCs w:val="16"/>
          <w:color w:val="auto"/>
        </w:rPr>
        <w:t xml:space="preserve"> (“ASC 323-10”) because we exerted “significant influence” over, but did not control, the policy and decisions of RMG, due to ownership of approximately 24% of the issued and outstanding preferred and common stock of RMG. During the first quarter of 2010, RMG sold additional common stock to other third party investors for cash, which reduced the Company’s ownership in RMG resulting in cost method accounting. At December 30, 2010, the Company’s ownership in RMG was approximately 19% of the issued and outstanding preferred and common stock of RMG. The investment in RMG and the Company’s share of its operating results through December 30, 2010 are not material to the Company’s financial position or results of operations and as a result summarized financial information is not presented. Refer to Notes 14 and 15 for additional discussion.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Share-Based Compensation</w:t>
      </w:r>
      <w:r>
        <w:rPr>
          <w:rFonts w:ascii="Arial" w:cs="Arial" w:eastAsia="Arial" w:hAnsi="Arial"/>
          <w:sz w:val="15"/>
          <w:szCs w:val="15"/>
          <w:color w:val="auto"/>
        </w:rPr>
        <w:t>—Stock-based employee compensation is accounted for at fair value under ASC 718</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Compensation—Stock Compensation</w:t>
      </w:r>
      <w:r>
        <w:rPr>
          <w:rFonts w:ascii="Arial" w:cs="Arial" w:eastAsia="Arial" w:hAnsi="Arial"/>
          <w:sz w:val="15"/>
          <w:szCs w:val="15"/>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12.</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Derivative Instruments</w:t>
      </w:r>
      <w:r>
        <w:rPr>
          <w:rFonts w:ascii="Arial" w:cs="Arial" w:eastAsia="Arial" w:hAnsi="Arial"/>
          <w:sz w:val="18"/>
          <w:szCs w:val="18"/>
          <w:color w:val="auto"/>
        </w:rPr>
        <w:t>—Derivative Instruments are accounted for under ASC 815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Derivatives and Hedging</w:t>
      </w:r>
      <w:r>
        <w:rPr>
          <w:rFonts w:ascii="Arial" w:cs="Arial" w:eastAsia="Arial" w:hAnsi="Arial"/>
          <w:sz w:val="18"/>
          <w:szCs w:val="18"/>
          <w:color w:val="auto"/>
        </w:rPr>
        <w:t>. Refer to Note 16.</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Current Liabilities</w:t>
      </w:r>
      <w:r>
        <w:rPr>
          <w:rFonts w:ascii="Arial" w:cs="Arial" w:eastAsia="Arial" w:hAnsi="Arial"/>
          <w:sz w:val="18"/>
          <w:szCs w:val="18"/>
          <w:color w:val="auto"/>
        </w:rPr>
        <w:t>—For the year ended December 31, 2009, the Company presented the liability for interest rate swap agreements in a single line on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Balance Sheet in other non-current liabilities. However, after further review, the Company determined that the current portion of the liability should be reclassified and presented with total current liabilities. As a result, the Company has restated its Consolidated Balance Sheet to reflect this classification. The correction has no effect on total assets, total liabilities, total equity/deficit, the Consolidated Statements of Operations, or the Consolidated Cash Flows from Operations.</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60"/>
          </w:cols>
          <w:pgMar w:left="240" w:top="459" w:right="29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effects of the restatement on our Consolidated Balance Sheet as of December 31, 2009:</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8"/>
              </w:rPr>
              <w:t>CONSOLIDATED</w:t>
            </w:r>
          </w:p>
        </w:tc>
      </w:tr>
      <w:tr>
        <w:trPr>
          <w:trHeight w:val="149"/>
        </w:trPr>
        <w:tc>
          <w:tcPr>
            <w:tcW w:w="5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BALANCE SHEET</w:t>
            </w:r>
          </w:p>
        </w:tc>
      </w:tr>
      <w:tr>
        <w:trPr>
          <w:trHeight w:val="149"/>
        </w:trPr>
        <w:tc>
          <w:tcPr>
            <w:tcW w:w="5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tcPr>
          <w:p>
            <w:pPr>
              <w:jc w:val="center"/>
              <w:ind w:right="32"/>
              <w:spacing w:after="0" w:line="149" w:lineRule="exact"/>
              <w:rPr>
                <w:sz w:val="20"/>
                <w:szCs w:val="20"/>
                <w:color w:val="auto"/>
              </w:rPr>
            </w:pPr>
            <w:r>
              <w:rPr>
                <w:rFonts w:ascii="Arial" w:cs="Arial" w:eastAsia="Arial" w:hAnsi="Arial"/>
                <w:sz w:val="14"/>
                <w:szCs w:val="14"/>
                <w:b w:val="1"/>
                <w:bCs w:val="1"/>
                <w:color w:val="auto"/>
                <w:w w:val="85"/>
              </w:rPr>
              <w:t>As of</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87"/>
              </w:rPr>
              <w:t>December 31, 2009</w:t>
            </w:r>
          </w:p>
        </w:tc>
      </w:tr>
      <w:tr>
        <w:trPr>
          <w:trHeight w:val="129"/>
        </w:trPr>
        <w:tc>
          <w:tcPr>
            <w:tcW w:w="50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162"/>
              <w:spacing w:after="0" w:line="129" w:lineRule="exact"/>
              <w:rPr>
                <w:sz w:val="20"/>
                <w:szCs w:val="20"/>
                <w:color w:val="auto"/>
              </w:rPr>
            </w:pPr>
            <w:r>
              <w:rPr>
                <w:rFonts w:ascii="Arial" w:cs="Arial" w:eastAsia="Arial" w:hAnsi="Arial"/>
                <w:sz w:val="14"/>
                <w:szCs w:val="14"/>
                <w:b w:val="1"/>
                <w:bCs w:val="1"/>
                <w:color w:val="auto"/>
              </w:rPr>
              <w:t>As</w:t>
            </w:r>
          </w:p>
        </w:tc>
        <w:tc>
          <w:tcPr>
            <w:tcW w:w="6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0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Previously</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As</w:t>
            </w:r>
          </w:p>
        </w:tc>
      </w:tr>
      <w:tr>
        <w:trPr>
          <w:trHeight w:val="161"/>
        </w:trPr>
        <w:tc>
          <w:tcPr>
            <w:tcW w:w="5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Reported</w:t>
            </w:r>
          </w:p>
        </w:tc>
        <w:tc>
          <w:tcPr>
            <w:tcW w:w="600" w:type="dxa"/>
            <w:vAlign w:val="bottom"/>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Restated</w:t>
            </w:r>
          </w:p>
        </w:tc>
        <w:tc>
          <w:tcPr>
            <w:tcW w:w="100" w:type="dxa"/>
            <w:vAlign w:val="bottom"/>
          </w:tcPr>
          <w:p>
            <w:pPr>
              <w:spacing w:after="0"/>
              <w:rPr>
                <w:sz w:val="14"/>
                <w:szCs w:val="14"/>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interest rate swap agreements</w:t>
            </w: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1760" w:type="dxa"/>
            <w:vAlign w:val="bottom"/>
            <w:gridSpan w:val="2"/>
          </w:tcPr>
          <w:p>
            <w:pPr>
              <w:ind w:left="16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92.2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116.6</w:t>
            </w:r>
          </w:p>
        </w:tc>
        <w:tc>
          <w:tcPr>
            <w:tcW w:w="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w:t>
            </w:r>
          </w:p>
        </w:tc>
        <w:tc>
          <w:tcPr>
            <w:tcW w:w="176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r>
      <w:tr>
        <w:trPr>
          <w:trHeight w:val="222"/>
        </w:trPr>
        <w:tc>
          <w:tcPr>
            <w:tcW w:w="5060" w:type="dxa"/>
            <w:vAlign w:val="bottom"/>
          </w:tcPr>
          <w:p>
            <w:pPr>
              <w:ind w:left="440"/>
              <w:spacing w:after="0"/>
              <w:rPr>
                <w:sz w:val="20"/>
                <w:szCs w:val="20"/>
                <w:color w:val="auto"/>
              </w:rPr>
            </w:pPr>
            <w:r>
              <w:rPr>
                <w:rFonts w:ascii="Arial" w:cs="Arial" w:eastAsia="Arial" w:hAnsi="Arial"/>
                <w:sz w:val="18"/>
                <w:szCs w:val="18"/>
                <w:color w:val="auto"/>
              </w:rPr>
              <w:t>Total other liabilities</w:t>
            </w:r>
          </w:p>
        </w:tc>
        <w:tc>
          <w:tcPr>
            <w:tcW w:w="1760" w:type="dxa"/>
            <w:vAlign w:val="bottom"/>
            <w:gridSpan w:val="2"/>
          </w:tcPr>
          <w:p>
            <w:pPr>
              <w:ind w:left="166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3"/>
              </w:rPr>
              <w:t>1,029.1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1,004.7</w:t>
            </w:r>
          </w:p>
        </w:tc>
        <w:tc>
          <w:tcPr>
            <w:tcW w:w="1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Basic earnings per share is computed on the basis of the weighted average number of common shares outstanding. Diluted earnings per share is computed on the basis of the weighted average number of common shares outstanding plus the effect of potentially dilutive common stock options, and restricted stock using the treasury stock method. The components of basic and diluted earnings per NCM, Inc. share are as follows:</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35"/>
              <w:spacing w:after="0"/>
              <w:rPr>
                <w:sz w:val="20"/>
                <w:szCs w:val="20"/>
                <w:color w:val="auto"/>
              </w:rPr>
            </w:pPr>
            <w:r>
              <w:rPr>
                <w:rFonts w:ascii="Arial" w:cs="Arial" w:eastAsia="Arial" w:hAnsi="Arial"/>
                <w:sz w:val="14"/>
                <w:szCs w:val="14"/>
                <w:b w:val="1"/>
                <w:bCs w:val="1"/>
                <w:color w:val="auto"/>
                <w:w w:val="93"/>
              </w:rPr>
              <w:t>Year Ended</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3"/>
              </w:rPr>
              <w:t>Year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4180" w:type="dxa"/>
            <w:vAlign w:val="bottom"/>
          </w:tcPr>
          <w:p>
            <w:pPr>
              <w:spacing w:after="0"/>
              <w:rPr>
                <w:sz w:val="14"/>
                <w:szCs w:val="14"/>
                <w:color w:val="auto"/>
              </w:rPr>
            </w:pPr>
          </w:p>
        </w:tc>
        <w:tc>
          <w:tcPr>
            <w:tcW w:w="11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30, 2010</w:t>
            </w:r>
          </w:p>
        </w:tc>
        <w:tc>
          <w:tcPr>
            <w:tcW w:w="1080" w:type="dxa"/>
            <w:vAlign w:val="bottom"/>
          </w:tcPr>
          <w:p>
            <w:pPr>
              <w:spacing w:after="0"/>
              <w:rPr>
                <w:sz w:val="14"/>
                <w:szCs w:val="14"/>
                <w:color w:val="auto"/>
              </w:rPr>
            </w:pP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December 31, 2009</w:t>
            </w:r>
          </w:p>
        </w:tc>
        <w:tc>
          <w:tcPr>
            <w:tcW w:w="5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5"/>
              </w:rPr>
              <w:t>January 1, 2009</w:t>
            </w:r>
          </w:p>
        </w:tc>
        <w:tc>
          <w:tcPr>
            <w:tcW w:w="0" w:type="dxa"/>
            <w:vAlign w:val="bottom"/>
          </w:tcPr>
          <w:p>
            <w:pPr>
              <w:spacing w:after="0"/>
              <w:rPr>
                <w:sz w:val="1"/>
                <w:szCs w:val="1"/>
                <w:color w:val="auto"/>
              </w:rPr>
            </w:pPr>
          </w:p>
        </w:tc>
      </w:tr>
      <w:tr>
        <w:trPr>
          <w:trHeight w:val="201"/>
        </w:trPr>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 NCM, Inc. (in</w:t>
            </w: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millions)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2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5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46,369,411</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42,118,639</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42,040,879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180" w:type="dxa"/>
            <w:vAlign w:val="bottom"/>
          </w:tcPr>
          <w:p>
            <w:pPr>
              <w:ind w:left="440"/>
              <w:spacing w:after="0"/>
              <w:rPr>
                <w:sz w:val="20"/>
                <w:szCs w:val="20"/>
                <w:color w:val="auto"/>
              </w:rPr>
            </w:pPr>
            <w:r>
              <w:rPr>
                <w:rFonts w:ascii="Arial" w:cs="Arial" w:eastAsia="Arial" w:hAnsi="Arial"/>
                <w:sz w:val="18"/>
                <w:szCs w:val="18"/>
                <w:color w:val="auto"/>
              </w:rPr>
              <w:t>Add: Dilutive effect of stock options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180" w:type="dxa"/>
            <w:vAlign w:val="bottom"/>
          </w:tcPr>
          <w:p>
            <w:pPr>
              <w:ind w:left="660"/>
              <w:spacing w:after="0"/>
              <w:rPr>
                <w:sz w:val="20"/>
                <w:szCs w:val="20"/>
                <w:color w:val="auto"/>
              </w:rPr>
            </w:pPr>
            <w:r>
              <w:rPr>
                <w:rFonts w:ascii="Arial" w:cs="Arial" w:eastAsia="Arial" w:hAnsi="Arial"/>
                <w:sz w:val="18"/>
                <w:szCs w:val="18"/>
                <w:color w:val="auto"/>
              </w:rPr>
              <w:t>and restricted stock</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590,581</w:t>
            </w:r>
          </w:p>
        </w:tc>
        <w:tc>
          <w:tcPr>
            <w:tcW w:w="1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284,496</w:t>
            </w: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46,959,992</w:t>
            </w:r>
          </w:p>
        </w:tc>
        <w:tc>
          <w:tcPr>
            <w:tcW w:w="10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42,403,135</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42,041,305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8"/>
                <w:szCs w:val="18"/>
                <w:color w:val="auto"/>
              </w:rPr>
              <w:t>Earnings per NCM, Inc. share:</w:t>
            </w: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1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2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80" w:type="dxa"/>
            <w:vAlign w:val="bottom"/>
          </w:tcPr>
          <w:p>
            <w:pPr>
              <w:ind w:left="44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0.62</w:t>
            </w:r>
          </w:p>
        </w:tc>
        <w:tc>
          <w:tcPr>
            <w:tcW w:w="12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0.62</w:t>
            </w:r>
          </w:p>
        </w:tc>
        <w:tc>
          <w:tcPr>
            <w:tcW w:w="540" w:type="dxa"/>
            <w:vAlign w:val="bottom"/>
          </w:tcPr>
          <w:p>
            <w:pPr>
              <w:spacing w:after="0"/>
              <w:rPr>
                <w:sz w:val="19"/>
                <w:szCs w:val="19"/>
                <w:color w:val="auto"/>
              </w:rPr>
            </w:pP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effect of the 60,720,784, 59,003,528 and 55,608,459, exchangeable NCM LLC common units held by the founding members for the years ended December 30, 2010, December 31, 2009, and January 1, 2009, respectively, have been excluded from the calculation of diluted weighted average shares and earnings per NCM, Inc. share as they were antidilutive. In addition, there were 105,750, 681,754, and 915,499 stock options and 73,677, 18,793 and 52,208 non-vested (restricted) shares for the years ended December 30, 2010, December 31, 2009, and January 1, 2009, respectively, excluded from the calculation as they were antidilutive, primarily as exercise prices on stock options and intrinsic value of restricted stock shares were above the average market value.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RECENT ACCOUNTING PRONOUNCEMENTS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In June 2009, the FASB finalized SFAS No. 167, </w:t>
      </w:r>
      <w:r>
        <w:rPr>
          <w:rFonts w:ascii="Arial" w:cs="Arial" w:eastAsia="Arial" w:hAnsi="Arial"/>
          <w:sz w:val="16"/>
          <w:szCs w:val="16"/>
          <w:i w:val="1"/>
          <w:iCs w:val="1"/>
          <w:color w:val="auto"/>
        </w:rPr>
        <w:t>Amending FASB interpretation No. 46(R),</w:t>
      </w:r>
      <w:r>
        <w:rPr>
          <w:rFonts w:ascii="Arial" w:cs="Arial" w:eastAsia="Arial" w:hAnsi="Arial"/>
          <w:sz w:val="16"/>
          <w:szCs w:val="16"/>
          <w:color w:val="auto"/>
        </w:rPr>
        <w:t xml:space="preserve"> and subsequently ASU 2009-17, </w:t>
      </w:r>
      <w:r>
        <w:rPr>
          <w:rFonts w:ascii="Arial" w:cs="Arial" w:eastAsia="Arial" w:hAnsi="Arial"/>
          <w:sz w:val="16"/>
          <w:szCs w:val="16"/>
          <w:i w:val="1"/>
          <w:iCs w:val="1"/>
          <w:color w:val="auto"/>
        </w:rPr>
        <w:t>Consolidations (Topic 810):</w:t>
      </w:r>
      <w:r>
        <w:rPr>
          <w:rFonts w:ascii="Arial" w:cs="Arial" w:eastAsia="Arial" w:hAnsi="Arial"/>
          <w:sz w:val="16"/>
          <w:szCs w:val="16"/>
          <w:color w:val="auto"/>
        </w:rPr>
        <w:t xml:space="preserve"> </w:t>
      </w:r>
      <w:r>
        <w:rPr>
          <w:rFonts w:ascii="Arial" w:cs="Arial" w:eastAsia="Arial" w:hAnsi="Arial"/>
          <w:sz w:val="16"/>
          <w:szCs w:val="16"/>
          <w:i w:val="1"/>
          <w:iCs w:val="1"/>
          <w:color w:val="auto"/>
        </w:rPr>
        <w:t>Improvements to Financial Reporting Involved with Variable Interest Entities</w:t>
      </w:r>
      <w:r>
        <w:rPr>
          <w:rFonts w:ascii="Arial" w:cs="Arial" w:eastAsia="Arial" w:hAnsi="Arial"/>
          <w:sz w:val="16"/>
          <w:szCs w:val="16"/>
          <w:color w:val="auto"/>
        </w:rPr>
        <w:t>. The provisions of ASC 810 amend the definition of the primary beneficiary of a</w:t>
      </w:r>
      <w:r>
        <w:rPr>
          <w:rFonts w:ascii="Arial" w:cs="Arial" w:eastAsia="Arial" w:hAnsi="Arial"/>
          <w:sz w:val="16"/>
          <w:szCs w:val="16"/>
          <w:i w:val="1"/>
          <w:iCs w:val="1"/>
          <w:color w:val="auto"/>
        </w:rPr>
        <w:t xml:space="preserve"> </w:t>
      </w:r>
      <w:r>
        <w:rPr>
          <w:rFonts w:ascii="Arial" w:cs="Arial" w:eastAsia="Arial" w:hAnsi="Arial"/>
          <w:sz w:val="16"/>
          <w:szCs w:val="16"/>
          <w:color w:val="auto"/>
        </w:rPr>
        <w:t>variable interest entity and will require the Company to make an assessment each reporting period of its variable interests. The Company adopted this pronouncement effective January 1, 2010 with no impact on its consolidated financial statements.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20"/>
          </w:cols>
          <w:pgMar w:left="240" w:top="459" w:right="3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 xml:space="preserve">In October 2009, the FASB issued ASU 2009-13, </w:t>
      </w:r>
      <w:r>
        <w:rPr>
          <w:rFonts w:ascii="Arial" w:cs="Arial" w:eastAsia="Arial" w:hAnsi="Arial"/>
          <w:sz w:val="15"/>
          <w:szCs w:val="15"/>
          <w:i w:val="1"/>
          <w:iCs w:val="1"/>
          <w:color w:val="auto"/>
        </w:rPr>
        <w:t>Multiple-Deliverable Revenue Arrangements,</w:t>
      </w:r>
      <w:r>
        <w:rPr>
          <w:rFonts w:ascii="Arial" w:cs="Arial" w:eastAsia="Arial" w:hAnsi="Arial"/>
          <w:sz w:val="15"/>
          <w:szCs w:val="15"/>
          <w:color w:val="auto"/>
        </w:rPr>
        <w:t xml:space="preserve"> which revises the existing multiple-element revenue arrangements guidance and changes the determination of when the individual deliverables included in a multiple-element revenue arrangement may be treated as separate units of accounting, modifies the manner in which the transaction consideration is allocated across the separately identified deliverables and expands the disclosures required for multiple-element revenue arrangements. The pronouncement is effective for revenue arrangements entered into or materially modified in fiscal years beginning after June 15, 2010. The Company does not expect the pronouncement to have a material effect on its consolidated financial statements.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xml:space="preserve">In January 2010, the FASB issued ASU 2010-06, </w:t>
      </w:r>
      <w:r>
        <w:rPr>
          <w:rFonts w:ascii="Arial" w:cs="Arial" w:eastAsia="Arial" w:hAnsi="Arial"/>
          <w:sz w:val="16"/>
          <w:szCs w:val="16"/>
          <w:i w:val="1"/>
          <w:iCs w:val="1"/>
          <w:color w:val="auto"/>
        </w:rPr>
        <w:t>Improving Disclosures about Fair Value Measurements</w:t>
      </w:r>
      <w:r>
        <w:rPr>
          <w:rFonts w:ascii="Arial" w:cs="Arial" w:eastAsia="Arial" w:hAnsi="Arial"/>
          <w:sz w:val="16"/>
          <w:szCs w:val="16"/>
          <w:color w:val="auto"/>
        </w:rPr>
        <w:t>, which requires additional disclosures about</w:t>
      </w:r>
    </w:p>
    <w:p>
      <w:pPr>
        <w:spacing w:after="0" w:line="38" w:lineRule="exact"/>
        <w:rPr>
          <w:sz w:val="20"/>
          <w:szCs w:val="20"/>
          <w:color w:val="auto"/>
        </w:rPr>
      </w:pPr>
    </w:p>
    <w:p>
      <w:pPr>
        <w:ind w:right="560" w:firstLine="8"/>
        <w:spacing w:after="0" w:line="255" w:lineRule="auto"/>
        <w:tabs>
          <w:tab w:leader="none" w:pos="249"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different classes of assets and liabilities measured at fair value, (2) the valuation techniques and inputs used, (3) the activity in Level 3 fair value measurements, and (4) the transfers between Levels 1, 2 and 3</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adopted this pronouncement effective January 1, 2010 with no impact on its consolidated financial statements.</w:t>
      </w:r>
    </w:p>
    <w:p>
      <w:pPr>
        <w:spacing w:after="0" w:line="14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7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As of</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December 30,</w:t>
            </w:r>
          </w:p>
        </w:tc>
        <w:tc>
          <w:tcPr>
            <w:tcW w:w="1880" w:type="dxa"/>
            <w:vAlign w:val="bottom"/>
            <w:gridSpan w:val="4"/>
          </w:tcPr>
          <w:p>
            <w:pPr>
              <w:ind w:left="98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5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Equipment, computer hardware and software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(46.4)</w:t>
            </w: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21"/>
        </w:trPr>
        <w:tc>
          <w:tcPr>
            <w:tcW w:w="5880" w:type="dxa"/>
            <w:vAlign w:val="bottom"/>
          </w:tcPr>
          <w:p>
            <w:pPr>
              <w:spacing w:after="0"/>
              <w:rPr>
                <w:sz w:val="20"/>
                <w:szCs w:val="20"/>
                <w:color w:val="auto"/>
              </w:rPr>
            </w:pPr>
            <w:r>
              <w:rPr>
                <w:rFonts w:ascii="Arial" w:cs="Arial" w:eastAsia="Arial" w:hAnsi="Arial"/>
                <w:sz w:val="18"/>
                <w:szCs w:val="18"/>
                <w:color w:val="auto"/>
              </w:rPr>
              <w:t>Subtotal</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80" w:type="dxa"/>
            <w:vAlign w:val="bottom"/>
          </w:tcPr>
          <w:p>
            <w:pPr>
              <w:ind w:left="440"/>
              <w:spacing w:after="0"/>
              <w:rPr>
                <w:sz w:val="20"/>
                <w:szCs w:val="20"/>
                <w:color w:val="auto"/>
              </w:rPr>
            </w:pPr>
            <w:r>
              <w:rPr>
                <w:rFonts w:ascii="Arial" w:cs="Arial" w:eastAsia="Arial" w:hAnsi="Arial"/>
                <w:sz w:val="18"/>
                <w:szCs w:val="18"/>
                <w:color w:val="auto"/>
              </w:rPr>
              <w:t>Total property and equipment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19"/>
                <w:szCs w:val="19"/>
                <w:color w:val="auto"/>
              </w:rPr>
            </w:pPr>
          </w:p>
        </w:tc>
        <w:tc>
          <w:tcPr>
            <w:tcW w:w="11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For the years ended December 30, 2010, December 31, 2009, and January 1, 2009, the Company recorded depreciation of $11.4 million, $12.5 million, and $10.2 million,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During the second quarter of 2010, NCM LLC issued 6,510,209 common membership units to a subsidiary of AMCE as a result of that subsidiary’s acquisition of Kerasotes Showplace Theatres, LLC (the “AMC Kerasotes Acquisition”). Such issuance provided NCM LLC with exclusive access, in accordance with the ESA, to the net new theatre screens and attendees added by AMCE to NCM LLC’s network since the date of the last annual common unit adjustment through the date of the AMC Kerasotes Acquisition. As a result, NCM LLC recorded an intangible asset at the market value of the common membership units equal to $111.5 million. During the first quarter of 2010, NCM LLC issued 2,212,219 common membership units to its founding members in exchange for the rights to exclusive access, in accordance with the ESA, to net new theatre screens and projected attendees added by the founding members to NCM LLC’s network during 2009. As a result, NCM LLC recorded an intangible asset at the market value of the common membership units equal to $39.8 million. During the first quarter of 2009, NCM LLC issued 2,126,104 common membership units to its founding members in exchange for the rights to exclusive access to net new theatre screens and projected attendees added by the founding members to NCM LLC’s network. The Company recorded an intangible asset at the market value of the common membership units equal to $28.5 million. The Company based the fair value of the intangible assets on the market value of the common membership units issued on the date of grants, which are freely convertible into the Company’s common stock.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459" w:right="2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 xml:space="preserve">Pursuant to ASC 350-10 </w:t>
      </w:r>
      <w:r>
        <w:rPr>
          <w:rFonts w:ascii="Arial" w:cs="Arial" w:eastAsia="Arial" w:hAnsi="Arial"/>
          <w:sz w:val="15"/>
          <w:szCs w:val="15"/>
          <w:i w:val="1"/>
          <w:iCs w:val="1"/>
          <w:color w:val="auto"/>
        </w:rPr>
        <w:t>Intangibles—Goodwill and Other</w:t>
      </w:r>
      <w:r>
        <w:rPr>
          <w:rFonts w:ascii="Arial" w:cs="Arial" w:eastAsia="Arial" w:hAnsi="Arial"/>
          <w:sz w:val="15"/>
          <w:szCs w:val="15"/>
          <w:color w:val="auto"/>
        </w:rPr>
        <w:t>, the intangible assets have a finite useful life and the Company amortizes the assets over the remaining useful life corresponding with the ESAs. Amortization of the asset related to Regal Consolidated Theatres will not begin until after 2011 since the Company will not have access to on-screen advertising in the Regal Consolidated Theatres until the run-out of their existing on–screen advertising agreement.</w:t>
      </w:r>
    </w:p>
    <w:p>
      <w:pPr>
        <w:spacing w:after="0" w:line="11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 of</w:t>
            </w: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2080" w:type="dxa"/>
            <w:vAlign w:val="bottom"/>
            <w:gridSpan w:val="4"/>
          </w:tcPr>
          <w:p>
            <w:pPr>
              <w:ind w:left="1180"/>
              <w:spacing w:after="0" w:line="149" w:lineRule="exact"/>
              <w:rPr>
                <w:sz w:val="20"/>
                <w:szCs w:val="20"/>
                <w:color w:val="auto"/>
              </w:rPr>
            </w:pPr>
            <w:r>
              <w:rPr>
                <w:rFonts w:ascii="Arial" w:cs="Arial" w:eastAsia="Arial" w:hAnsi="Arial"/>
                <w:sz w:val="14"/>
                <w:szCs w:val="14"/>
                <w:b w:val="1"/>
                <w:bCs w:val="1"/>
                <w:color w:val="auto"/>
                <w:w w:val="96"/>
              </w:rPr>
              <w:t>December 30,</w:t>
            </w:r>
          </w:p>
        </w:tc>
        <w:tc>
          <w:tcPr>
            <w:tcW w:w="1820" w:type="dxa"/>
            <w:vAlign w:val="bottom"/>
            <w:gridSpan w:val="4"/>
          </w:tcPr>
          <w:p>
            <w:pPr>
              <w:ind w:left="92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4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9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3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Purchase of intangible asset subject to amortization</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Less integration payments (1)</w:t>
            </w: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Less amortization expense</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intangible assets</w:t>
            </w:r>
          </w:p>
        </w:tc>
        <w:tc>
          <w:tcPr>
            <w:tcW w:w="13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r>
              <w:rPr>
                <w:rFonts w:ascii="Arial" w:cs="Arial" w:eastAsia="Arial" w:hAnsi="Arial"/>
                <w:sz w:val="18"/>
                <w:szCs w:val="18"/>
                <w:u w:val="single" w:color="auto"/>
                <w:color w:val="auto"/>
              </w:rPr>
              <w:t>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r>
              <w:rPr>
                <w:rFonts w:ascii="Arial" w:cs="Arial" w:eastAsia="Arial" w:hAnsi="Arial"/>
                <w:sz w:val="18"/>
                <w:szCs w:val="18"/>
                <w:u w:val="single" w:color="auto"/>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See Note 10 for further information on integration payments.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the years ended December 30, 2010, December 31, 2009 and January 1, 2009 the Company recorded amortization of $6.4 million, $2.9 million and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00" w:type="dxa"/>
            <w:vAlign w:val="bottom"/>
            <w:gridSpan w:val="3"/>
          </w:tcPr>
          <w:p>
            <w:pPr>
              <w:spacing w:after="0"/>
              <w:rPr>
                <w:sz w:val="20"/>
                <w:szCs w:val="20"/>
                <w:color w:val="auto"/>
              </w:rPr>
            </w:pPr>
            <w:r>
              <w:rPr>
                <w:rFonts w:ascii="Arial" w:cs="Arial" w:eastAsia="Arial" w:hAnsi="Arial"/>
                <w:sz w:val="18"/>
                <w:szCs w:val="18"/>
                <w:color w:val="auto"/>
              </w:rPr>
              <w:t>$1.5 million, respectively.</w:t>
            </w:r>
          </w:p>
        </w:tc>
        <w:tc>
          <w:tcPr>
            <w:tcW w:w="2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8240" w:type="dxa"/>
            <w:vAlign w:val="bottom"/>
            <w:gridSpan w:val="7"/>
          </w:tcPr>
          <w:p>
            <w:pPr>
              <w:ind w:left="460"/>
              <w:spacing w:after="0"/>
              <w:rPr>
                <w:sz w:val="20"/>
                <w:szCs w:val="20"/>
                <w:color w:val="auto"/>
              </w:rPr>
            </w:pPr>
            <w:r>
              <w:rPr>
                <w:rFonts w:ascii="Arial" w:cs="Arial" w:eastAsia="Arial" w:hAnsi="Arial"/>
                <w:sz w:val="18"/>
                <w:szCs w:val="18"/>
                <w:color w:val="auto"/>
                <w:w w:val="88"/>
              </w:rPr>
              <w:t>The estimated aggregate amortization expense for each of the five succeeding years is as follows (in millions):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1380" w:type="dxa"/>
            <w:vAlign w:val="bottom"/>
            <w:vMerge w:val="restart"/>
          </w:tcPr>
          <w:p>
            <w:pPr>
              <w:spacing w:after="0"/>
              <w:rPr>
                <w:sz w:val="17"/>
                <w:szCs w:val="17"/>
                <w:color w:val="auto"/>
              </w:rPr>
            </w:pPr>
          </w:p>
        </w:tc>
        <w:tc>
          <w:tcPr>
            <w:tcW w:w="460" w:type="dxa"/>
            <w:vAlign w:val="bottom"/>
            <w:vMerge w:val="restart"/>
          </w:tcPr>
          <w:p>
            <w:pPr>
              <w:spacing w:after="0"/>
              <w:rPr>
                <w:sz w:val="17"/>
                <w:szCs w:val="17"/>
                <w:color w:val="auto"/>
              </w:rPr>
            </w:pPr>
          </w:p>
        </w:tc>
        <w:tc>
          <w:tcPr>
            <w:tcW w:w="266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2660" w:type="dxa"/>
            <w:vAlign w:val="bottom"/>
            <w:shd w:val="clear" w:color="auto" w:fill="CCEEFF"/>
          </w:tcPr>
          <w:p>
            <w:pPr>
              <w:jc w:val="right"/>
              <w:ind w:right="2232"/>
              <w:spacing w:after="0"/>
              <w:rPr>
                <w:sz w:val="20"/>
                <w:szCs w:val="20"/>
                <w:color w:val="auto"/>
              </w:rPr>
            </w:pPr>
            <w:r>
              <w:rPr>
                <w:rFonts w:ascii="Arial" w:cs="Arial" w:eastAsia="Arial" w:hAnsi="Arial"/>
                <w:sz w:val="18"/>
                <w:szCs w:val="18"/>
                <w:color w:val="auto"/>
                <w:w w:val="79"/>
              </w:rPr>
              <w:t>2011</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87"/>
              </w:rPr>
              <w:t>9.9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60" w:type="dxa"/>
            <w:vAlign w:val="bottom"/>
          </w:tcPr>
          <w:p>
            <w:pPr>
              <w:jc w:val="right"/>
              <w:ind w:right="2232"/>
              <w:spacing w:after="0"/>
              <w:rPr>
                <w:sz w:val="20"/>
                <w:szCs w:val="20"/>
                <w:color w:val="auto"/>
              </w:rPr>
            </w:pPr>
            <w:r>
              <w:rPr>
                <w:rFonts w:ascii="Arial" w:cs="Arial" w:eastAsia="Arial" w:hAnsi="Arial"/>
                <w:sz w:val="18"/>
                <w:szCs w:val="18"/>
                <w:color w:val="auto"/>
                <w:w w:val="79"/>
              </w:rPr>
              <w:t>2012</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18"/>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60" w:type="dxa"/>
            <w:vAlign w:val="bottom"/>
            <w:shd w:val="clear" w:color="auto" w:fill="CCEEFF"/>
          </w:tcPr>
          <w:p>
            <w:pPr>
              <w:jc w:val="right"/>
              <w:ind w:right="2232"/>
              <w:spacing w:after="0"/>
              <w:rPr>
                <w:sz w:val="20"/>
                <w:szCs w:val="20"/>
                <w:color w:val="auto"/>
              </w:rPr>
            </w:pPr>
            <w:r>
              <w:rPr>
                <w:rFonts w:ascii="Arial" w:cs="Arial" w:eastAsia="Arial" w:hAnsi="Arial"/>
                <w:sz w:val="18"/>
                <w:szCs w:val="18"/>
                <w:color w:val="auto"/>
                <w:w w:val="79"/>
              </w:rPr>
              <w:t>2013</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60" w:type="dxa"/>
            <w:vAlign w:val="bottom"/>
          </w:tcPr>
          <w:p>
            <w:pPr>
              <w:jc w:val="right"/>
              <w:ind w:right="2232"/>
              <w:spacing w:after="0"/>
              <w:rPr>
                <w:sz w:val="20"/>
                <w:szCs w:val="20"/>
                <w:color w:val="auto"/>
              </w:rPr>
            </w:pPr>
            <w:r>
              <w:rPr>
                <w:rFonts w:ascii="Arial" w:cs="Arial" w:eastAsia="Arial" w:hAnsi="Arial"/>
                <w:sz w:val="18"/>
                <w:szCs w:val="18"/>
                <w:color w:val="auto"/>
                <w:w w:val="79"/>
              </w:rPr>
              <w:t>2014</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18"/>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60" w:type="dxa"/>
            <w:vAlign w:val="bottom"/>
            <w:shd w:val="clear" w:color="auto" w:fill="CCEEFF"/>
          </w:tcPr>
          <w:p>
            <w:pPr>
              <w:jc w:val="right"/>
              <w:ind w:right="2232"/>
              <w:spacing w:after="0"/>
              <w:rPr>
                <w:sz w:val="20"/>
                <w:szCs w:val="20"/>
                <w:color w:val="auto"/>
              </w:rPr>
            </w:pPr>
            <w:r>
              <w:rPr>
                <w:rFonts w:ascii="Arial" w:cs="Arial" w:eastAsia="Arial" w:hAnsi="Arial"/>
                <w:sz w:val="18"/>
                <w:szCs w:val="18"/>
                <w:color w:val="auto"/>
                <w:w w:val="79"/>
              </w:rPr>
              <w:t>2015</w:t>
            </w:r>
          </w:p>
        </w:tc>
        <w:tc>
          <w:tcPr>
            <w:tcW w:w="2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10.5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7. ACCRUED EXPENSES</w:t>
            </w: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ind w:left="1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740" w:type="dxa"/>
            <w:vAlign w:val="bottom"/>
            <w:gridSpan w:val="4"/>
          </w:tcPr>
          <w:p>
            <w:pPr>
              <w:jc w:val="right"/>
              <w:ind w:right="200"/>
              <w:spacing w:after="0" w:line="149" w:lineRule="exact"/>
              <w:rPr>
                <w:sz w:val="20"/>
                <w:szCs w:val="20"/>
                <w:color w:val="auto"/>
              </w:rPr>
            </w:pPr>
            <w:r>
              <w:rPr>
                <w:rFonts w:ascii="Arial" w:cs="Arial" w:eastAsia="Arial" w:hAnsi="Arial"/>
                <w:sz w:val="14"/>
                <w:szCs w:val="14"/>
                <w:b w:val="1"/>
                <w:bCs w:val="1"/>
                <w:color w:val="auto"/>
              </w:rPr>
              <w:t>December 30,</w:t>
            </w:r>
          </w:p>
        </w:tc>
        <w:tc>
          <w:tcPr>
            <w:tcW w:w="1820" w:type="dxa"/>
            <w:vAlign w:val="bottom"/>
            <w:gridSpan w:val="5"/>
          </w:tcPr>
          <w:p>
            <w:pPr>
              <w:ind w:left="92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Make-good reserve</w:t>
            </w:r>
          </w:p>
        </w:tc>
        <w:tc>
          <w:tcPr>
            <w:tcW w:w="2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Accrued interest</w:t>
            </w:r>
          </w:p>
        </w:tc>
        <w:tc>
          <w:tcPr>
            <w:tcW w:w="2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2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380" w:type="dxa"/>
            <w:vAlign w:val="bottom"/>
          </w:tcPr>
          <w:p>
            <w:pPr>
              <w:spacing w:after="0"/>
              <w:rPr>
                <w:sz w:val="19"/>
                <w:szCs w:val="19"/>
                <w:color w:val="auto"/>
              </w:rPr>
            </w:pPr>
          </w:p>
        </w:tc>
        <w:tc>
          <w:tcPr>
            <w:tcW w:w="3120" w:type="dxa"/>
            <w:vAlign w:val="bottom"/>
            <w:gridSpan w:val="2"/>
          </w:tcPr>
          <w:p>
            <w:pPr>
              <w:jc w:val="right"/>
              <w:ind w:right="972"/>
              <w:spacing w:after="0"/>
              <w:rPr>
                <w:sz w:val="20"/>
                <w:szCs w:val="20"/>
                <w:color w:val="auto"/>
              </w:rPr>
            </w:pPr>
            <w:r>
              <w:rPr>
                <w:rFonts w:ascii="Arial" w:cs="Arial" w:eastAsia="Arial" w:hAnsi="Arial"/>
                <w:sz w:val="18"/>
                <w:szCs w:val="18"/>
                <w:color w:val="auto"/>
              </w:rPr>
              <w:t>Total accrued expenses</w:t>
            </w:r>
          </w:p>
        </w:tc>
        <w:tc>
          <w:tcPr>
            <w:tcW w:w="2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8.9</w:t>
            </w:r>
          </w:p>
        </w:tc>
        <w:tc>
          <w:tcPr>
            <w:tcW w:w="180" w:type="dxa"/>
            <w:vAlign w:val="bottom"/>
          </w:tcPr>
          <w:p>
            <w:pPr>
              <w:spacing w:after="0"/>
              <w:rPr>
                <w:sz w:val="19"/>
                <w:szCs w:val="19"/>
                <w:color w:val="auto"/>
              </w:rPr>
            </w:pPr>
          </w:p>
        </w:tc>
        <w:tc>
          <w:tcPr>
            <w:tcW w:w="1020" w:type="dxa"/>
            <w:vAlign w:val="bottom"/>
            <w:gridSpan w:val="2"/>
          </w:tcPr>
          <w:p>
            <w:pPr>
              <w:ind w:left="9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920" w:type="dxa"/>
            <w:vAlign w:val="bottom"/>
            <w:gridSpan w:val="2"/>
          </w:tcPr>
          <w:p>
            <w:pPr>
              <w:jc w:val="right"/>
              <w:ind w:right="1540"/>
              <w:spacing w:after="0"/>
              <w:rPr>
                <w:sz w:val="20"/>
                <w:szCs w:val="20"/>
                <w:color w:val="auto"/>
              </w:rPr>
            </w:pPr>
            <w:r>
              <w:rPr>
                <w:rFonts w:ascii="Arial" w:cs="Arial" w:eastAsia="Arial" w:hAnsi="Arial"/>
                <w:sz w:val="18"/>
                <w:szCs w:val="18"/>
                <w:color w:val="auto"/>
              </w:rPr>
              <w:t>F-16</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59" w:right="5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provided total income taxes, as follows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1060"/>
              <w:spacing w:after="0"/>
              <w:rPr>
                <w:sz w:val="20"/>
                <w:szCs w:val="20"/>
                <w:color w:val="auto"/>
              </w:rPr>
            </w:pPr>
            <w:r>
              <w:rPr>
                <w:rFonts w:ascii="Arial" w:cs="Arial" w:eastAsia="Arial" w:hAnsi="Arial"/>
                <w:sz w:val="14"/>
                <w:szCs w:val="14"/>
                <w:b w:val="1"/>
                <w:bCs w:val="1"/>
                <w:color w:val="auto"/>
              </w:rPr>
              <w:t>Years Ended</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30,</w:t>
            </w:r>
          </w:p>
        </w:tc>
        <w:tc>
          <w:tcPr>
            <w:tcW w:w="460" w:type="dxa"/>
            <w:vAlign w:val="bottom"/>
          </w:tcPr>
          <w:p>
            <w:pPr>
              <w:spacing w:after="0"/>
              <w:rPr>
                <w:sz w:val="11"/>
                <w:szCs w:val="11"/>
                <w:color w:val="auto"/>
              </w:rPr>
            </w:pPr>
          </w:p>
        </w:tc>
        <w:tc>
          <w:tcPr>
            <w:tcW w:w="17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100" w:type="dxa"/>
            <w:vAlign w:val="bottom"/>
          </w:tcPr>
          <w:p>
            <w:pPr>
              <w:spacing w:after="0"/>
              <w:rPr>
                <w:sz w:val="11"/>
                <w:szCs w:val="11"/>
                <w:color w:val="auto"/>
              </w:rPr>
            </w:pPr>
          </w:p>
        </w:tc>
      </w:tr>
      <w:tr>
        <w:trPr>
          <w:trHeight w:val="161"/>
        </w:trPr>
        <w:tc>
          <w:tcPr>
            <w:tcW w:w="4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440"/>
              <w:spacing w:after="0"/>
              <w:rPr>
                <w:sz w:val="20"/>
                <w:szCs w:val="20"/>
                <w:color w:val="auto"/>
              </w:rPr>
            </w:pPr>
            <w:r>
              <w:rPr>
                <w:rFonts w:ascii="Arial" w:cs="Arial" w:eastAsia="Arial" w:hAnsi="Arial"/>
                <w:sz w:val="18"/>
                <w:szCs w:val="18"/>
                <w:color w:val="auto"/>
              </w:rPr>
              <w:t>Federal</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w:t>
            </w:r>
          </w:p>
        </w:tc>
        <w:tc>
          <w:tcPr>
            <w:tcW w:w="460" w:type="dxa"/>
            <w:vAlign w:val="bottom"/>
          </w:tcPr>
          <w:p>
            <w:pPr>
              <w:spacing w:after="0"/>
              <w:rPr>
                <w:sz w:val="18"/>
                <w:szCs w:val="18"/>
                <w:color w:val="auto"/>
              </w:rPr>
            </w:pP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9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r>
      <w:tr>
        <w:trPr>
          <w:trHeight w:val="222"/>
        </w:trPr>
        <w:tc>
          <w:tcPr>
            <w:tcW w:w="4740" w:type="dxa"/>
            <w:vAlign w:val="bottom"/>
          </w:tcPr>
          <w:p>
            <w:pPr>
              <w:ind w:left="880"/>
              <w:spacing w:after="0"/>
              <w:rPr>
                <w:sz w:val="20"/>
                <w:szCs w:val="20"/>
                <w:color w:val="auto"/>
              </w:rPr>
            </w:pPr>
            <w:r>
              <w:rPr>
                <w:rFonts w:ascii="Arial" w:cs="Arial" w:eastAsia="Arial" w:hAnsi="Arial"/>
                <w:sz w:val="18"/>
                <w:szCs w:val="18"/>
                <w:color w:val="auto"/>
              </w:rPr>
              <w:t>Total current income taxes</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6.7</w:t>
            </w:r>
          </w:p>
        </w:tc>
        <w:tc>
          <w:tcPr>
            <w:tcW w:w="460" w:type="dxa"/>
            <w:vAlign w:val="bottom"/>
          </w:tcPr>
          <w:p>
            <w:pPr>
              <w:spacing w:after="0"/>
              <w:rPr>
                <w:sz w:val="19"/>
                <w:szCs w:val="19"/>
                <w:color w:val="auto"/>
              </w:rPr>
            </w:pP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9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217"/>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440"/>
              <w:spacing w:after="0"/>
              <w:rPr>
                <w:sz w:val="20"/>
                <w:szCs w:val="20"/>
                <w:color w:val="auto"/>
              </w:rPr>
            </w:pPr>
            <w:r>
              <w:rPr>
                <w:rFonts w:ascii="Arial" w:cs="Arial" w:eastAsia="Arial" w:hAnsi="Arial"/>
                <w:sz w:val="18"/>
                <w:szCs w:val="18"/>
                <w:color w:val="auto"/>
              </w:rPr>
              <w:t>Federal</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9.1</w:t>
            </w:r>
          </w:p>
        </w:tc>
        <w:tc>
          <w:tcPr>
            <w:tcW w:w="460" w:type="dxa"/>
            <w:vAlign w:val="bottom"/>
          </w:tcPr>
          <w:p>
            <w:pPr>
              <w:spacing w:after="0"/>
              <w:rPr>
                <w:sz w:val="18"/>
                <w:szCs w:val="18"/>
                <w:color w:val="auto"/>
              </w:rPr>
            </w:pP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11.6</w:t>
            </w:r>
          </w:p>
        </w:tc>
        <w:tc>
          <w:tcPr>
            <w:tcW w:w="9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r>
      <w:tr>
        <w:trPr>
          <w:trHeight w:val="216"/>
        </w:trPr>
        <w:tc>
          <w:tcPr>
            <w:tcW w:w="4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r>
      <w:tr>
        <w:trPr>
          <w:trHeight w:val="230"/>
        </w:trPr>
        <w:tc>
          <w:tcPr>
            <w:tcW w:w="4740" w:type="dxa"/>
            <w:vAlign w:val="bottom"/>
          </w:tcPr>
          <w:p>
            <w:pPr>
              <w:ind w:left="880"/>
              <w:spacing w:after="0"/>
              <w:rPr>
                <w:sz w:val="20"/>
                <w:szCs w:val="20"/>
                <w:color w:val="auto"/>
              </w:rPr>
            </w:pPr>
            <w:r>
              <w:rPr>
                <w:rFonts w:ascii="Arial" w:cs="Arial" w:eastAsia="Arial" w:hAnsi="Arial"/>
                <w:sz w:val="18"/>
                <w:szCs w:val="18"/>
                <w:color w:val="auto"/>
              </w:rPr>
              <w:t>Total deferred income taxes</w:t>
            </w:r>
          </w:p>
        </w:tc>
        <w:tc>
          <w:tcPr>
            <w:tcW w:w="6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0"/>
                <w:szCs w:val="20"/>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5"/>
        </w:trPr>
        <w:tc>
          <w:tcPr>
            <w:tcW w:w="4740" w:type="dxa"/>
            <w:vAlign w:val="bottom"/>
          </w:tcPr>
          <w:p>
            <w:pPr>
              <w:spacing w:after="0"/>
              <w:rPr>
                <w:sz w:val="20"/>
                <w:szCs w:val="20"/>
                <w:color w:val="auto"/>
              </w:rPr>
            </w:pPr>
            <w:r>
              <w:rPr>
                <w:rFonts w:ascii="Arial" w:cs="Arial" w:eastAsia="Arial" w:hAnsi="Arial"/>
                <w:sz w:val="18"/>
                <w:szCs w:val="18"/>
                <w:color w:val="auto"/>
              </w:rPr>
              <w:t>Total income tax provision on Consolidated Statements of</w:t>
            </w:r>
          </w:p>
        </w:tc>
        <w:tc>
          <w:tcPr>
            <w:tcW w:w="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740" w:type="dxa"/>
            <w:vAlign w:val="bottom"/>
          </w:tcPr>
          <w:p>
            <w:pPr>
              <w:ind w:left="220"/>
              <w:spacing w:after="0"/>
              <w:rPr>
                <w:sz w:val="20"/>
                <w:szCs w:val="20"/>
                <w:color w:val="auto"/>
              </w:rPr>
            </w:pPr>
            <w:r>
              <w:rPr>
                <w:rFonts w:ascii="Arial" w:cs="Arial" w:eastAsia="Arial" w:hAnsi="Arial"/>
                <w:sz w:val="18"/>
                <w:szCs w:val="18"/>
                <w:color w:val="auto"/>
              </w:rPr>
              <w:t>Operations</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16.8</w:t>
            </w:r>
          </w:p>
        </w:tc>
        <w:tc>
          <w:tcPr>
            <w:tcW w:w="460" w:type="dxa"/>
            <w:vAlign w:val="bottom"/>
          </w:tcPr>
          <w:p>
            <w:pPr>
              <w:spacing w:after="0"/>
              <w:rPr>
                <w:sz w:val="19"/>
                <w:szCs w:val="19"/>
                <w:color w:val="auto"/>
              </w:rPr>
            </w:pP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16.6</w:t>
            </w:r>
          </w:p>
        </w:tc>
        <w:tc>
          <w:tcPr>
            <w:tcW w:w="9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r>
      <w:tr>
        <w:trPr>
          <w:trHeight w:val="20"/>
        </w:trPr>
        <w:tc>
          <w:tcPr>
            <w:tcW w:w="4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Income (benefit) tax on other comprehensive income</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w:t>
            </w: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r>
      <w:tr>
        <w:trPr>
          <w:trHeight w:val="20"/>
        </w:trPr>
        <w:tc>
          <w:tcPr>
            <w:tcW w:w="4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 reconciliation of the provision for income taxes as reported and the amount computed by multiplying income before taxes, less noncontrolling interest, by the U.S. federal statutory rate of 35% was (in millions):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1040"/>
              <w:spacing w:after="0"/>
              <w:rPr>
                <w:sz w:val="20"/>
                <w:szCs w:val="20"/>
                <w:color w:val="auto"/>
              </w:rPr>
            </w:pPr>
            <w:r>
              <w:rPr>
                <w:rFonts w:ascii="Arial" w:cs="Arial" w:eastAsia="Arial" w:hAnsi="Arial"/>
                <w:sz w:val="14"/>
                <w:szCs w:val="14"/>
                <w:b w:val="1"/>
                <w:bCs w:val="1"/>
                <w:color w:val="auto"/>
              </w:rPr>
              <w:t>Years Ended</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30,</w:t>
            </w:r>
          </w:p>
        </w:tc>
        <w:tc>
          <w:tcPr>
            <w:tcW w:w="460" w:type="dxa"/>
            <w:vAlign w:val="bottom"/>
          </w:tcPr>
          <w:p>
            <w:pPr>
              <w:spacing w:after="0"/>
              <w:rPr>
                <w:sz w:val="11"/>
                <w:szCs w:val="11"/>
                <w:color w:val="auto"/>
              </w:rPr>
            </w:pPr>
          </w:p>
        </w:tc>
        <w:tc>
          <w:tcPr>
            <w:tcW w:w="17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w w:val="95"/>
              </w:rPr>
              <w:t>Provision calculated at federal statutory income tax rate:</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440"/>
              <w:spacing w:after="0"/>
              <w:rPr>
                <w:sz w:val="20"/>
                <w:szCs w:val="20"/>
                <w:color w:val="auto"/>
              </w:rPr>
            </w:pPr>
            <w:r>
              <w:rPr>
                <w:rFonts w:ascii="Arial" w:cs="Arial" w:eastAsia="Arial" w:hAnsi="Arial"/>
                <w:sz w:val="18"/>
                <w:szCs w:val="18"/>
                <w:color w:val="auto"/>
              </w:rPr>
              <w:t>Income (Loss) Before Income Taxes</w:t>
            </w:r>
          </w:p>
        </w:tc>
        <w:tc>
          <w:tcPr>
            <w:tcW w:w="13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44.0</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20"/>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Noncontrolling Interests</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2"/>
        </w:trPr>
        <w:tc>
          <w:tcPr>
            <w:tcW w:w="4300" w:type="dxa"/>
            <w:vAlign w:val="bottom"/>
          </w:tcPr>
          <w:p>
            <w:pPr>
              <w:ind w:left="440"/>
              <w:spacing w:after="0"/>
              <w:rPr>
                <w:sz w:val="20"/>
                <w:szCs w:val="20"/>
                <w:color w:val="auto"/>
              </w:rPr>
            </w:pPr>
            <w:r>
              <w:rPr>
                <w:rFonts w:ascii="Arial" w:cs="Arial" w:eastAsia="Arial" w:hAnsi="Arial"/>
                <w:sz w:val="18"/>
                <w:szCs w:val="18"/>
                <w:color w:val="auto"/>
              </w:rPr>
              <w:t>Income (Loss) Attributable to NCM, Inc.</w:t>
            </w:r>
          </w:p>
        </w:tc>
        <w:tc>
          <w:tcPr>
            <w:tcW w:w="1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9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State and local income taxes, net of federal benefit</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86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300" w:type="dxa"/>
            <w:vAlign w:val="bottom"/>
            <w:vMerge w:val="restart"/>
          </w:tcPr>
          <w:p>
            <w:pPr>
              <w:ind w:left="440"/>
              <w:spacing w:after="0"/>
              <w:rPr>
                <w:sz w:val="20"/>
                <w:szCs w:val="20"/>
                <w:color w:val="auto"/>
              </w:rPr>
            </w:pPr>
            <w:r>
              <w:rPr>
                <w:rFonts w:ascii="Arial" w:cs="Arial" w:eastAsia="Arial" w:hAnsi="Arial"/>
                <w:sz w:val="18"/>
                <w:szCs w:val="18"/>
                <w:color w:val="auto"/>
              </w:rPr>
              <w:t>Total income tax provision</w:t>
            </w:r>
          </w:p>
        </w:tc>
        <w:tc>
          <w:tcPr>
            <w:tcW w:w="1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00" w:type="dxa"/>
            <w:vAlign w:val="bottom"/>
            <w:vMerge w:val="continue"/>
          </w:tcPr>
          <w:p>
            <w:pPr>
              <w:spacing w:after="0"/>
              <w:rPr>
                <w:sz w:val="19"/>
                <w:szCs w:val="19"/>
                <w:color w:val="auto"/>
              </w:rPr>
            </w:pPr>
          </w:p>
        </w:tc>
        <w:tc>
          <w:tcPr>
            <w:tcW w:w="13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16.8</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92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00" w:type="dxa"/>
            <w:vAlign w:val="bottom"/>
          </w:tcPr>
          <w:p>
            <w:pPr>
              <w:spacing w:after="0"/>
              <w:rPr>
                <w:sz w:val="24"/>
                <w:szCs w:val="24"/>
                <w:color w:val="auto"/>
              </w:rPr>
            </w:pPr>
          </w:p>
        </w:tc>
        <w:tc>
          <w:tcPr>
            <w:tcW w:w="1320" w:type="dxa"/>
            <w:vAlign w:val="bottom"/>
            <w:gridSpan w:val="2"/>
          </w:tcPr>
          <w:p>
            <w:pPr>
              <w:ind w:left="320"/>
              <w:spacing w:after="0"/>
              <w:rPr>
                <w:sz w:val="20"/>
                <w:szCs w:val="20"/>
                <w:color w:val="auto"/>
              </w:rPr>
            </w:pPr>
            <w:r>
              <w:rPr>
                <w:rFonts w:ascii="Arial" w:cs="Arial" w:eastAsia="Arial" w:hAnsi="Arial"/>
                <w:sz w:val="18"/>
                <w:szCs w:val="18"/>
                <w:color w:val="auto"/>
              </w:rPr>
              <w:t>F-17</w:t>
            </w: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the Company’s deferred tax assets and deferred tax liability consisted of the following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1220"/>
              <w:spacing w:after="0"/>
              <w:rPr>
                <w:sz w:val="20"/>
                <w:szCs w:val="20"/>
                <w:color w:val="auto"/>
              </w:rPr>
            </w:pPr>
            <w:r>
              <w:rPr>
                <w:rFonts w:ascii="Arial" w:cs="Arial" w:eastAsia="Arial" w:hAnsi="Arial"/>
                <w:sz w:val="14"/>
                <w:szCs w:val="14"/>
                <w:b w:val="1"/>
                <w:bCs w:val="1"/>
                <w:color w:val="auto"/>
                <w:w w:val="97"/>
              </w:rPr>
              <w:t>As of</w:t>
            </w:r>
          </w:p>
        </w:tc>
        <w:tc>
          <w:tcPr>
            <w:tcW w:w="160" w:type="dxa"/>
            <w:vAlign w:val="bottom"/>
          </w:tcPr>
          <w:p>
            <w:pPr>
              <w:spacing w:after="0"/>
              <w:rPr>
                <w:sz w:val="14"/>
                <w:szCs w:val="1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30,</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w w:val="99"/>
              </w:rPr>
              <w:t>Excess of tax basis over book basis—investment in consolidated subsidiary</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180" w:type="dxa"/>
            <w:vAlign w:val="bottom"/>
          </w:tcPr>
          <w:p>
            <w:pPr>
              <w:ind w:left="420"/>
              <w:spacing w:after="0"/>
              <w:rPr>
                <w:sz w:val="20"/>
                <w:szCs w:val="20"/>
                <w:color w:val="auto"/>
              </w:rPr>
            </w:pPr>
            <w:r>
              <w:rPr>
                <w:rFonts w:ascii="Arial" w:cs="Arial" w:eastAsia="Arial" w:hAnsi="Arial"/>
                <w:sz w:val="18"/>
                <w:szCs w:val="18"/>
                <w:color w:val="auto"/>
              </w:rPr>
              <w:t>NCM LLC (1)(2)</w:t>
            </w:r>
          </w:p>
        </w:tc>
        <w:tc>
          <w:tcPr>
            <w:tcW w:w="6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336.9</w:t>
            </w:r>
          </w:p>
        </w:tc>
        <w:tc>
          <w:tcPr>
            <w:tcW w:w="9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217"/>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loss on hedging transactions and investments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361.3</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Valuation allowance</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90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 net of valuation allowance (3)</w:t>
            </w:r>
          </w:p>
        </w:tc>
        <w:tc>
          <w:tcPr>
            <w:tcW w:w="5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359.6</w:t>
            </w:r>
          </w:p>
        </w:tc>
        <w:tc>
          <w:tcPr>
            <w:tcW w:w="9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420" w:type="dxa"/>
            <w:vAlign w:val="bottom"/>
            <w:gridSpan w:val="2"/>
            <w:vMerge w:val="restart"/>
          </w:tcPr>
          <w:p>
            <w:pPr>
              <w:spacing w:after="0"/>
              <w:rPr>
                <w:sz w:val="20"/>
                <w:szCs w:val="20"/>
                <w:color w:val="auto"/>
              </w:rPr>
            </w:pPr>
            <w:r>
              <w:rPr>
                <w:rFonts w:ascii="Arial" w:cs="Arial" w:eastAsia="Arial" w:hAnsi="Arial"/>
                <w:sz w:val="18"/>
                <w:szCs w:val="18"/>
                <w:color w:val="auto"/>
              </w:rPr>
              <w:t>Deferred tax liabilities:</w:t>
            </w: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spacing w:after="0"/>
              <w:rPr>
                <w:sz w:val="18"/>
                <w:szCs w:val="18"/>
                <w:color w:val="auto"/>
              </w:rPr>
            </w:pPr>
          </w:p>
        </w:tc>
        <w:tc>
          <w:tcPr>
            <w:tcW w:w="642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Discount on liability for income taxes payable to founding members under tax</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2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sharing agreement (4)</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9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liabilities (5)</w:t>
            </w: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80" w:hanging="452"/>
        <w:spacing w:after="0" w:line="294"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Company recorded a tax basis adjustment to reflect the Company’s share of the tax basis in excess of the book basis in the underlying assets of NCM LLC. NCM LLC made an election under Section 754 of the Internal Revenue Code when its tax return was prepared resulting in the positive tax basis adjustment on its tax-basis balance sheet of the Company for its acquired share of NCM LLC’s assets. The vast majority of this tax basis adjustment is attributable to intangible assets that are amortized over the remainder of the 15-year period for federal income tax purposes. For the year ended December 30, 2010, this caused an increase in the basis of $14.7 million.</w:t>
      </w:r>
    </w:p>
    <w:p>
      <w:pPr>
        <w:spacing w:after="0" w:line="7" w:lineRule="exact"/>
        <w:rPr>
          <w:rFonts w:ascii="Arial" w:cs="Arial" w:eastAsia="Arial" w:hAnsi="Arial"/>
          <w:sz w:val="16"/>
          <w:szCs w:val="16"/>
          <w:color w:val="auto"/>
        </w:rPr>
      </w:pPr>
    </w:p>
    <w:p>
      <w:pPr>
        <w:ind w:left="460" w:right="160"/>
        <w:spacing w:after="0" w:line="291" w:lineRule="auto"/>
        <w:rPr>
          <w:rFonts w:ascii="Arial" w:cs="Arial" w:eastAsia="Arial" w:hAnsi="Arial"/>
          <w:sz w:val="16"/>
          <w:szCs w:val="16"/>
          <w:color w:val="auto"/>
        </w:rPr>
      </w:pPr>
      <w:r>
        <w:rPr>
          <w:rFonts w:ascii="Arial" w:cs="Arial" w:eastAsia="Arial" w:hAnsi="Arial"/>
          <w:sz w:val="16"/>
          <w:szCs w:val="16"/>
          <w:color w:val="auto"/>
        </w:rPr>
        <w:t>The deferred tax asset for the investment in NCM LLC reflects the tax effected difference between the Company’s tax basis and its financial reporting basis. The basis difference results in part from the payments made to the founding members at the date of the IPO that were accounted for as distributions under generally accepted accounting principles, but which are treated as creating an amortizable asset for federal income tax purposes. In addition, the Company recorded a step-up in tax basis related to the investment in NCM LLC, which was not recorded for financial reporting purposes as well as an increase due to the common unit membership redemption further described in Note 10. Finally, the Company recorded a step-up in tax basis as a result of payments made by NCM, Inc. to the founding members under the tax receivable agreement.</w:t>
      </w:r>
    </w:p>
    <w:p>
      <w:pPr>
        <w:spacing w:after="0" w:line="25" w:lineRule="exact"/>
        <w:rPr>
          <w:rFonts w:ascii="Arial" w:cs="Arial" w:eastAsia="Arial" w:hAnsi="Arial"/>
          <w:sz w:val="16"/>
          <w:szCs w:val="16"/>
          <w:color w:val="auto"/>
        </w:rPr>
      </w:pPr>
    </w:p>
    <w:p>
      <w:pPr>
        <w:ind w:left="460" w:right="20" w:hanging="452"/>
        <w:spacing w:after="0" w:line="290"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For federal income tax purposes, an amortizable intangible asset was created on the tax-basis balance sheet of NCM LLC as a result of the founding members agreeing to modify NCM LLC’s payment obligations under the ESAs and as a result of the common unit adjustments, which are further described in Note 6. However, due to differences in tax and book measurement principles, there was a temporary difference in the recorded amounts for tax and book purposes. The amount reflects the tax effect of NCM, Inc.’s share of this intangible asset, which is amortized over the remainder of the 30-year life for federal income tax purposes. In addition, the deferred tax asset was adjusted to reflect the changes in ownership that occurred during the year due to the common unit adjustments further described in Note 6 and the common unit membership redemption further described in Note 10. For the year ended December 30, 2010, this caused an increase in the basis of $4.6 million.</w:t>
      </w:r>
    </w:p>
    <w:p>
      <w:pPr>
        <w:spacing w:after="0" w:line="23"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$3.9 million and $3.0 million included in “Other current assets” and $355.7 million and $267.7 million in “Deferred tax assets” at December 30, 2010 and December 31, 2009, respectively, in the Consolidated Balance Sheets.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hanging="452"/>
        <w:spacing w:after="0" w:line="306"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NCM, Inc. recorded a long-term payable to founding members related to the tax receivable agreement, which is recorded at its present value. The discount on this liability is a temporary difference that resulted in a deferred tax liability. The Company recorded accretion of interest on the discounted payable of $14.5 million and $11.8 million for the year ended December 30, 2010 and December 31, 2009, respectively.</w:t>
      </w:r>
    </w:p>
    <w:p>
      <w:pPr>
        <w:spacing w:after="0" w:line="12" w:lineRule="exact"/>
        <w:rPr>
          <w:rFonts w:ascii="Arial" w:cs="Arial" w:eastAsia="Arial" w:hAnsi="Arial"/>
          <w:sz w:val="16"/>
          <w:szCs w:val="16"/>
          <w:color w:val="auto"/>
        </w:rPr>
      </w:pPr>
    </w:p>
    <w:p>
      <w:pPr>
        <w:ind w:left="460" w:right="820" w:hanging="452"/>
        <w:spacing w:after="0" w:line="26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$0.2 million and $0.1 million included in “Other current liabilities” and $68.1 million and $53.3 million in “Deferred tax liability” at December 30, 2010 and December 31, 2009, respectively, in the Consolidated Balance Sheets.</w:t>
      </w:r>
    </w:p>
    <w:p>
      <w:pPr>
        <w:spacing w:after="0" w:line="132"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On the IPO date, NCM, Inc. and the founding members entered into a tax receivable agreement. Under the terms of this agreement, NCM, Inc. will make cash payments to the founding members in amounts equal to 90% of NCM, Inc.’s actual tax benefit realized from the tax amortization of the intangible assets described above. For purposes of the tax receivable agreement, cash savings in income and franchise tax will be computed by comparing NCM, Inc.’s actual income and franchise tax liability to the amount of such taxes that NCM, Inc. would have been required to pay had there been no increase in NCM, Inc.’s proportionate share of tax basis in NCM LLC’s tangible and intangible assets and had the tax receivable agreement not been entered into. The tax receivable agreement shall apply to NCM, Inc.’s taxable years up to and including the 30</w:t>
      </w:r>
      <w:r>
        <w:rPr>
          <w:rFonts w:ascii="Arial" w:cs="Arial" w:eastAsia="Arial" w:hAnsi="Arial"/>
          <w:sz w:val="10"/>
          <w:szCs w:val="10"/>
          <w:color w:val="auto"/>
        </w:rPr>
        <w:t>th</w:t>
      </w:r>
      <w:r>
        <w:rPr>
          <w:rFonts w:ascii="Arial" w:cs="Arial" w:eastAsia="Arial" w:hAnsi="Arial"/>
          <w:sz w:val="16"/>
          <w:szCs w:val="16"/>
          <w:color w:val="auto"/>
        </w:rPr>
        <w:t xml:space="preserve"> anniversary date of the offering. The Company paid the founding members $11.2 million in 2008 for the 2007 taxable year, $13.3 million in 2009 for the 2008 taxable year and $16.7 million in 2010, of which $14.0 million was for the 2009 taxable year and $2.7 million was for the 2008 taxable year. In 2011 the Company expects to make an additional $1.6 million payment for the 2009 taxable year and $20.0 million for the 2010 taxable year.</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assessing the realizable value of deferred tax assets, primarily arising in connection with the IPO, management considered whether it is more likely than not that some portion or all of the deferred tax assets will not be realized. The ultimate realization of deferred tax assets is dependent upon the generation of future taxable income during the periods in which these temporary differences become deductible. The Company has recorded a valuation allowance against deferred tax assets of $1.7 million and $1.9 million at December 30, 2010 and December 31, 2009, respectively, for its deferred assets related to the impairment loss recorded for an investment for which management believes it is more likely than not that these deferred tax assets will not be realized in future periods.</w:t>
      </w:r>
    </w:p>
    <w:p>
      <w:pPr>
        <w:spacing w:after="0" w:line="11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of December 30, 2010 or December 31, 2009, there were no material expense or liability recorded for payment of interest and penalties associated with uncertain tax positions or material unrecognized tax positions.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Company is subject to taxation in the U.S. and various states. As of December 30, 2010, the Company’s tax years beginning with 2007 are subject to examination by the tax authorities.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STOCK</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December 30, 2010, the Company has authorized capital stock of 120,000,000 shares of common stock, par value of $0.01 per share, and 10,000,000 shares of preferred stock, par value of $0.01 per share. There were no shares of preferred stock issued or outstanding as of December 30, 2010. There were 53,549,477 shares of common stock issued and outstanding as of December 30, 2010.</w:t>
      </w:r>
    </w:p>
    <w:p>
      <w:pPr>
        <w:spacing w:after="0" w:line="140"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holders of common stock are entitled to one vote per share on all matters submitted for action by the stockholders. Holders of common stock are entitled to share equally, share for share, in declared dividends.</w:t>
      </w:r>
    </w:p>
    <w:p>
      <w:pPr>
        <w:spacing w:after="0" w:line="13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authorized but unissued shares of common stock and preferred stock are available for future issuance without stockholder approval. These additional shares may be used for a variety of corporate purposes, including future public offerings to raise additional capital, corporate acquisitions, exchange on a one-for-one basis under the Founders’ right to convert their NCM LLC membership units into Company common stock, and employee benefit plans.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as of December 30, 2010, the Company had 1,690,186 shares reserved for future issuance under its Equity Incentive Plan.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RELATED-PARTY TRANSACTIONS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Pursuant to the ESAs, the Company makes monthly theatre access fee payments to the founding members, comprised of a payment per theatre attendee and a payment per digital screen with respect to the founding member theatres included in our network. The total theatre access fee to the founding members for the years ended December 30, 2010, December 31, 2009 and January 1, 2009 was $52.6 million, $52.7 million and $49.8 million, respectively.</w:t>
      </w:r>
    </w:p>
    <w:p>
      <w:pPr>
        <w:spacing w:after="0" w:line="107"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color w:val="auto"/>
        </w:rPr>
        <w:t>Under the ESAs, for the years ended December 30, 2010 and December 31, 2009, the founding members purchased 60 seconds of on-screen advertising time (with a right to purchase up to 90 seconds) from NCM LLC to satisfy their obligations under their beverage concessionaire agreements at a specified 30 second equivalent cost per thousand (“CPM”) impressions. For the year ended January 1, 2009, two of the founding members purchased 90 seconds and one purchased 60 seconds of on-screen advertising time under their beverage concessionaire agreement. The total revenue related to the beverage concessionaire agreements for the years ended December 30, 2010, December 31, 2009 and January 1, 2009 was $37.2 million, $36.3 million and $43.3 million, respectively. In addition, the Company made payments to the founding members for use of their screens and theatres for its Fathom Events businesses. These payments are at rates (percentage of event revenue) included in the ESAs based on the nature of the event. Payments to the founding members for these events totaled $7.3 million, $6.7 million, and $6.0 million for the years ended December 30, 2010, December 31, 2009 and January 1, 2009, respectively.</w:t>
      </w:r>
    </w:p>
    <w:p>
      <w:pPr>
        <w:spacing w:after="0" w:line="108"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Also, pursuant to the terms of the NCM LLC Operating Agreement in place since the completion of the IPO, NCM LLC is required to make mandatory distributions on a proportionate basis to its members of available cash, as defined in the NCM LLC Operating Agreement, on a quarterly basis in arrears. Distributions for the years ended December 30, 2010, December 31, 2009, and January 1, 2009 are as follows (in millions):</w:t>
      </w:r>
    </w:p>
    <w:p>
      <w:pPr>
        <w:spacing w:after="0" w:line="1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2010</w:t>
            </w:r>
          </w:p>
        </w:tc>
        <w:tc>
          <w:tcPr>
            <w:tcW w:w="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2009</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AMC</w:t>
            </w:r>
          </w:p>
        </w:tc>
        <w:tc>
          <w:tcPr>
            <w:tcW w:w="2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Cinemark</w:t>
            </w: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20.8</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2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NCM, Inc.</w:t>
            </w:r>
          </w:p>
        </w:tc>
        <w:tc>
          <w:tcPr>
            <w:tcW w:w="2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9"/>
                <w:szCs w:val="19"/>
                <w:color w:val="auto"/>
              </w:rPr>
            </w:pPr>
          </w:p>
        </w:tc>
      </w:tr>
      <w:tr>
        <w:trPr>
          <w:trHeight w:val="216"/>
        </w:trPr>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156.1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139.3</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131.1</w:t>
            </w:r>
          </w:p>
        </w:tc>
        <w:tc>
          <w:tcPr>
            <w:tcW w:w="100" w:type="dxa"/>
            <w:vAlign w:val="bottom"/>
            <w:shd w:val="clear" w:color="auto" w:fill="CCEEFF"/>
          </w:tcPr>
          <w:p>
            <w:pPr>
              <w:spacing w:after="0"/>
              <w:rPr>
                <w:sz w:val="18"/>
                <w:szCs w:val="18"/>
                <w:color w:val="auto"/>
              </w:rPr>
            </w:pPr>
          </w:p>
        </w:tc>
      </w:tr>
      <w:tr>
        <w:trPr>
          <w:trHeight w:val="20"/>
        </w:trPr>
        <w:tc>
          <w:tcPr>
            <w:tcW w:w="34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available cash payment by NCM LLC to its founding members for the quarter ended December 30, 2010 of $25.7 million was included in amounts due to founding members at December 30, 2010 and will be made in the first quarter of 2011.</w:t>
      </w:r>
    </w:p>
    <w:p>
      <w:pPr>
        <w:spacing w:after="0" w:line="132"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 xml:space="preserve">During the fiscal year ended January 1, 2009, the Company recorded $14.9 million of distributions (adjusted for distributions funded by cash capital contributions from the founding members) to the noncontrolling interests in excess of their proportionate share of earnings, with a corresponding credit to additional paid in capital (deficit) pursuant to EITF No. 95-7, </w:t>
      </w:r>
      <w:r>
        <w:rPr>
          <w:rFonts w:ascii="Arial" w:cs="Arial" w:eastAsia="Arial" w:hAnsi="Arial"/>
          <w:sz w:val="16"/>
          <w:szCs w:val="16"/>
          <w:i w:val="1"/>
          <w:iCs w:val="1"/>
          <w:color w:val="auto"/>
        </w:rPr>
        <w:t>Implementation Issued Related to the Treatment of Minority Interests in Certain Real Estate</w:t>
      </w:r>
      <w:r>
        <w:rPr>
          <w:rFonts w:ascii="Arial" w:cs="Arial" w:eastAsia="Arial" w:hAnsi="Arial"/>
          <w:sz w:val="16"/>
          <w:szCs w:val="16"/>
          <w:color w:val="auto"/>
        </w:rPr>
        <w:t xml:space="preserve"> </w:t>
      </w:r>
      <w:r>
        <w:rPr>
          <w:rFonts w:ascii="Arial" w:cs="Arial" w:eastAsia="Arial" w:hAnsi="Arial"/>
          <w:sz w:val="16"/>
          <w:szCs w:val="16"/>
          <w:i w:val="1"/>
          <w:iCs w:val="1"/>
          <w:color w:val="auto"/>
        </w:rPr>
        <w:t>Investments Trusts</w:t>
      </w:r>
      <w:r>
        <w:rPr>
          <w:rFonts w:ascii="Arial" w:cs="Arial" w:eastAsia="Arial" w:hAnsi="Arial"/>
          <w:sz w:val="16"/>
          <w:szCs w:val="16"/>
          <w:color w:val="auto"/>
        </w:rPr>
        <w:t>. Beginning with the adoption of ASC 810 at the start of its 2009 fiscal year, EITF No. 95-7 has been nullified and the Company returned to</w:t>
      </w:r>
      <w:r>
        <w:rPr>
          <w:rFonts w:ascii="Arial" w:cs="Arial" w:eastAsia="Arial" w:hAnsi="Arial"/>
          <w:sz w:val="16"/>
          <w:szCs w:val="16"/>
          <w:i w:val="1"/>
          <w:iCs w:val="1"/>
          <w:color w:val="auto"/>
        </w:rPr>
        <w:t xml:space="preserve"> </w:t>
      </w:r>
      <w:r>
        <w:rPr>
          <w:rFonts w:ascii="Arial" w:cs="Arial" w:eastAsia="Arial" w:hAnsi="Arial"/>
          <w:sz w:val="16"/>
          <w:szCs w:val="16"/>
          <w:color w:val="auto"/>
        </w:rPr>
        <w:t>recording all distributions through equity in the same manner it had done prior to 2008. ASC 810 prohibited retrospective adoption.</w:t>
      </w:r>
    </w:p>
    <w:p>
      <w:pPr>
        <w:spacing w:after="0" w:line="1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On January 26, 2006, AMC acquired the Loews Cineplex Entertainment Inc. (“AMC Loews”) theatre circuit. The Loews screen integration agreement, effective as of January 5, 2007 and amended and restated as of February 13, 2007, between NCM LLC and AMC, committed AMC to cause substantially all of the theatres 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acquired as part of the Loews theatre circuit to be included in the NCM digital network in accordance with the ESAs on June 1, 2008. In accordance with the Loews screen integration agreement, prior to June 1, 2008 AMC paid the Company amounts based on an agreed-upon calculation to reflect cash amounts that approximated what NCM LLC would have generated if the Company sold on-screen advertising in the Loews theatre chain on an exclusive basis. These AMC Loews payments were made on a quarterly basis in arrears through May 31, 2008, with the exception of Star Theatres, which were paid through February 2009 in accordance with certain run-out provisions. For the years ended December 31, 2009 and January 1, 2009, the AMC Loews payment was $0.1 million and $4.7 million, respectively. The AMC Loews payment was recorded directly to NCM LLC’s members’ equity account.</w:t>
      </w:r>
    </w:p>
    <w:p>
      <w:pPr>
        <w:spacing w:after="0" w:line="120"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On April 30, 2008, Regal acquired Consolidated Theatres and NCM issued common membership units to Regal upon the closing of its acquisition in exchange for the right to exclusive access to the theatres. The Consolidated Theatres had a pre-existing advertising agreement and, as a result, Regal must make “integration” payments pursuant to the ESAs on a quarterly basis in arrears through mid-2011 in accordance with certain run-out provisions. For the years ended December 30, 2010, December 31, 2009 and January 1, 2009, the Consolidated Theatres payment was $3.9 million, $3.2 million and $2.8 million, respectively and represents a cash element of the consideration received for the common membership units issued. The Consolidated Theatres payment of $1.2 million for the quarter ended December 30, 2010 was included in amounts due from founding members at December 30, 2010 and will be received in the first quarter of 2011.</w:t>
      </w:r>
    </w:p>
    <w:p>
      <w:pPr>
        <w:spacing w:after="0" w:line="105"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connection with AMC’s acquisition of Kerasotes, AMC reimbursed NCM LLC approximately $3.0 million for the net book value of NCM LLC capital expenditures invested in digital network technology within the acquired Kerasotes theatres prior to the acquisition date.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founding members at December 30, 2010 were comprised of the following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AMC</w:t>
            </w:r>
          </w:p>
        </w:tc>
        <w:tc>
          <w:tcPr>
            <w:tcW w:w="56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Cinemark</w:t>
            </w:r>
          </w:p>
        </w:tc>
        <w:tc>
          <w:tcPr>
            <w:tcW w:w="560" w:type="dxa"/>
            <w:vAlign w:val="bottom"/>
          </w:tcPr>
          <w:p>
            <w:pPr>
              <w:spacing w:after="0"/>
              <w:rPr>
                <w:sz w:val="14"/>
                <w:szCs w:val="1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Regal</w:t>
            </w:r>
          </w:p>
        </w:tc>
        <w:tc>
          <w:tcPr>
            <w:tcW w:w="56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$ 0.5</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0.4</w:t>
            </w: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940" w:type="dxa"/>
            <w:vAlign w:val="bottom"/>
            <w:gridSpan w:val="2"/>
          </w:tcPr>
          <w:p>
            <w:pPr>
              <w:jc w:val="right"/>
              <w:ind w:right="500"/>
              <w:spacing w:after="0"/>
              <w:rPr>
                <w:sz w:val="20"/>
                <w:szCs w:val="20"/>
                <w:color w:val="auto"/>
              </w:rPr>
            </w:pPr>
            <w:r>
              <w:rPr>
                <w:rFonts w:ascii="Arial" w:cs="Arial" w:eastAsia="Arial" w:hAnsi="Arial"/>
                <w:sz w:val="18"/>
                <w:szCs w:val="18"/>
                <w:color w:val="auto"/>
              </w:rPr>
              <w:t>(0.2)</w:t>
            </w:r>
          </w:p>
        </w:tc>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(0.5)</w:t>
            </w:r>
          </w:p>
        </w:tc>
        <w:tc>
          <w:tcPr>
            <w:tcW w:w="900" w:type="dxa"/>
            <w:vAlign w:val="bottom"/>
            <w:gridSpan w:val="2"/>
          </w:tcPr>
          <w:p>
            <w:pPr>
              <w:jc w:val="right"/>
              <w:ind w:right="50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(0.7)</w:t>
            </w: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24.5</w:t>
            </w:r>
          </w:p>
        </w:tc>
        <w:tc>
          <w:tcPr>
            <w:tcW w:w="0" w:type="dxa"/>
            <w:vAlign w:val="bottom"/>
          </w:tcPr>
          <w:p>
            <w:pPr>
              <w:spacing w:after="0"/>
              <w:rPr>
                <w:sz w:val="1"/>
                <w:szCs w:val="1"/>
                <w:color w:val="auto"/>
              </w:rPr>
            </w:pPr>
          </w:p>
        </w:tc>
      </w:tr>
      <w:tr>
        <w:trPr>
          <w:trHeight w:val="20"/>
        </w:trPr>
        <w:tc>
          <w:tcPr>
            <w:tcW w:w="698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980" w:type="dxa"/>
            <w:vAlign w:val="bottom"/>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$ 8.8</w:t>
            </w:r>
          </w:p>
        </w:tc>
        <w:tc>
          <w:tcPr>
            <w:tcW w:w="5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560" w:type="dxa"/>
            <w:vAlign w:val="bottom"/>
          </w:tcPr>
          <w:p>
            <w:pPr>
              <w:spacing w:after="0"/>
              <w:rPr>
                <w:sz w:val="19"/>
                <w:szCs w:val="19"/>
                <w:color w:val="auto"/>
              </w:rPr>
            </w:pPr>
          </w:p>
        </w:tc>
        <w:tc>
          <w:tcPr>
            <w:tcW w:w="900" w:type="dxa"/>
            <w:vAlign w:val="bottom"/>
            <w:gridSpan w:val="2"/>
          </w:tcPr>
          <w:p>
            <w:pPr>
              <w:jc w:val="right"/>
              <w:ind w:right="560"/>
              <w:spacing w:after="0"/>
              <w:rPr>
                <w:sz w:val="20"/>
                <w:szCs w:val="20"/>
                <w:color w:val="auto"/>
              </w:rPr>
            </w:pPr>
            <w:r>
              <w:rPr>
                <w:rFonts w:ascii="Arial" w:cs="Arial" w:eastAsia="Arial" w:hAnsi="Arial"/>
                <w:sz w:val="18"/>
                <w:szCs w:val="18"/>
                <w:color w:val="auto"/>
              </w:rPr>
              <w:t>8.9</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25.2</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founding members at December 31, 2009 were comprised of the following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rPr>
              <w:t>AMC</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Cinemark</w:t>
            </w:r>
          </w:p>
        </w:tc>
        <w:tc>
          <w:tcPr>
            <w:tcW w:w="104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89"/>
              </w:rPr>
              <w:t>Regal</w:t>
            </w:r>
          </w:p>
        </w:tc>
        <w:tc>
          <w:tcPr>
            <w:tcW w:w="5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$ 0.5</w:t>
            </w:r>
          </w:p>
        </w:tc>
        <w:tc>
          <w:tcPr>
            <w:tcW w:w="3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8"/>
                <w:szCs w:val="18"/>
                <w:color w:val="auto"/>
              </w:rPr>
              <w:t>(0.5)</w:t>
            </w:r>
          </w:p>
        </w:tc>
        <w:tc>
          <w:tcPr>
            <w:tcW w:w="80" w:type="dxa"/>
            <w:vAlign w:val="bottom"/>
          </w:tcPr>
          <w:p>
            <w:pPr>
              <w:spacing w:after="0"/>
              <w:rPr>
                <w:sz w:val="18"/>
                <w:szCs w:val="18"/>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8"/>
                <w:szCs w:val="18"/>
                <w:color w:val="auto"/>
                <w:w w:val="97"/>
              </w:rPr>
              <w:t>(0.5)</w:t>
            </w:r>
          </w:p>
        </w:tc>
        <w:tc>
          <w:tcPr>
            <w:tcW w:w="10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(1.5)</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5"/>
              </w:rPr>
              <w:t>12.1</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29.9</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60" w:type="dxa"/>
            <w:vAlign w:val="bottom"/>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$ 9.9</w:t>
            </w:r>
          </w:p>
        </w:tc>
        <w:tc>
          <w:tcPr>
            <w:tcW w:w="360" w:type="dxa"/>
            <w:vAlign w:val="bottom"/>
          </w:tcPr>
          <w:p>
            <w:pPr>
              <w:spacing w:after="0"/>
              <w:rPr>
                <w:sz w:val="19"/>
                <w:szCs w:val="19"/>
                <w:color w:val="auto"/>
              </w:rPr>
            </w:pPr>
          </w:p>
        </w:tc>
        <w:tc>
          <w:tcPr>
            <w:tcW w:w="5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8</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w w:val="85"/>
              </w:rPr>
              <w:t>12.1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29.8</w:t>
            </w: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Note 8 for information regarding taxes payable to founding members under tax sharing agreement.</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the years ended December 30, 2010, December 31, 2009 and January 1, 2009, AMC, Cinemark and Regal purchased $1.3 million, $1.9 million and $2.3 million respectively, of NCM LLC’s advertising inventory for their own use. The value of such purchases are calculated by reference to NCM LLC’s advertising rate card and included in advertising revenue.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80"/>
          </w:cols>
          <w:pgMar w:left="240" w:top="459" w:right="2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Included in selling and marketing costs and Fathom Events operating costs is $2.5 million, $2.1 million and $2.7 million for the years ended December 30, 2010, December 31, 2009 and January 1, 2009 respectively, related to purchases of movie tickets and concession products from the founding members primarily for marketing to NCM LLC’s advertising clients and marketing resale to Fathom Business customers.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Related Party Affiliates–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2009, NCM LLC entered into a digital content agreement and a Fathom agreement with LA Live Cinemas LLC (“LA Live”), an affiliate of Regal, for NCM LLC to provide in-theatre advertising and Fathom Events services to LA Live in its theatre complex. The affiliate agreement was entered into at terms that are similar to those of our other advertising affiliates. LA Live joined the NCM LLC advertising network during the fourth quarter of 2009. Included in advertising operating costs and Fathom Events operating costs is $0.1 million for the year ended December 30, 2010, for payments made to the affiliate under the agreement. As of December 30, 2010 approximately $0.1 million is included in accounts payable for amounts due to LA Live under the agreement.</w:t>
      </w:r>
    </w:p>
    <w:p>
      <w:pPr>
        <w:spacing w:after="0" w:line="116" w:lineRule="exact"/>
        <w:rPr>
          <w:sz w:val="20"/>
          <w:szCs w:val="20"/>
          <w:color w:val="auto"/>
        </w:rPr>
      </w:pPr>
    </w:p>
    <w:p>
      <w:pPr>
        <w:jc w:val="both"/>
        <w:ind w:right="180" w:firstLine="456"/>
        <w:spacing w:after="0" w:line="255" w:lineRule="auto"/>
        <w:rPr>
          <w:sz w:val="20"/>
          <w:szCs w:val="20"/>
          <w:color w:val="auto"/>
        </w:rPr>
      </w:pPr>
      <w:r>
        <w:rPr>
          <w:rFonts w:ascii="Arial" w:cs="Arial" w:eastAsia="Arial" w:hAnsi="Arial"/>
          <w:sz w:val="18"/>
          <w:szCs w:val="18"/>
          <w:color w:val="auto"/>
        </w:rPr>
        <w:t>During 2009, NCM LLC entered into a network affiliate agreement with Starplex Operating L.P. (“Starplex”), an affiliate of Cinemark, for NCM LLC to provide in-theatre advertising services to Starplex in its theatre locations. The affiliate agreement was entered into at terms that are similar to those of our other advertising affiliates. Starplex joined the NCM LLC advertising network in the first quarter of 2010. Included in advertising operating costs is $1.3 million, for the year ended December 30, 2010, for payments made to the affiliate under the agreement. As of December 30, 2010 approximately $0.5 million is included in accounts payable for amounts due to Starplex under the agreement.</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Common Unit Membership Redemption–</w:t>
      </w:r>
    </w:p>
    <w:p>
      <w:pPr>
        <w:spacing w:after="0" w:line="90"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The NCM LLC Operating Agreement provides a redemption right of the founding members to exchange common membership units of NCM LLC for shares of the Company’s common stock on a one-for-one basis, or at the Company’s option, a cash payment equal to the market price of one share of NCM, Inc. common stock. During the third quarter of 2010, AMC and Regal exercised the redemption right of an aggregate 10,955,471 common membership units, whereby AMC and Regal surrendered 6,655,193 and 4,300,278 common membership units to NCM LLC for cancellation, respectively. The Company contributed an aggregate 10,955,471 shares of its common stock to NCM LLC in exchange for a like number of newly issued common membership units. NCM LLC then distributed the shares of common stock to AMC and Regal to complete the redemptions. Such redemptions took place immediately prior to the closing of the underwritten public offering and the subsequent closing of the overallotment option; in each case the NCM, Inc. common stock was sold at a price to the public of $16.00 per share by AMC and Regal. The Company did not receive any proceeds from the sale of its common stock by AMC and Regal. Pursuant to ASC 810-</w:t>
      </w:r>
    </w:p>
    <w:p>
      <w:pPr>
        <w:spacing w:after="0" w:line="6"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10-45, the Company accounted for the change in its ownership interest in NCM LLC as an equity transaction and no gain or loss was recognized in consolidated net income.</w:t>
      </w:r>
    </w:p>
    <w:p>
      <w:pPr>
        <w:spacing w:after="0" w:line="13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The Company recorded an $79.3 million deferred tax asset for its additional ownership interest in NCM LLC to reflect the tax effected difference between the tax basis and the book basis, the majority of which will be amortized over a 15-year period for federal income tax purposes. In addition, the Company recorded an increase of $36.2 million in its long-term payable to founding members for the estimated payment to the founding members of 90% of the amount of cash savings, if any, in U.S. federal, state and local income tax or franchise tax that the Company expects to realize as a result of the deferred tax asset, which is recorded at its present value. The discount on this liability is a temporary difference that resulted in an additional $14.1 million deferred tax liability. See Note 8 for additional discussion of income taxes.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BORROWINGS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On February 13, 2007, concurrently with the closing of the IPO of NCM, Inc., NCM LLC entered into a senior secured credit facility with a group of lenders. The facility consists of a six-year $80.0 million revolving credit facility and an eight-year, $725.0 million term loan facility. The revolving credit facility portion is available, subject to certain conditions, for general corporate purposes of the Company in the ordinary course of business and for other transactions permitted under the credit agreement, and a portion is available for letters of credit.</w:t>
      </w:r>
    </w:p>
    <w:p>
      <w:pPr>
        <w:spacing w:after="0" w:line="14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outstanding balance of the term loan facility at December 30, 2010 and December 31, 2009 was $725.0 million. The outstanding balance under the revolving credit facility at December 30, 2010 and December 31, 2009 was $50.0 million and $74.0 million, respectively. As of December 30, 2010, the effective rate on the term loan was 5.61% including the effect of the interest rate swaps (both those accounted for as hedges and those that are not). The interest rate swaps hedged $550.0 million of the $725.0 million term loan at a fixed interest rate of 6.734% while the unhedged portion was at an interest rate of 2.06%. The weighted-average interest rate on the unhedged revolver was 2.01%. Commencing with the fourth fiscal quarter in fiscal year 2009, the applicable margin for the revolving credit facility is determined quarterly and is subject to adjustment based upon a consolidated net senior secured leverage ratio for NCM LLC and its subsidiaries (the ratio of secured funded debt less unrestricted cash and cash equivalents, over a non-GAAP measure defined in the credit agreement). The senior secured credit facility also contains a number of covenants and financial ratio requirements, with which the Company was in compliance at December 30, 2010, including the consolidated net senior secured leverage ratio. There are no distribution restrictions as long as the Company is in compliance with its debt covenants. As of December 30, 2010, its consolidated net senior secured leverage ratio was 3.5 times the covenant. The debt covenants also require 50% of the term loan, or $362.5 million to be hedged at a fixed rate. As of December 30, 2010, the Company had approximately $550 million or 76% hedged. Of the $550.0 million that is hedged, $137.5 million was transferred from Lehman Brothers Special Financing (“LBSF”) to Barclays Bank PLC (“Barclays”) in February 2010. See Note 16 for an additional discussion of the interest rate swaps.</w:t>
      </w:r>
    </w:p>
    <w:p>
      <w:pPr>
        <w:spacing w:after="0" w:line="12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NCM LLC, Lehman Brothers Holdings Inc. (“Lehman”) and Barclays entered into an agreement in March 2010 whereby Lehman resigned its agency function and restructured its outstanding $14.0 million revolving credit loan. NCM LLC and the remaining revolving credit lenders consented to the appointment of Barclays as successor administrative agent and swing line lender under the credit agreement. Additionally, the revolving credit commitments of Lehman were reduced to zero and the aggregate revolving credit commitments were reduced to $66.0 million. The $14.0 million outstanding principal of the revolving credit loans held by Lehman will not be repaid in connection with any future prepayments of revolving credit loans, but rather Lehman’s share of the revolving credit facility will be paid in full by NCM LLC, along with any accrued and unpaid fees and interest, on the revolving credit termination date, February 13, 2013.</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March 19, 2009, the Company gave an $8.5 million note payable to Credit Suisse, Cayman Islands Branch (“Credit Suisse”) with no stated interest to settle the $10.0 million contingent put obligation and to acquire the $20.7 million outstanding principal balance of debt of IdeaCast, Inc. (“IdeaCast”) (together with all accrued interest and other lender costs required to be reimbursed by IdeaCast). Quarterly payments to Credit Suisse began on April 15, 2009 and will continue through January 15, 2011. At issuance the Company recorded the note at a present value of $7.0 million. At December 30, 2010 and December 31, 2009, $1.2 million and $4.3 million, respectively, of the balance was recorded in current liabilities. Interest on the note is accreted at the Company’s estimated incremental cost of debt based on then current market indicators over the term of the loan to interest expense. The amount of interest expense recognized on the note for the years ended December 30, 2010 and December 31, 2009 was $0.5 million and $0.7 million, respectively.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Future Maturities of Borrowings–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scheduled annual maturities on the credit facility for the next five years as of December 30, 2010 are as follows (in millions):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725.0</w:t>
            </w:r>
          </w:p>
        </w:tc>
        <w:tc>
          <w:tcPr>
            <w:tcW w:w="100" w:type="dxa"/>
            <w:vAlign w:val="bottom"/>
            <w:shd w:val="clear" w:color="auto" w:fill="CCEEFF"/>
          </w:tcPr>
          <w:p>
            <w:pPr>
              <w:spacing w:after="0"/>
              <w:rPr>
                <w:sz w:val="18"/>
                <w:szCs w:val="18"/>
                <w:color w:val="auto"/>
              </w:rPr>
            </w:pPr>
          </w:p>
        </w:tc>
      </w:tr>
      <w:tr>
        <w:trPr>
          <w:trHeight w:val="222"/>
        </w:trPr>
        <w:tc>
          <w:tcPr>
            <w:tcW w:w="71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776.2</w:t>
            </w:r>
          </w:p>
        </w:tc>
        <w:tc>
          <w:tcPr>
            <w:tcW w:w="10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96"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color w:val="auto"/>
        </w:rPr>
        <w:t>At the date of the IPO, the Company adopted the NCM, Inc. 2007 Equity Incentive Plan. As of December 30, 2010, there were 7,076,000 shares of common stock available for issuance or delivery under the Equity Incentive Plan of which 1,690,186 remain available for grants as of December 30, 2010. Options awarded under the Equity Incentive Plan are granted with an exercise price equal to the market price of NCM, Inc. common stock on the date of the grant. Upon vesting of the awards, NCM LLC will issue common membership units to the Company equal to the number of shares of the Company’s common stock represented by such awards. Under the fair value recognition provisions of ASC 718, the Company recognizes stock-based compensation net of an estimated forfeiture rate, and therefore only recognizes stock-based compensation cost for those shares expected to vest over the requisite service period of the award. Options and non-vested restricted stock vest annually over a three or five-year period and options have either 10-year or 15-year contractual terms. A forfeiture rate of 5% was estimated to reflect the potential separation of employees.</w:t>
      </w:r>
    </w:p>
    <w:p>
      <w:pPr>
        <w:spacing w:after="0" w:line="118" w:lineRule="exact"/>
        <w:rPr>
          <w:sz w:val="20"/>
          <w:szCs w:val="20"/>
          <w:color w:val="auto"/>
        </w:rPr>
      </w:pPr>
    </w:p>
    <w:p>
      <w:pPr>
        <w:ind w:right="280" w:firstLine="456"/>
        <w:spacing w:after="0" w:line="286" w:lineRule="auto"/>
        <w:rPr>
          <w:sz w:val="20"/>
          <w:szCs w:val="20"/>
          <w:color w:val="auto"/>
        </w:rPr>
      </w:pPr>
      <w:r>
        <w:rPr>
          <w:rFonts w:ascii="Arial" w:cs="Arial" w:eastAsia="Arial" w:hAnsi="Arial"/>
          <w:sz w:val="16"/>
          <w:szCs w:val="16"/>
          <w:color w:val="auto"/>
        </w:rPr>
        <w:t>The Company recognized $7.0 million, $3.1 million and $2.1 million for the years ended December 30, 2010, December 31, 2009 and January 1, 2009, respectively, of share-based compensation expense for these options and $0.1 million were capitalized during each of the years ended December 30,</w:t>
      </w:r>
    </w:p>
    <w:p>
      <w:pPr>
        <w:ind w:right="140"/>
        <w:spacing w:after="0" w:line="254" w:lineRule="auto"/>
        <w:rPr>
          <w:sz w:val="20"/>
          <w:szCs w:val="20"/>
          <w:color w:val="auto"/>
        </w:rPr>
      </w:pPr>
      <w:r>
        <w:rPr>
          <w:rFonts w:ascii="Arial" w:cs="Arial" w:eastAsia="Arial" w:hAnsi="Arial"/>
          <w:sz w:val="18"/>
          <w:szCs w:val="18"/>
          <w:color w:val="auto"/>
        </w:rPr>
        <w:t>2010, December 31, 2009 and January 1, 2009, respectively. The income tax benefit recognized in the income statement for share-based compensation was approximately $2.1 million, $0.5 million, and $0.7 million for the years ended December 30, 2010, December 31, 2009 and January 1, 2009, respectively. As of December 30, 2010, unrecognized compensation cost related to nonvested options was approximately $9.1 million, which will be recognized over a weighted average remaining period of 1.70 years.</w:t>
      </w:r>
    </w:p>
    <w:p>
      <w:pPr>
        <w:spacing w:after="0" w:line="14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weighted average grant date fair value of granted options was $4.84, $2.17 and $3.77 for the years ended December 30, 2010, December 31, 2009 and January 1, 2009, respectively. The intrinsic value of options exercised during the year was $2.2 million, $0.2 million and $0.2 million for the years ended December 30, 2010, December 31, 2009, and January 1, 2009, respectively. During the year ended December 30, 2010 there was $4.9 million of cash received on options exercised and an immaterial amount for the year December 31, 2009. There was $0.3 million of excess income tax benefit realized from exercises for the year ended December 30, 2010. The total fair value of awards vested during the years ended December 30, 2010 and December 31, 2009 was $3.2 million and $0.3 million, respectively.</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80"/>
          </w:cols>
          <w:pgMar w:left="240" w:top="459" w:right="27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 pricing model, which requires that the Company make estimates of various factors. The following assumptions were used in the valuation of the options: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212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85"/>
              </w:rPr>
              <w:t>Fiscal 2010</w:t>
            </w:r>
          </w:p>
        </w:tc>
        <w:tc>
          <w:tcPr>
            <w:tcW w:w="14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Fiscal 2009</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Fiscal 2008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02"/>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4120" w:type="dxa"/>
            <w:vAlign w:val="bottom"/>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options</w:t>
            </w:r>
          </w:p>
        </w:tc>
        <w:tc>
          <w:tcPr>
            <w:tcW w:w="2120" w:type="dxa"/>
            <w:vAlign w:val="bottom"/>
            <w:gridSpan w:val="5"/>
            <w:shd w:val="clear" w:color="auto" w:fill="CCEEFF"/>
          </w:tcPr>
          <w:p>
            <w:pPr>
              <w:jc w:val="center"/>
              <w:ind w:right="500"/>
              <w:spacing w:after="0"/>
              <w:rPr>
                <w:sz w:val="20"/>
                <w:szCs w:val="20"/>
                <w:color w:val="auto"/>
              </w:rPr>
            </w:pPr>
            <w:r>
              <w:rPr>
                <w:rFonts w:ascii="Arial" w:cs="Arial" w:eastAsia="Arial" w:hAnsi="Arial"/>
                <w:sz w:val="18"/>
                <w:szCs w:val="18"/>
                <w:color w:val="auto"/>
                <w:w w:val="83"/>
              </w:rPr>
              <w:t>6.0 years</w:t>
            </w:r>
          </w:p>
        </w:tc>
        <w:tc>
          <w:tcPr>
            <w:tcW w:w="14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6"/>
              </w:rPr>
              <w:t>6.5 years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6.5 years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2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2120" w:type="dxa"/>
            <w:vAlign w:val="bottom"/>
            <w:gridSpan w:val="5"/>
          </w:tcPr>
          <w:p>
            <w:pPr>
              <w:jc w:val="center"/>
              <w:ind w:right="500"/>
              <w:spacing w:after="0"/>
              <w:rPr>
                <w:sz w:val="20"/>
                <w:szCs w:val="20"/>
                <w:color w:val="auto"/>
              </w:rPr>
            </w:pPr>
            <w:r>
              <w:rPr>
                <w:rFonts w:ascii="Arial" w:cs="Arial" w:eastAsia="Arial" w:hAnsi="Arial"/>
                <w:sz w:val="18"/>
                <w:szCs w:val="18"/>
                <w:color w:val="auto"/>
                <w:w w:val="89"/>
              </w:rPr>
              <w:t>1.38% to 3.76%</w:t>
            </w:r>
          </w:p>
        </w:tc>
        <w:tc>
          <w:tcPr>
            <w:tcW w:w="1420" w:type="dxa"/>
            <w:vAlign w:val="bottom"/>
            <w:gridSpan w:val="3"/>
          </w:tcPr>
          <w:p>
            <w:pPr>
              <w:jc w:val="center"/>
              <w:ind w:right="200"/>
              <w:spacing w:after="0"/>
              <w:rPr>
                <w:sz w:val="20"/>
                <w:szCs w:val="20"/>
                <w:color w:val="auto"/>
              </w:rPr>
            </w:pPr>
            <w:r>
              <w:rPr>
                <w:rFonts w:ascii="Arial" w:cs="Arial" w:eastAsia="Arial" w:hAnsi="Arial"/>
                <w:sz w:val="18"/>
                <w:szCs w:val="18"/>
                <w:color w:val="auto"/>
                <w:w w:val="89"/>
              </w:rPr>
              <w:t>2.23% to 3.70%</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3.74% to 4.09%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0"/>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280" w:type="dxa"/>
            <w:vAlign w:val="bottom"/>
            <w:shd w:val="clear" w:color="auto" w:fill="CCEEFF"/>
          </w:tcPr>
          <w:p>
            <w:pPr>
              <w:jc w:val="center"/>
              <w:ind w:left="234"/>
              <w:spacing w:after="0"/>
              <w:rPr>
                <w:sz w:val="20"/>
                <w:szCs w:val="20"/>
                <w:color w:val="auto"/>
              </w:rPr>
            </w:pPr>
            <w:r>
              <w:rPr>
                <w:rFonts w:ascii="Arial" w:cs="Arial" w:eastAsia="Arial" w:hAnsi="Arial"/>
                <w:sz w:val="18"/>
                <w:szCs w:val="18"/>
                <w:color w:val="auto"/>
                <w:w w:val="88"/>
              </w:rPr>
              <w:t>39%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6"/>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6"/>
              <w:spacing w:after="0"/>
              <w:rPr>
                <w:sz w:val="20"/>
                <w:szCs w:val="20"/>
                <w:color w:val="auto"/>
              </w:rPr>
            </w:pPr>
            <w:r>
              <w:rPr>
                <w:rFonts w:ascii="Arial" w:cs="Arial" w:eastAsia="Arial" w:hAnsi="Arial"/>
                <w:sz w:val="18"/>
                <w:szCs w:val="18"/>
                <w:color w:val="auto"/>
              </w:rPr>
              <w:t>30%</w:t>
            </w:r>
          </w:p>
        </w:tc>
        <w:tc>
          <w:tcPr>
            <w:tcW w:w="56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2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Dividend yield</w:t>
            </w:r>
          </w:p>
        </w:tc>
        <w:tc>
          <w:tcPr>
            <w:tcW w:w="2120" w:type="dxa"/>
            <w:vAlign w:val="bottom"/>
            <w:gridSpan w:val="5"/>
          </w:tcPr>
          <w:p>
            <w:pPr>
              <w:jc w:val="center"/>
              <w:ind w:right="500"/>
              <w:spacing w:after="0"/>
              <w:rPr>
                <w:sz w:val="20"/>
                <w:szCs w:val="20"/>
                <w:color w:val="auto"/>
              </w:rPr>
            </w:pPr>
            <w:r>
              <w:rPr>
                <w:rFonts w:ascii="Arial" w:cs="Arial" w:eastAsia="Arial" w:hAnsi="Arial"/>
                <w:sz w:val="18"/>
                <w:szCs w:val="18"/>
                <w:color w:val="auto"/>
                <w:w w:val="87"/>
              </w:rPr>
              <w:t>3.8% to 4.0%</w:t>
            </w:r>
          </w:p>
        </w:tc>
        <w:tc>
          <w:tcPr>
            <w:tcW w:w="1140" w:type="dxa"/>
            <w:vAlign w:val="bottom"/>
            <w:gridSpan w:val="2"/>
          </w:tcPr>
          <w:p>
            <w:pPr>
              <w:jc w:val="right"/>
              <w:ind w:right="346"/>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1360" w:type="dxa"/>
            <w:vAlign w:val="bottom"/>
            <w:gridSpan w:val="3"/>
          </w:tcPr>
          <w:p>
            <w:pPr>
              <w:jc w:val="right"/>
              <w:ind w:right="66"/>
              <w:spacing w:after="0"/>
              <w:rPr>
                <w:sz w:val="20"/>
                <w:szCs w:val="20"/>
                <w:color w:val="auto"/>
              </w:rPr>
            </w:pPr>
            <w:r>
              <w:rPr>
                <w:rFonts w:ascii="Arial" w:cs="Arial" w:eastAsia="Arial" w:hAnsi="Arial"/>
                <w:sz w:val="18"/>
                <w:szCs w:val="18"/>
                <w:color w:val="auto"/>
              </w:rPr>
              <w:t>3%</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020" w:type="dxa"/>
            <w:vAlign w:val="bottom"/>
            <w:gridSpan w:val="2"/>
          </w:tcPr>
          <w:p>
            <w:pPr>
              <w:ind w:left="440"/>
              <w:spacing w:after="0"/>
              <w:rPr>
                <w:sz w:val="20"/>
                <w:szCs w:val="20"/>
                <w:color w:val="auto"/>
              </w:rPr>
            </w:pPr>
            <w:r>
              <w:rPr>
                <w:rFonts w:ascii="Arial" w:cs="Arial" w:eastAsia="Arial" w:hAnsi="Arial"/>
                <w:sz w:val="18"/>
                <w:szCs w:val="18"/>
                <w:color w:val="auto"/>
                <w:w w:val="90"/>
              </w:rPr>
              <w:t>Activity in the Equity Incentive Plan, as converted, is as follows:</w:t>
            </w: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0"/>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8"/>
              </w:rPr>
              <w:t>Weighted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Weighted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8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Aggregate</w:t>
            </w: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Average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Remaining</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Intrinsic</w:t>
            </w: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Exercise</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Contractual Life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Value</w:t>
            </w: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(in years)</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9"/>
              </w:rPr>
              <w:t>(in millions)</w:t>
            </w:r>
          </w:p>
        </w:tc>
      </w:tr>
      <w:tr>
        <w:trPr>
          <w:trHeight w:val="210"/>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1280" w:type="dxa"/>
            <w:vAlign w:val="bottom"/>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3,126,560</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$ 14.51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2040" w:type="dxa"/>
            <w:vAlign w:val="bottom"/>
            <w:gridSpan w:val="4"/>
          </w:tcPr>
          <w:p>
            <w:pPr>
              <w:jc w:val="right"/>
              <w:spacing w:after="0"/>
              <w:rPr>
                <w:sz w:val="20"/>
                <w:szCs w:val="20"/>
                <w:color w:val="auto"/>
              </w:rPr>
            </w:pPr>
            <w:r>
              <w:rPr>
                <w:rFonts w:ascii="Arial" w:cs="Arial" w:eastAsia="Arial" w:hAnsi="Arial"/>
                <w:sz w:val="18"/>
                <w:szCs w:val="18"/>
                <w:color w:val="auto"/>
              </w:rPr>
              <w:t>1,186,507</w:t>
            </w: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17.62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21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(388,302)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280" w:type="dxa"/>
            <w:vAlign w:val="bottom"/>
          </w:tcPr>
          <w:p>
            <w:pPr>
              <w:spacing w:after="0"/>
              <w:rPr>
                <w:sz w:val="19"/>
                <w:szCs w:val="19"/>
                <w:color w:val="auto"/>
              </w:rPr>
            </w:pP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(48,541)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13.36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30, 2010</w:t>
            </w:r>
          </w:p>
        </w:tc>
        <w:tc>
          <w:tcPr>
            <w:tcW w:w="1280" w:type="dxa"/>
            <w:vAlign w:val="bottom"/>
            <w:shd w:val="clear" w:color="auto" w:fill="CCEEFF"/>
          </w:tcPr>
          <w:p>
            <w:pPr>
              <w:spacing w:after="0"/>
              <w:rPr>
                <w:sz w:val="18"/>
                <w:szCs w:val="18"/>
                <w:color w:val="auto"/>
              </w:rPr>
            </w:pPr>
          </w:p>
        </w:tc>
        <w:tc>
          <w:tcPr>
            <w:tcW w:w="7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rPr>
              <w:t>3,876,224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$ 15.55</w:t>
            </w:r>
          </w:p>
        </w:tc>
        <w:tc>
          <w:tcPr>
            <w:tcW w:w="2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Exercisable at December 30, 2010</w:t>
            </w:r>
          </w:p>
        </w:tc>
        <w:tc>
          <w:tcPr>
            <w:tcW w:w="2040" w:type="dxa"/>
            <w:vAlign w:val="bottom"/>
            <w:gridSpan w:val="4"/>
          </w:tcPr>
          <w:p>
            <w:pPr>
              <w:jc w:val="right"/>
              <w:spacing w:after="0"/>
              <w:rPr>
                <w:sz w:val="20"/>
                <w:szCs w:val="20"/>
                <w:color w:val="auto"/>
              </w:rPr>
            </w:pPr>
            <w:r>
              <w:rPr>
                <w:rFonts w:ascii="Arial" w:cs="Arial" w:eastAsia="Arial" w:hAnsi="Arial"/>
                <w:sz w:val="18"/>
                <w:szCs w:val="18"/>
                <w:color w:val="auto"/>
              </w:rPr>
              <w:t>1,030,120</w:t>
            </w: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16.45</w:t>
            </w:r>
          </w:p>
        </w:tc>
        <w:tc>
          <w:tcPr>
            <w:tcW w:w="28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9.1</w:t>
            </w:r>
          </w:p>
        </w:tc>
        <w:tc>
          <w:tcPr>
            <w:tcW w:w="56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and Expected to Vest at December 30, 2010</w:t>
            </w:r>
          </w:p>
        </w:tc>
        <w:tc>
          <w:tcPr>
            <w:tcW w:w="2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3,839,382</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2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5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jc w:val="both"/>
        <w:ind w:right="120" w:firstLine="456"/>
        <w:spacing w:after="0" w:line="268" w:lineRule="auto"/>
        <w:rPr>
          <w:sz w:val="20"/>
          <w:szCs w:val="20"/>
          <w:color w:val="auto"/>
        </w:rPr>
      </w:pPr>
      <w:r>
        <w:rPr>
          <w:rFonts w:ascii="Arial" w:cs="Arial" w:eastAsia="Arial" w:hAnsi="Arial"/>
          <w:sz w:val="18"/>
          <w:szCs w:val="18"/>
          <w:color w:val="auto"/>
        </w:rPr>
        <w:t>The following table summarizes information about the stock options at December 30, 2010, including the weighted average remaining contractual life and weighted average exercise price: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Options Outstanding</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Options Exercisable</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spacing w:after="0"/>
              <w:rPr>
                <w:sz w:val="11"/>
                <w:szCs w:val="11"/>
                <w:color w:val="auto"/>
              </w:rPr>
            </w:pPr>
          </w:p>
        </w:tc>
        <w:tc>
          <w:tcPr>
            <w:tcW w:w="156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5"/>
              </w:rPr>
              <w:t>Weighted</w:t>
            </w:r>
          </w:p>
        </w:tc>
        <w:tc>
          <w:tcPr>
            <w:tcW w:w="5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680" w:type="dxa"/>
            <w:vAlign w:val="bottom"/>
          </w:tcPr>
          <w:p>
            <w:pPr>
              <w:spacing w:after="0"/>
              <w:rPr>
                <w:sz w:val="11"/>
                <w:szCs w:val="11"/>
                <w:color w:val="auto"/>
              </w:rPr>
            </w:pP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Number</w:t>
            </w:r>
          </w:p>
        </w:tc>
        <w:tc>
          <w:tcPr>
            <w:tcW w:w="680" w:type="dxa"/>
            <w:vAlign w:val="bottom"/>
          </w:tcPr>
          <w:p>
            <w:pPr>
              <w:spacing w:after="0"/>
              <w:rPr>
                <w:sz w:val="11"/>
                <w:szCs w:val="11"/>
                <w:color w:val="auto"/>
              </w:rPr>
            </w:pPr>
          </w:p>
        </w:tc>
        <w:tc>
          <w:tcPr>
            <w:tcW w:w="5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Outstanding as</w:t>
            </w:r>
          </w:p>
        </w:tc>
        <w:tc>
          <w:tcPr>
            <w:tcW w:w="660" w:type="dxa"/>
            <w:vAlign w:val="bottom"/>
          </w:tcPr>
          <w:p>
            <w:pPr>
              <w:spacing w:after="0"/>
              <w:rPr>
                <w:sz w:val="12"/>
                <w:szCs w:val="12"/>
                <w:color w:val="auto"/>
              </w:rPr>
            </w:pPr>
          </w:p>
        </w:tc>
        <w:tc>
          <w:tcPr>
            <w:tcW w:w="15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3"/>
              </w:rPr>
              <w:t>Average</w:t>
            </w: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6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 as</w:t>
            </w:r>
          </w:p>
        </w:tc>
        <w:tc>
          <w:tcPr>
            <w:tcW w:w="680" w:type="dxa"/>
            <w:vAlign w:val="bottom"/>
          </w:tcPr>
          <w:p>
            <w:pPr>
              <w:spacing w:after="0"/>
              <w:rPr>
                <w:sz w:val="12"/>
                <w:szCs w:val="12"/>
                <w:color w:val="auto"/>
              </w:rPr>
            </w:pPr>
          </w:p>
        </w:tc>
        <w:tc>
          <w:tcPr>
            <w:tcW w:w="6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660" w:type="dxa"/>
            <w:vAlign w:val="bottom"/>
          </w:tcPr>
          <w:p>
            <w:pPr>
              <w:spacing w:after="0"/>
              <w:rPr>
                <w:sz w:val="12"/>
                <w:szCs w:val="12"/>
                <w:color w:val="auto"/>
              </w:rPr>
            </w:pPr>
          </w:p>
        </w:tc>
        <w:tc>
          <w:tcPr>
            <w:tcW w:w="156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Remaining Life</w:t>
            </w:r>
          </w:p>
        </w:tc>
        <w:tc>
          <w:tcPr>
            <w:tcW w:w="5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6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680" w:type="dxa"/>
            <w:vAlign w:val="bottom"/>
          </w:tcPr>
          <w:p>
            <w:pPr>
              <w:spacing w:after="0"/>
              <w:rPr>
                <w:sz w:val="12"/>
                <w:szCs w:val="12"/>
                <w:color w:val="auto"/>
              </w:rPr>
            </w:pPr>
          </w:p>
        </w:tc>
        <w:tc>
          <w:tcPr>
            <w:tcW w:w="6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61"/>
        </w:trPr>
        <w:tc>
          <w:tcPr>
            <w:tcW w:w="4860" w:type="dxa"/>
            <w:vAlign w:val="bottom"/>
            <w:gridSpan w:val="3"/>
          </w:tcPr>
          <w:p>
            <w:pPr>
              <w:spacing w:after="0"/>
              <w:rPr>
                <w:sz w:val="20"/>
                <w:szCs w:val="20"/>
                <w:color w:val="auto"/>
              </w:rPr>
            </w:pPr>
            <w:r>
              <w:rPr>
                <w:rFonts w:ascii="Arial" w:cs="Arial" w:eastAsia="Arial" w:hAnsi="Arial"/>
                <w:sz w:val="14"/>
                <w:szCs w:val="14"/>
                <w:b w:val="1"/>
                <w:bCs w:val="1"/>
                <w:color w:val="auto"/>
              </w:rPr>
              <w:t>Range of Exercise Price</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6"/>
              </w:rPr>
              <w:t>Dec. 30, 2010</w:t>
            </w:r>
          </w:p>
        </w:tc>
        <w:tc>
          <w:tcPr>
            <w:tcW w:w="660" w:type="dxa"/>
            <w:vAlign w:val="bottom"/>
          </w:tcPr>
          <w:p>
            <w:pPr>
              <w:spacing w:after="0"/>
              <w:rPr>
                <w:sz w:val="14"/>
                <w:szCs w:val="14"/>
                <w:color w:val="auto"/>
              </w:rPr>
            </w:pPr>
          </w:p>
        </w:tc>
        <w:tc>
          <w:tcPr>
            <w:tcW w:w="15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(in years)</w:t>
            </w:r>
          </w:p>
        </w:tc>
        <w:tc>
          <w:tcPr>
            <w:tcW w:w="120" w:type="dxa"/>
            <w:vAlign w:val="bottom"/>
          </w:tcPr>
          <w:p>
            <w:pPr>
              <w:spacing w:after="0"/>
              <w:rPr>
                <w:sz w:val="14"/>
                <w:szCs w:val="14"/>
                <w:color w:val="auto"/>
              </w:rPr>
            </w:pPr>
          </w:p>
        </w:tc>
        <w:tc>
          <w:tcPr>
            <w:tcW w:w="440" w:type="dxa"/>
            <w:vAlign w:val="bottom"/>
          </w:tcPr>
          <w:p>
            <w:pPr>
              <w:jc w:val="center"/>
              <w:ind w:right="15"/>
              <w:spacing w:after="0"/>
              <w:rPr>
                <w:sz w:val="20"/>
                <w:szCs w:val="20"/>
                <w:color w:val="auto"/>
              </w:rPr>
            </w:pPr>
            <w:r>
              <w:rPr>
                <w:rFonts w:ascii="Arial" w:cs="Arial" w:eastAsia="Arial" w:hAnsi="Arial"/>
                <w:sz w:val="14"/>
                <w:szCs w:val="14"/>
                <w:b w:val="1"/>
                <w:bCs w:val="1"/>
                <w:color w:val="auto"/>
                <w:w w:val="87"/>
              </w:rPr>
              <w:t>Price</w:t>
            </w:r>
          </w:p>
        </w:tc>
        <w:tc>
          <w:tcPr>
            <w:tcW w:w="68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6"/>
              </w:rPr>
              <w:t>Dec. 30, 2010</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$5.35 – $10.41</w:t>
            </w:r>
          </w:p>
        </w:tc>
        <w:tc>
          <w:tcPr>
            <w:tcW w:w="3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908,640</w:t>
            </w:r>
          </w:p>
        </w:tc>
        <w:tc>
          <w:tcPr>
            <w:tcW w:w="6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175,554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$10.42 – $16.66</w:t>
            </w:r>
          </w:p>
        </w:tc>
        <w:tc>
          <w:tcPr>
            <w:tcW w:w="920" w:type="dxa"/>
            <w:vAlign w:val="bottom"/>
          </w:tcPr>
          <w:p>
            <w:pPr>
              <w:jc w:val="right"/>
              <w:spacing w:after="0"/>
              <w:rPr>
                <w:sz w:val="20"/>
                <w:szCs w:val="20"/>
                <w:color w:val="auto"/>
              </w:rPr>
            </w:pPr>
            <w:r>
              <w:rPr>
                <w:rFonts w:ascii="Arial" w:cs="Arial" w:eastAsia="Arial" w:hAnsi="Arial"/>
                <w:sz w:val="18"/>
                <w:szCs w:val="18"/>
                <w:color w:val="auto"/>
              </w:rPr>
              <w:t>1,250,143</w:t>
            </w:r>
          </w:p>
        </w:tc>
        <w:tc>
          <w:tcPr>
            <w:tcW w:w="2220" w:type="dxa"/>
            <w:vAlign w:val="bottom"/>
            <w:gridSpan w:val="3"/>
          </w:tcPr>
          <w:p>
            <w:pPr>
              <w:jc w:val="right"/>
              <w:ind w:right="66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16.09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578,485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$16.67 – $16.97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973,996</w:t>
            </w:r>
          </w:p>
        </w:tc>
        <w:tc>
          <w:tcPr>
            <w:tcW w:w="22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16.97</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$16.98 – $19.43</w:t>
            </w:r>
          </w:p>
        </w:tc>
        <w:tc>
          <w:tcPr>
            <w:tcW w:w="920" w:type="dxa"/>
            <w:vAlign w:val="bottom"/>
          </w:tcPr>
          <w:p>
            <w:pPr>
              <w:jc w:val="right"/>
              <w:spacing w:after="0"/>
              <w:rPr>
                <w:sz w:val="20"/>
                <w:szCs w:val="20"/>
                <w:color w:val="auto"/>
              </w:rPr>
            </w:pPr>
            <w:r>
              <w:rPr>
                <w:rFonts w:ascii="Arial" w:cs="Arial" w:eastAsia="Arial" w:hAnsi="Arial"/>
                <w:sz w:val="18"/>
                <w:szCs w:val="18"/>
                <w:color w:val="auto"/>
              </w:rPr>
              <w:t>383,079</w:t>
            </w:r>
          </w:p>
        </w:tc>
        <w:tc>
          <w:tcPr>
            <w:tcW w:w="2220" w:type="dxa"/>
            <w:vAlign w:val="bottom"/>
            <w:gridSpan w:val="3"/>
          </w:tcPr>
          <w:p>
            <w:pPr>
              <w:jc w:val="right"/>
              <w:ind w:right="66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18.79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73,330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$19.44 – $29.05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360,366</w:t>
            </w:r>
          </w:p>
        </w:tc>
        <w:tc>
          <w:tcPr>
            <w:tcW w:w="6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22.74</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202,751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3,876,224</w:t>
            </w:r>
          </w:p>
        </w:tc>
        <w:tc>
          <w:tcPr>
            <w:tcW w:w="660" w:type="dxa"/>
            <w:vAlign w:val="bottom"/>
          </w:tcPr>
          <w:p>
            <w:pPr>
              <w:spacing w:after="0"/>
              <w:rPr>
                <w:sz w:val="19"/>
                <w:szCs w:val="19"/>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9.0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15.55</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1,030,120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t>Non-vested (Restricted) Stock—</w:t>
      </w:r>
      <w:r>
        <w:rPr>
          <w:rFonts w:ascii="Arial" w:cs="Arial" w:eastAsia="Arial" w:hAnsi="Arial"/>
          <w:sz w:val="16"/>
          <w:szCs w:val="16"/>
          <w:color w:val="auto"/>
        </w:rPr>
        <w:t>The Company has a non-vested stock program as part of the Equity Incentive Plan. The plan provides for non-vested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to officers, board members and other key employees. Under the non-vested stock program, common stock of the Company may be granted at no cost to officers, board members and key employees, subject to a continued employment restriction and as such restrictions lapse, the award vests in that proportion. The participants are entitled to cash dividends and to vote their respective shares, although the sale and transfer of such shares is prohibited and the shares are subject to forfeiture during the restricted period. Additionally the accrued cash dividends for the 2009 and 2010 grants are subject to forfeiture during the restricted period. The shares are also subject to the terms and provisions of the Equity Incentive Plan. Non-vested stock awards granted in 2010 include performance vesting conditions, which permit vesting to the extent that the Company achieves specified non-GAAP targets at the end of the three-year period. Non-vested stock granted to non-employee directors vest after one year. Compensation cost is valued based on the market price on the grant date and is expensed over the vesting period.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represents the shares of non-vested stock:</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Average Grant-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6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Shares</w:t>
            </w: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Date 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Non-vested as of December 31, 2009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590,374</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62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429,585</w:t>
            </w: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6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(8,011)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6200" w:type="dxa"/>
            <w:vAlign w:val="bottom"/>
            <w:gridSpan w:val="2"/>
          </w:tcPr>
          <w:p>
            <w:pPr>
              <w:spacing w:after="0"/>
              <w:rPr>
                <w:sz w:val="20"/>
                <w:szCs w:val="20"/>
                <w:color w:val="auto"/>
              </w:rPr>
            </w:pPr>
            <w:r>
              <w:rPr>
                <w:rFonts w:ascii="Arial" w:cs="Arial" w:eastAsia="Arial" w:hAnsi="Arial"/>
                <w:sz w:val="18"/>
                <w:szCs w:val="18"/>
                <w:color w:val="auto"/>
              </w:rPr>
              <w:t>Vested</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(96,364)</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Non-vested as of December 30, 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915,584</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Company recorded $7.0 million, $2.4 million and $1.3 million in compensation expense related to such outstanding non-vested shares during the years ended December 30, 2010, December 31, 2009 and January 1, 2009. Of the $7.0 million in compensation expense for the year ended December 30, 2010, $1.6 million was related to the Company’s expected over performance of the specified non-GAAP targets for the 2009 and 2010 grants. During the year ended December 30, 2010 there was $0.1 million capitalized and an immaterial amount for the years ended December 31, 2009 and January 1, 2009. The income tax benefit recognized in the income statement for non-vested shares was $2.1 million, $0.4 million and $0.4 million for the years ended December 30,</w:t>
      </w:r>
    </w:p>
    <w:p>
      <w:pPr>
        <w:spacing w:after="0" w:line="2" w:lineRule="exact"/>
        <w:rPr>
          <w:sz w:val="20"/>
          <w:szCs w:val="20"/>
          <w:color w:val="auto"/>
        </w:rPr>
      </w:pPr>
    </w:p>
    <w:p>
      <w:pPr>
        <w:ind w:right="280"/>
        <w:spacing w:after="0" w:line="320" w:lineRule="auto"/>
        <w:rPr>
          <w:sz w:val="20"/>
          <w:szCs w:val="20"/>
          <w:color w:val="auto"/>
        </w:rPr>
      </w:pPr>
      <w:r>
        <w:rPr>
          <w:rFonts w:ascii="Arial" w:cs="Arial" w:eastAsia="Arial" w:hAnsi="Arial"/>
          <w:sz w:val="15"/>
          <w:szCs w:val="15"/>
          <w:color w:val="auto"/>
        </w:rPr>
        <w:t>2010, December 31, 2009 and January 1, 2009, respectively. As of December 30, 2010, unrecognized compensation cost related to non-vested stock was approximately $11.2 million, which will be recognized over a weighted average remaining period of 1.82 years. The weighted average grant date fair value of non-vested stock was $17.24, $9.50 and $18.97 for the years ended December 30, 2010, December 31, 2009 and January 1, 2009, respectively. The total fair value of awards vested was $1.6 million, $0.3 million and $2.1 million during the years ended December 30, 2010, December 31, 2009 and January 1, 2009.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NCM sponsors the NCM 401(k) Profit Sharing Plan (the “Plan”) under Section 401(k) of the Internal Revenue Code of 1986, as amended, for the benefit of substantially all full-time employees. The Plan provides that participants may contribute up to 20% of their compensation, subject to Internal Revenue Service limitations. Employee contributions are invested in various investment funds based upon election made by the employee. The Company made discretionary contributions of $0.9 million, $0.8 million and $0.8 million during the years ended December 30, 2010, December 31, 2009 and January 1, 2009, respectively.</w:t>
      </w:r>
    </w:p>
    <w:p>
      <w:pPr>
        <w:spacing w:after="0" w:line="188" w:lineRule="exact"/>
        <w:rPr>
          <w:sz w:val="20"/>
          <w:szCs w:val="20"/>
          <w:color w:val="auto"/>
        </w:rPr>
      </w:pPr>
    </w:p>
    <w:p>
      <w:pPr>
        <w:ind w:left="240" w:right="7740" w:hanging="232"/>
        <w:spacing w:after="0" w:line="347" w:lineRule="auto"/>
        <w:tabs>
          <w:tab w:leader="none" w:pos="275"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Legal actions</w:t>
      </w:r>
    </w:p>
    <w:p>
      <w:pPr>
        <w:spacing w:after="0" w:line="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Company is subject to claims and legal actions in the ordinary course of business. The Company believes such claims will not have a material adverse effect on its financial position or results of operations.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Operating Commitments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Company leases office facilities for its headquarters in Centennial, Colorado and also in various cities for its sales and marketing personnel as sales offices. The Company has no capital lease obligations. Total lease expense for the years ended December 30, 2010, December 31, 2009 and January 1, 2009, was $2.2 million, $2.3 million and $2.0 million, respectively.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380"/>
          </w:cols>
          <w:pgMar w:left="240" w:top="459" w:right="2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Future minimum lease payments under noncancelable operating leases as of December 30, 2010 are as follows (in millions):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2012</w:t>
            </w:r>
          </w:p>
        </w:tc>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2014</w:t>
            </w:r>
          </w:p>
        </w:tc>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Thereafter</w:t>
            </w:r>
          </w:p>
        </w:tc>
        <w:tc>
          <w:tcPr>
            <w:tcW w:w="3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19.4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Contingent Put Obligation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On April 29, 2008, NCM LLC, IdeaCast, the IdeaCast lender and certain of its stockholders agreed to a financial restructuring of IdeaCast. Among other things, the restructuring resulted in the lender being granted an option to “put,” or require NCM LLC to purchase, up to $10 million of the funded convertible debt at par, on or after December 31, 2010 through March 31, 2011. The put was accounted for under ASC 460-10 </w:t>
      </w:r>
      <w:r>
        <w:rPr>
          <w:rFonts w:ascii="Arial" w:cs="Arial" w:eastAsia="Arial" w:hAnsi="Arial"/>
          <w:sz w:val="16"/>
          <w:szCs w:val="16"/>
          <w:i w:val="1"/>
          <w:iCs w:val="1"/>
          <w:color w:val="auto"/>
        </w:rPr>
        <w:t>Guarantees</w:t>
      </w:r>
      <w:r>
        <w:rPr>
          <w:rFonts w:ascii="Arial" w:cs="Arial" w:eastAsia="Arial" w:hAnsi="Arial"/>
          <w:sz w:val="16"/>
          <w:szCs w:val="16"/>
          <w:color w:val="auto"/>
        </w:rPr>
        <w:t>. During the fourth quarter of 2008, the Company determined that the initial investment and call right in IdeaCast were other-than-temporarily impaired due to IdeaCast’s defaults on its senior debt and liquidity issues and that the put obligation was probable. The Company estimated a liability at January 1, 2009 of $4.5 million, which represented the excess of the estimated probable loss on the put (net of estimated recoveries from the net assets of IdeaCast that serve as collateral for the convertible debt) obligation over the unamortized ASC 460-10 liability. The total amount of the impairment and related loss recorded in the fourth quarter of 2008 was $11.5 million.</w:t>
      </w:r>
    </w:p>
    <w:p>
      <w:pPr>
        <w:spacing w:after="0" w:line="11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March 19, 2009, NCM LLC, IdeaCast and IdeaCast’s lender agreed to certain transactions with respect to the IdeaCast Credit Agreement. Among other things, these agreements resulted in (i) the termination of the Put and the Call; (ii) the transfer, sale and assignment by IdeaCast’s lender to NCM LLC of all of its right, title and interest under the Credit Agreement, including without limitation the loans outstanding under the Credit Agreement; (iii) the resignation of IdeaCast’s lender, and the appointment of NCM LLC, as administrative agent and collateral agent under the Credit Agreement; and (iv) the delivery by NCM LLC to IdeaCast’s lender of a non-interest bearing promissory note in the amount of $8.5 million payable through January 2011. On June 16, 2009, NCM LLC’s interest in the Credit Agreement was assigned to NCM Out-Of-Home, LLC (“OOH”), which was a wholly-owned subsidiary of NCM LLC. OOH was also appointed as administrative agent and collateral agent under the Credit Agreement. On June 16, 2009, OOH, as IdeaCast’s senior secured lender, foreclosed on substantially all of the assets of IdeaCast, consisting of certain tangible and intangible assets (primarily equipment, business processes and contracts with health clubs and programming partners). The assets were valued at approximately $8.2 million. On June 29, 2009, NCM LLC transferred its ownership interest in OOH to RMG, a digital advertising company, in exchange for approximately 24% of the equity (excluding out-of-the-money warrants) of RMG on a fully diluted basis through a combination of convertible preferred stock, common stock and common stock warrants (refer to Note 2-Other Investment). The Company’s investment in RMG was valued at the fair value of the assets contributed.</w:t>
      </w:r>
    </w:p>
    <w:p>
      <w:pPr>
        <w:spacing w:after="0" w:line="20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Minimum Revenue Guarantees</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part of the network affiliate agreements entered in the ordinary course of business under which the Company sells advertising for display in various theatre chains other than those of the founding members of NCM LLC, the Company has agreed to certain minimum revenue guarantees. If an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initial terms range from two to five years,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prior to any renewal periods. The maximum potential amount of future payments the Company could be required to make pursuant to the minimum revenue guarantees is $14.0 million over the remaining terms of the network affiliate agreements. As of December 30, 2010 and December 31, 2009 the Company had no liabilities recorded for these obligations as such guarantees are less than the expected share of revenue paid to the affiliate.</w:t>
      </w:r>
    </w:p>
    <w:p>
      <w:pPr>
        <w:spacing w:after="0" w:line="182" w:lineRule="exact"/>
        <w:rPr>
          <w:sz w:val="20"/>
          <w:szCs w:val="20"/>
          <w:color w:val="auto"/>
        </w:rPr>
      </w:pPr>
    </w:p>
    <w:p>
      <w:pPr>
        <w:jc w:val="both"/>
        <w:ind w:left="240" w:right="8540" w:hanging="232"/>
        <w:spacing w:after="0" w:line="417" w:lineRule="auto"/>
        <w:tabs>
          <w:tab w:leader="none" w:pos="275" w:val="left"/>
        </w:tabs>
        <w:numPr>
          <w:ilvl w:val="0"/>
          <w:numId w:val="4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FAIR VALUE MEASUREMENTS </w:t>
      </w:r>
      <w:r>
        <w:rPr>
          <w:rFonts w:ascii="Arial" w:cs="Arial" w:eastAsia="Arial" w:hAnsi="Arial"/>
          <w:sz w:val="15"/>
          <w:szCs w:val="15"/>
          <w:b w:val="1"/>
          <w:bCs w:val="1"/>
          <w:i w:val="1"/>
          <w:iCs w:val="1"/>
          <w:color w:val="auto"/>
        </w:rPr>
        <w:t>Fair Value of Financial Instruments</w:t>
      </w:r>
    </w:p>
    <w:p>
      <w:pPr>
        <w:spacing w:after="0" w:line="1" w:lineRule="exact"/>
        <w:rPr>
          <w:sz w:val="20"/>
          <w:szCs w:val="20"/>
          <w:color w:val="auto"/>
        </w:rPr>
      </w:pPr>
    </w:p>
    <w:p>
      <w:pPr>
        <w:jc w:val="both"/>
        <w:ind w:right="40" w:firstLine="456"/>
        <w:spacing w:after="0" w:line="318" w:lineRule="auto"/>
        <w:rPr>
          <w:sz w:val="20"/>
          <w:szCs w:val="20"/>
          <w:color w:val="auto"/>
        </w:rPr>
      </w:pPr>
      <w:r>
        <w:rPr>
          <w:rFonts w:ascii="Arial" w:cs="Arial" w:eastAsia="Arial" w:hAnsi="Arial"/>
          <w:sz w:val="15"/>
          <w:szCs w:val="15"/>
          <w:color w:val="auto"/>
        </w:rPr>
        <w:t>The carrying amounts of cash and other notes payable as reported in the Company’s balance sheets approximate their fair value due to their short maturity. The carrying amount of the revolving credit facility is considered a reasonable estimate of fair value due to its floating-rate terms. The carrying amounts and fair values of interest rate swap agreements are the same since the Company accounts for these instruments at fair value. The Company has estimated the fair value of its term loan based on an average of three non-binding broker quotes and the Company’s analysis to be $713.3 million and $688.8 million at December 30, 2010 and December 31, 2009, respectively. The carrying value of the term loan was $725.0 million as of December 30, 2010 and December 31, 2009.</w:t>
      </w:r>
    </w:p>
    <w:p>
      <w:pPr>
        <w:spacing w:after="0" w:line="100"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 fair value of the investment in RMG networks has not been estimated at December 30, 2010 as there were no monetary equity events or changes in circumstances that may have a significant adverse effect on the fair value of the investment, and as it is not practicable to do so because RMG is not a publicly traded company. The carrying amount of the Company’s investment was $6.7 million and $7.4 million as of December 30, 2010 and December 31, 2009, respectively. Refer to Note 2—Other Investment.</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b w:val="1"/>
          <w:bCs w:val="1"/>
          <w:i w:val="1"/>
          <w:iCs w:val="1"/>
          <w:color w:val="auto"/>
        </w:rPr>
        <w:t>Recurring Measurements</w:t>
      </w:r>
      <w:r>
        <w:rPr>
          <w:rFonts w:ascii="Arial" w:cs="Arial" w:eastAsia="Arial" w:hAnsi="Arial"/>
          <w:sz w:val="18"/>
          <w:szCs w:val="18"/>
          <w:color w:val="auto"/>
        </w:rPr>
        <w:t>—The fair values of the Company’s assets and liabilities measured on a recurring basis pursuant to ASC 820-10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are as follows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60" w:type="dxa"/>
            <w:vAlign w:val="bottom"/>
            <w:gridSpan w:val="11"/>
          </w:tcPr>
          <w:p>
            <w:pPr>
              <w:ind w:left="500"/>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Borders>
              <w:top w:val="single" w:sz="8" w:color="auto"/>
            </w:tcBorders>
            <w:gridSpan w:val="3"/>
          </w:tcPr>
          <w:p>
            <w:pPr>
              <w:jc w:val="center"/>
              <w:ind w:right="80"/>
              <w:spacing w:after="0" w:line="129" w:lineRule="exact"/>
              <w:rPr>
                <w:sz w:val="20"/>
                <w:szCs w:val="20"/>
                <w:color w:val="auto"/>
              </w:rPr>
            </w:pPr>
            <w:r>
              <w:rPr>
                <w:rFonts w:ascii="Arial" w:cs="Arial" w:eastAsia="Arial" w:hAnsi="Arial"/>
                <w:sz w:val="14"/>
                <w:szCs w:val="14"/>
                <w:b w:val="1"/>
                <w:bCs w:val="1"/>
                <w:color w:val="auto"/>
                <w:w w:val="86"/>
              </w:rPr>
              <w:t>Quoted Prices in</w:t>
            </w:r>
          </w:p>
        </w:tc>
        <w:tc>
          <w:tcPr>
            <w:tcW w:w="8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3"/>
          </w:tcPr>
          <w:p>
            <w:pPr>
              <w:jc w:val="center"/>
              <w:ind w:right="12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7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Other</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79"/>
              </w:rPr>
              <w:t>As of</w:t>
            </w: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for</w:t>
            </w:r>
          </w:p>
        </w:tc>
        <w:tc>
          <w:tcPr>
            <w:tcW w:w="800" w:type="dxa"/>
            <w:vAlign w:val="bottom"/>
          </w:tcPr>
          <w:p>
            <w:pPr>
              <w:spacing w:after="0"/>
              <w:rPr>
                <w:sz w:val="12"/>
                <w:szCs w:val="12"/>
                <w:color w:val="auto"/>
              </w:rPr>
            </w:pPr>
          </w:p>
        </w:tc>
        <w:tc>
          <w:tcPr>
            <w:tcW w:w="8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Observable</w:t>
            </w:r>
          </w:p>
        </w:tc>
        <w:tc>
          <w:tcPr>
            <w:tcW w:w="780" w:type="dxa"/>
            <w:vAlign w:val="bottom"/>
          </w:tcPr>
          <w:p>
            <w:pPr>
              <w:spacing w:after="0"/>
              <w:rPr>
                <w:sz w:val="12"/>
                <w:szCs w:val="12"/>
                <w:color w:val="auto"/>
              </w:rPr>
            </w:pPr>
          </w:p>
        </w:tc>
        <w:tc>
          <w:tcPr>
            <w:tcW w:w="9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December 30,</w:t>
            </w:r>
          </w:p>
        </w:tc>
        <w:tc>
          <w:tcPr>
            <w:tcW w:w="800" w:type="dxa"/>
            <w:vAlign w:val="bottom"/>
          </w:tcPr>
          <w:p>
            <w:pPr>
              <w:spacing w:after="0"/>
              <w:rPr>
                <w:sz w:val="12"/>
                <w:szCs w:val="12"/>
                <w:color w:val="auto"/>
              </w:rPr>
            </w:pPr>
          </w:p>
        </w:tc>
        <w:tc>
          <w:tcPr>
            <w:tcW w:w="11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Identical Assets</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Inputs</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center"/>
              <w:ind w:right="137"/>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(Level 1)</w:t>
            </w:r>
          </w:p>
        </w:tc>
        <w:tc>
          <w:tcPr>
            <w:tcW w:w="800" w:type="dxa"/>
            <w:vAlign w:val="bottom"/>
          </w:tcPr>
          <w:p>
            <w:pPr>
              <w:spacing w:after="0"/>
              <w:rPr>
                <w:sz w:val="14"/>
                <w:szCs w:val="14"/>
                <w:color w:val="auto"/>
              </w:rPr>
            </w:pPr>
          </w:p>
        </w:tc>
        <w:tc>
          <w:tcPr>
            <w:tcW w:w="8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(Level 2)</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(Level 3)</w:t>
            </w:r>
          </w:p>
        </w:tc>
        <w:tc>
          <w:tcPr>
            <w:tcW w:w="0" w:type="dxa"/>
            <w:vAlign w:val="bottom"/>
          </w:tcPr>
          <w:p>
            <w:pPr>
              <w:spacing w:after="0"/>
              <w:rPr>
                <w:sz w:val="1"/>
                <w:szCs w:val="1"/>
                <w:color w:val="auto"/>
              </w:rPr>
            </w:pPr>
          </w:p>
        </w:tc>
      </w:tr>
      <w:tr>
        <w:trPr>
          <w:trHeight w:val="210"/>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44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10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28.4</w:t>
            </w:r>
          </w:p>
        </w:tc>
        <w:tc>
          <w:tcPr>
            <w:tcW w:w="9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Short-term investments </w:t>
            </w:r>
            <w:r>
              <w:rPr>
                <w:rFonts w:ascii="Arial" w:cs="Arial" w:eastAsia="Arial" w:hAnsi="Arial"/>
                <w:sz w:val="18"/>
                <w:szCs w:val="18"/>
                <w:i w:val="1"/>
                <w:iCs w:val="1"/>
                <w:color w:val="auto"/>
              </w:rPr>
              <w:t>(2)</w:t>
            </w: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20" w:type="dxa"/>
            <w:vAlign w:val="bottom"/>
            <w:gridSpan w:val="2"/>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jc w:val="right"/>
              <w:ind w:right="67"/>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c>
          <w:tcPr>
            <w:tcW w:w="9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2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25.3)</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8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87"/>
              </w:rPr>
              <w:t>($</w:t>
            </w: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25.3)</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tcPr>
          <w:p>
            <w:pPr>
              <w:ind w:left="440"/>
              <w:spacing w:after="0"/>
              <w:rPr>
                <w:sz w:val="20"/>
                <w:szCs w:val="20"/>
                <w:color w:val="auto"/>
              </w:rPr>
            </w:pPr>
            <w:r>
              <w:rPr>
                <w:rFonts w:ascii="Arial" w:cs="Arial" w:eastAsia="Arial" w:hAnsi="Arial"/>
                <w:sz w:val="18"/>
                <w:szCs w:val="18"/>
                <w:color w:val="auto"/>
              </w:rPr>
              <w:t xml:space="preserve">Current Portion of Interest Rate Swap Agreements </w:t>
            </w:r>
            <w:r>
              <w:rPr>
                <w:rFonts w:ascii="Arial" w:cs="Arial" w:eastAsia="Arial" w:hAnsi="Arial"/>
                <w:sz w:val="18"/>
                <w:szCs w:val="18"/>
                <w:i w:val="1"/>
                <w:iCs w:val="1"/>
                <w:color w:val="auto"/>
              </w:rPr>
              <w:t>(3)</w:t>
            </w:r>
          </w:p>
        </w:tc>
        <w:tc>
          <w:tcPr>
            <w:tcW w:w="220" w:type="dxa"/>
            <w:vAlign w:val="bottom"/>
            <w:vMerge w:val="continue"/>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 xml:space="preserve">Interest Rate Swap Agreements </w:t>
            </w:r>
            <w:r>
              <w:rPr>
                <w:rFonts w:ascii="Arial" w:cs="Arial" w:eastAsia="Arial" w:hAnsi="Arial"/>
                <w:sz w:val="18"/>
                <w:szCs w:val="18"/>
                <w:i w:val="1"/>
                <w:iCs w:val="1"/>
                <w:color w:val="auto"/>
              </w:rPr>
              <w:t>(3)</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(45.5)</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(45.5)</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20" w:type="dxa"/>
            <w:vAlign w:val="bottom"/>
            <w:gridSpan w:val="2"/>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70.8)</w:t>
            </w:r>
          </w:p>
        </w:tc>
        <w:tc>
          <w:tcPr>
            <w:tcW w:w="10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960" w:type="dxa"/>
            <w:vAlign w:val="bottom"/>
            <w:gridSpan w:val="2"/>
          </w:tcPr>
          <w:p>
            <w:pPr>
              <w:ind w:left="8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70.8)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4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i w:val="1"/>
          <w:iCs w:val="1"/>
          <w:color w:val="auto"/>
        </w:rPr>
        <w:t>Cash Equivalents</w:t>
      </w:r>
      <w:r>
        <w:rPr>
          <w:rFonts w:ascii="Arial" w:cs="Arial" w:eastAsia="Arial" w:hAnsi="Arial"/>
          <w:sz w:val="18"/>
          <w:szCs w:val="18"/>
          <w:color w:val="auto"/>
        </w:rPr>
        <w:t>—The Company’s cash equivalents are carried at estimated fair value.</w:t>
      </w:r>
    </w:p>
    <w:p>
      <w:pPr>
        <w:spacing w:after="0" w:line="90" w:lineRule="exact"/>
        <w:rPr>
          <w:rFonts w:ascii="Arial" w:cs="Arial" w:eastAsia="Arial" w:hAnsi="Arial"/>
          <w:sz w:val="18"/>
          <w:szCs w:val="18"/>
          <w:color w:val="auto"/>
        </w:rPr>
      </w:pPr>
    </w:p>
    <w:p>
      <w:pPr>
        <w:ind w:left="460" w:right="320" w:hanging="452"/>
        <w:spacing w:after="0" w:line="298" w:lineRule="auto"/>
        <w:tabs>
          <w:tab w:leader="none" w:pos="460" w:val="left"/>
        </w:tabs>
        <w:numPr>
          <w:ilvl w:val="0"/>
          <w:numId w:val="45"/>
        </w:numPr>
        <w:rPr>
          <w:rFonts w:ascii="Arial" w:cs="Arial" w:eastAsia="Arial" w:hAnsi="Arial"/>
          <w:sz w:val="16"/>
          <w:szCs w:val="16"/>
          <w:i w:val="1"/>
          <w:iCs w:val="1"/>
          <w:color w:val="auto"/>
        </w:rPr>
      </w:pPr>
      <w:r>
        <w:rPr>
          <w:rFonts w:ascii="Arial" w:cs="Arial" w:eastAsia="Arial" w:hAnsi="Arial"/>
          <w:sz w:val="16"/>
          <w:szCs w:val="16"/>
          <w:i w:val="1"/>
          <w:iCs w:val="1"/>
          <w:color w:val="auto"/>
        </w:rPr>
        <w:t>Short-Term Investments</w:t>
      </w:r>
      <w:r>
        <w:rPr>
          <w:rFonts w:ascii="Arial" w:cs="Arial" w:eastAsia="Arial" w:hAnsi="Arial"/>
          <w:sz w:val="16"/>
          <w:szCs w:val="16"/>
          <w:color w:val="auto"/>
        </w:rPr>
        <w:t>—The Company’s short-term investments are classified as available-for-sale and are carried at estimated fair value with any</w:t>
      </w:r>
      <w:r>
        <w:rPr>
          <w:rFonts w:ascii="Arial" w:cs="Arial" w:eastAsia="Arial" w:hAnsi="Arial"/>
          <w:sz w:val="16"/>
          <w:szCs w:val="16"/>
          <w:i w:val="1"/>
          <w:iCs w:val="1"/>
          <w:color w:val="auto"/>
        </w:rPr>
        <w:t xml:space="preserve"> </w:t>
      </w:r>
      <w:r>
        <w:rPr>
          <w:rFonts w:ascii="Arial" w:cs="Arial" w:eastAsia="Arial" w:hAnsi="Arial"/>
          <w:sz w:val="16"/>
          <w:szCs w:val="16"/>
          <w:color w:val="auto"/>
        </w:rPr>
        <w:t>unrealized gains, as well as losses that the Company considers to be temporary, reported net of tax in other comprehensive income within stockholders’ equity. For the year ended December 30, 2010 there was an immaterial amount of net realized gains (losses) recognized in interest income and no net unrealized holding gains (losses) included in other comprehensive income.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color w:val="auto"/>
        </w:rPr>
        <w:t>As of December 30, 2010 the amount of proceeds from sales of available for sale securities was $2.2 million and the gross realized gains on those sales for the year ended December 30, 2010 was immaterial. The Company did not have short term investments in the years ended December 31, 2009 and January 1, 2009.</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6"/>
              </w:rPr>
              <w:t>As of December 30, 2010</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240" w:type="dxa"/>
            <w:vAlign w:val="bottom"/>
          </w:tcPr>
          <w:p>
            <w:pPr>
              <w:spacing w:after="0"/>
              <w:rPr>
                <w:sz w:val="11"/>
                <w:szCs w:val="11"/>
                <w:color w:val="auto"/>
              </w:rPr>
            </w:pPr>
          </w:p>
        </w:tc>
        <w:tc>
          <w:tcPr>
            <w:tcW w:w="700" w:type="dxa"/>
            <w:vAlign w:val="bottom"/>
            <w:gridSpan w:val="2"/>
          </w:tcPr>
          <w:p>
            <w:pPr>
              <w:ind w:left="60"/>
              <w:spacing w:after="0" w:line="129" w:lineRule="exact"/>
              <w:rPr>
                <w:sz w:val="20"/>
                <w:szCs w:val="20"/>
                <w:color w:val="auto"/>
              </w:rPr>
            </w:pPr>
            <w:r>
              <w:rPr>
                <w:rFonts w:ascii="Arial" w:cs="Arial" w:eastAsia="Arial" w:hAnsi="Arial"/>
                <w:sz w:val="14"/>
                <w:szCs w:val="14"/>
                <w:b w:val="1"/>
                <w:bCs w:val="1"/>
                <w:color w:val="auto"/>
                <w:w w:val="90"/>
              </w:rPr>
              <w:t>Amortized</w:t>
            </w:r>
          </w:p>
        </w:tc>
        <w:tc>
          <w:tcPr>
            <w:tcW w:w="980" w:type="dxa"/>
            <w:vAlign w:val="bottom"/>
          </w:tcPr>
          <w:p>
            <w:pPr>
              <w:spacing w:after="0"/>
              <w:rPr>
                <w:sz w:val="11"/>
                <w:szCs w:val="11"/>
                <w:color w:val="auto"/>
              </w:rPr>
            </w:pPr>
          </w:p>
        </w:tc>
        <w:tc>
          <w:tcPr>
            <w:tcW w:w="18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Aggregate Fair</w:t>
            </w:r>
          </w:p>
        </w:tc>
        <w:tc>
          <w:tcPr>
            <w:tcW w:w="7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7"/>
              </w:rPr>
              <w:t>Contractual</w:t>
            </w:r>
          </w:p>
        </w:tc>
        <w:tc>
          <w:tcPr>
            <w:tcW w:w="100" w:type="dxa"/>
            <w:vAlign w:val="bottom"/>
          </w:tcPr>
          <w:p>
            <w:pPr>
              <w:spacing w:after="0"/>
              <w:rPr>
                <w:sz w:val="11"/>
                <w:szCs w:val="11"/>
                <w:color w:val="auto"/>
              </w:rPr>
            </w:pPr>
          </w:p>
        </w:tc>
      </w:tr>
      <w:tr>
        <w:trPr>
          <w:trHeight w:val="149"/>
        </w:trPr>
        <w:tc>
          <w:tcPr>
            <w:tcW w:w="5240" w:type="dxa"/>
            <w:vAlign w:val="bottom"/>
          </w:tcPr>
          <w:p>
            <w:pPr>
              <w:spacing w:after="0"/>
              <w:rPr>
                <w:sz w:val="12"/>
                <w:szCs w:val="12"/>
                <w:color w:val="auto"/>
              </w:rPr>
            </w:pPr>
          </w:p>
        </w:tc>
        <w:tc>
          <w:tcPr>
            <w:tcW w:w="7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85"/>
              </w:rPr>
              <w:t>Cost Basis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gridSpan w:val="2"/>
          </w:tcPr>
          <w:p>
            <w:pPr>
              <w:jc w:val="center"/>
              <w:ind w:right="1080"/>
              <w:spacing w:after="0" w:line="149" w:lineRule="exact"/>
              <w:rPr>
                <w:sz w:val="20"/>
                <w:szCs w:val="20"/>
                <w:color w:val="auto"/>
              </w:rPr>
            </w:pPr>
            <w:r>
              <w:rPr>
                <w:rFonts w:ascii="Arial" w:cs="Arial" w:eastAsia="Arial" w:hAnsi="Arial"/>
                <w:sz w:val="14"/>
                <w:szCs w:val="14"/>
                <w:b w:val="1"/>
                <w:bCs w:val="1"/>
                <w:color w:val="auto"/>
                <w:w w:val="85"/>
              </w:rPr>
              <w:t>Value</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Maturities</w:t>
            </w:r>
          </w:p>
        </w:tc>
      </w:tr>
      <w:tr>
        <w:trPr>
          <w:trHeight w:val="161"/>
        </w:trPr>
        <w:tc>
          <w:tcPr>
            <w:tcW w:w="52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(in millions)</w:t>
            </w: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2"/>
          </w:tcPr>
          <w:p>
            <w:pPr>
              <w:jc w:val="center"/>
              <w:ind w:right="1080"/>
              <w:spacing w:after="0"/>
              <w:rPr>
                <w:sz w:val="20"/>
                <w:szCs w:val="20"/>
                <w:color w:val="auto"/>
              </w:rPr>
            </w:pPr>
            <w:r>
              <w:rPr>
                <w:rFonts w:ascii="Arial" w:cs="Arial" w:eastAsia="Arial" w:hAnsi="Arial"/>
                <w:sz w:val="14"/>
                <w:szCs w:val="14"/>
                <w:b w:val="1"/>
                <w:bCs w:val="1"/>
                <w:color w:val="auto"/>
                <w:w w:val="86"/>
              </w:rPr>
              <w:t>(in millions)</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(in years)</w:t>
            </w: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3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ind w:left="440"/>
              <w:spacing w:after="0"/>
              <w:rPr>
                <w:sz w:val="20"/>
                <w:szCs w:val="20"/>
                <w:color w:val="auto"/>
              </w:rPr>
            </w:pPr>
            <w:r>
              <w:rPr>
                <w:rFonts w:ascii="Arial" w:cs="Arial" w:eastAsia="Arial" w:hAnsi="Arial"/>
                <w:sz w:val="18"/>
                <w:szCs w:val="18"/>
                <w:color w:val="auto"/>
              </w:rPr>
              <w:t>Agency</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1080" w:type="dxa"/>
            <w:vAlign w:val="bottom"/>
            <w:gridSpan w:val="2"/>
          </w:tcPr>
          <w:p>
            <w:pPr>
              <w:ind w:left="980"/>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980"/>
              <w:spacing w:after="0"/>
              <w:rPr>
                <w:sz w:val="20"/>
                <w:szCs w:val="20"/>
                <w:color w:val="auto"/>
              </w:rPr>
            </w:pPr>
            <w:r>
              <w:rPr>
                <w:rFonts w:ascii="Arial" w:cs="Arial" w:eastAsia="Arial" w:hAnsi="Arial"/>
                <w:sz w:val="18"/>
                <w:szCs w:val="18"/>
                <w:color w:val="auto"/>
              </w:rPr>
              <w:t>5.0</w:t>
            </w:r>
          </w:p>
        </w:tc>
        <w:tc>
          <w:tcPr>
            <w:tcW w:w="7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Financial</w:t>
            </w:r>
          </w:p>
        </w:tc>
        <w:tc>
          <w:tcPr>
            <w:tcW w:w="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9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9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r>
      <w:tr>
        <w:trPr>
          <w:trHeight w:val="222"/>
        </w:trPr>
        <w:tc>
          <w:tcPr>
            <w:tcW w:w="5240" w:type="dxa"/>
            <w:vAlign w:val="bottom"/>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8.5</w:t>
            </w:r>
          </w:p>
        </w:tc>
        <w:tc>
          <w:tcPr>
            <w:tcW w:w="1080" w:type="dxa"/>
            <w:vAlign w:val="bottom"/>
            <w:gridSpan w:val="2"/>
          </w:tcPr>
          <w:p>
            <w:pPr>
              <w:ind w:left="980"/>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980"/>
              <w:spacing w:after="0"/>
              <w:rPr>
                <w:sz w:val="20"/>
                <w:szCs w:val="20"/>
                <w:color w:val="auto"/>
              </w:rPr>
            </w:pPr>
            <w:r>
              <w:rPr>
                <w:rFonts w:ascii="Arial" w:cs="Arial" w:eastAsia="Arial" w:hAnsi="Arial"/>
                <w:sz w:val="18"/>
                <w:szCs w:val="18"/>
                <w:color w:val="auto"/>
              </w:rPr>
              <w:t>8.5</w:t>
            </w:r>
          </w:p>
        </w:tc>
        <w:tc>
          <w:tcPr>
            <w:tcW w:w="70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i w:val="1"/>
          <w:iCs w:val="1"/>
          <w:color w:val="auto"/>
        </w:rPr>
      </w:pPr>
      <w:r>
        <w:rPr>
          <w:rFonts w:ascii="Arial" w:cs="Arial" w:eastAsia="Arial" w:hAnsi="Arial"/>
          <w:sz w:val="18"/>
          <w:szCs w:val="18"/>
          <w:i w:val="1"/>
          <w:iCs w:val="1"/>
          <w:color w:val="auto"/>
        </w:rPr>
        <w:t>Interest Rate Swap Agreements</w:t>
      </w:r>
      <w:r>
        <w:rPr>
          <w:rFonts w:ascii="Arial" w:cs="Arial" w:eastAsia="Arial" w:hAnsi="Arial"/>
          <w:sz w:val="18"/>
          <w:szCs w:val="18"/>
          <w:color w:val="auto"/>
        </w:rPr>
        <w:t>—Refer to Note 16.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DERIVATIVE INSTRUMENTS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NCM LLC has interest rate swap agreements with four counterparties that, at their inception, qualified for and were designated as cash flow hedges against interest rate exposure on $550.0 million of the variable rate debt obligations under the senior secured credit facility. The interest rate swap agreements have the effect of converting a portion of the Company’s variable rate debt to a fixed rate of 6.734%. All interest rate swaps were entered into for risk management purposes. The Company has no derivatives for other purposes.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Effective February 8, 2010, NCM LLC entered into a novation agreement with LBSF and Barclays whereby LBSF transferred to Barclays all the rights, liabilities, duties and obligations of NCM LLC’s interest rate swap agreement with LBSF with identical terms. NCM LLC accepted Barclays as its sole counterparty with respect to the new agreement. The term runs until February 13, 2015, subject to earlier termination upon the occurrence of certain specified events. Subject to the terms of the new agreement, NCM LLC or Barclays will make payments at specified intervals based on the variance between LIBOR and a fixed rate of 4.984% on a notional amount of $137.5 million. NCM LLC effectively pays a rate of 6.734% on this notional amount inclusive of the 1.75% margin currently required by NCM LLC’s credit agreement. The agreement with Barclays is secured by the assets of NCM LLC on a pari passu basis with the credit agreement and the other interest rates swaps that were entered into by NCM LLC. In consideration of LBSF entering into the transfer, NCM LLC agreed to pay to LBSF the full amount of interest rate swap payments withheld since LBSF’s default, aggregating $7.0 million, and an immaterial amount of penalty interest.</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Cash flow hedge accounting was discontinued on September 15, 2008 due to the event of default created by the bankruptcy of Lehman and the inability of the Company to continue to demonstrate the swap would be effective. The Company did not elect cash flow hedge accounting and the interest rate swap with Barclays is recorded at fair value with any change in the fair value recorded in the statement of operations. There was a $4.0 million increase, $8.3 million decrease and $13.8 million increase in the fair value of the liability for the years ended December 30, 2010, December 31, 2009 and January 1, 2009, respectively, which the Company recorded as a component of interest expense and other, net.</w:t>
      </w:r>
    </w:p>
    <w:p>
      <w:pPr>
        <w:spacing w:after="0" w:line="116" w:lineRule="exact"/>
        <w:rPr>
          <w:sz w:val="20"/>
          <w:szCs w:val="20"/>
          <w:color w:val="auto"/>
        </w:rPr>
      </w:pPr>
    </w:p>
    <w:p>
      <w:pPr>
        <w:ind w:right="160" w:firstLine="456"/>
        <w:spacing w:after="0" w:line="254" w:lineRule="auto"/>
        <w:rPr>
          <w:sz w:val="20"/>
          <w:szCs w:val="20"/>
          <w:color w:val="auto"/>
        </w:rPr>
      </w:pPr>
      <w:r>
        <w:rPr>
          <w:rFonts w:ascii="Arial" w:cs="Arial" w:eastAsia="Arial" w:hAnsi="Arial"/>
          <w:sz w:val="18"/>
          <w:szCs w:val="18"/>
          <w:color w:val="auto"/>
        </w:rPr>
        <w:t xml:space="preserve">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net derivative loss as of September 14, 2008 related to the discontinued cash flow hedge with LBSF shall continue to be reported in accumulated other comprehensive income unless it is probable that the forecasted transaction will not occur by the end of the originally specified time period. Accordingly, the net derivative loss is being amortized to interest expense over the remaining term of the interest rate swap through February 13, 2015. The amount amortized during the years ended December 30, 2010, December 31, 2009 and January 1, 2009 were $1.3 million, $1.3 million and $0.4 million, respectively. The Company estimates approximately $1.3 million will be amortized to interest expense and other net in the next 12 months.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Both at inception and on an on-going basis the Company performs an effectiveness test using the hypothetical derivative method. The fair values of the interest rate swaps with the counterparties other than Barclays (representing notional amounts of $412.5 million associated with a like amount of the variable rate debt) are recorded on the Company’s balance sheet as a liability with the change in fair value recorded in other comprehensive income since the instruments were determined to be perfectly effective at December 30, 2010 and December 31, 2009. There were no amounts reclassified into current earnings due to ineffectiveness during the periods presented other than as described herein.</w:t>
      </w:r>
    </w:p>
    <w:p>
      <w:pPr>
        <w:spacing w:after="0" w:line="1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fair value of the Company’s interest rate swap is based on dealer quotes, and represents an estimate of the amount the Company would receive or pay to terminate the agreements taking into consideration various factors, including current interest rates and the forward yield curve for 3-month LIBOR.</w:t>
      </w:r>
    </w:p>
    <w:p>
      <w:pPr>
        <w:spacing w:after="0" w:line="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of December 30, 2010 and December 31, 2009, the estimated fair value and line item caption of derivative instruments recorded were as follows (in millions):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Liability Derivatives</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19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As of December 30, 2010</w:t>
            </w: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9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As of December 31, 2009</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940" w:type="dxa"/>
            <w:vAlign w:val="bottom"/>
            <w:gridSpan w:val="2"/>
          </w:tcPr>
          <w:p>
            <w:pPr>
              <w:jc w:val="right"/>
              <w:ind w:right="780"/>
              <w:spacing w:after="0" w:line="129" w:lineRule="exact"/>
              <w:rPr>
                <w:sz w:val="20"/>
                <w:szCs w:val="20"/>
                <w:color w:val="auto"/>
              </w:rPr>
            </w:pPr>
            <w:r>
              <w:rPr>
                <w:rFonts w:ascii="Arial" w:cs="Arial" w:eastAsia="Arial" w:hAnsi="Arial"/>
                <w:sz w:val="14"/>
                <w:szCs w:val="14"/>
                <w:b w:val="1"/>
                <w:bCs w:val="1"/>
                <w:color w:val="auto"/>
              </w:rPr>
              <w:t>Balance Sheet</w:t>
            </w:r>
          </w:p>
        </w:tc>
        <w:tc>
          <w:tcPr>
            <w:tcW w:w="100" w:type="dxa"/>
            <w:vAlign w:val="bottom"/>
          </w:tcPr>
          <w:p>
            <w:pPr>
              <w:spacing w:after="0"/>
              <w:rPr>
                <w:sz w:val="11"/>
                <w:szCs w:val="11"/>
                <w:color w:val="auto"/>
              </w:rPr>
            </w:pPr>
          </w:p>
        </w:tc>
        <w:tc>
          <w:tcPr>
            <w:tcW w:w="360" w:type="dxa"/>
            <w:vAlign w:val="bottom"/>
          </w:tcPr>
          <w:p>
            <w:pPr>
              <w:spacing w:after="0" w:line="129" w:lineRule="exact"/>
              <w:rPr>
                <w:sz w:val="20"/>
                <w:szCs w:val="20"/>
                <w:color w:val="auto"/>
              </w:rPr>
            </w:pPr>
            <w:r>
              <w:rPr>
                <w:rFonts w:ascii="Arial" w:cs="Arial" w:eastAsia="Arial" w:hAnsi="Arial"/>
                <w:sz w:val="14"/>
                <w:szCs w:val="14"/>
                <w:b w:val="1"/>
                <w:bCs w:val="1"/>
                <w:color w:val="auto"/>
              </w:rPr>
              <w:t>Fair</w:t>
            </w:r>
          </w:p>
        </w:tc>
        <w:tc>
          <w:tcPr>
            <w:tcW w:w="420" w:type="dxa"/>
            <w:vAlign w:val="bottom"/>
          </w:tcPr>
          <w:p>
            <w:pPr>
              <w:spacing w:after="0"/>
              <w:rPr>
                <w:sz w:val="11"/>
                <w:szCs w:val="11"/>
                <w:color w:val="auto"/>
              </w:rPr>
            </w:pPr>
          </w:p>
        </w:tc>
        <w:tc>
          <w:tcPr>
            <w:tcW w:w="1940" w:type="dxa"/>
            <w:vAlign w:val="bottom"/>
            <w:gridSpan w:val="2"/>
          </w:tcPr>
          <w:p>
            <w:pPr>
              <w:jc w:val="right"/>
              <w:ind w:right="760"/>
              <w:spacing w:after="0" w:line="129" w:lineRule="exact"/>
              <w:rPr>
                <w:sz w:val="20"/>
                <w:szCs w:val="20"/>
                <w:color w:val="auto"/>
              </w:rPr>
            </w:pPr>
            <w:r>
              <w:rPr>
                <w:rFonts w:ascii="Arial" w:cs="Arial" w:eastAsia="Arial" w:hAnsi="Arial"/>
                <w:sz w:val="14"/>
                <w:szCs w:val="14"/>
                <w:b w:val="1"/>
                <w:bCs w:val="1"/>
                <w:color w:val="auto"/>
              </w:rPr>
              <w:t>Balance Sheet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93"/>
              </w:rPr>
              <w:t>Fair</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9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Location</w:t>
            </w: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Value</w:t>
            </w:r>
          </w:p>
        </w:tc>
        <w:tc>
          <w:tcPr>
            <w:tcW w:w="194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Location</w:t>
            </w:r>
          </w:p>
        </w:tc>
        <w:tc>
          <w:tcPr>
            <w:tcW w:w="20" w:type="dxa"/>
            <w:vAlign w:val="bottom"/>
          </w:tcPr>
          <w:p>
            <w:pPr>
              <w:spacing w:after="0"/>
              <w:rPr>
                <w:sz w:val="14"/>
                <w:szCs w:val="14"/>
                <w:color w:val="auto"/>
              </w:rPr>
            </w:pPr>
          </w:p>
        </w:tc>
        <w:tc>
          <w:tcPr>
            <w:tcW w:w="580" w:type="dxa"/>
            <w:vAlign w:val="bottom"/>
            <w:gridSpan w:val="3"/>
          </w:tcPr>
          <w:p>
            <w:pPr>
              <w:ind w:left="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w w:val="94"/>
              </w:rPr>
              <w:t>Derivatives designated as hedging instruments in cash flow hedges:</w:t>
            </w:r>
          </w:p>
        </w:tc>
        <w:tc>
          <w:tcPr>
            <w:tcW w:w="15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Current portion of interest rate swap agreements</w:t>
            </w:r>
          </w:p>
        </w:tc>
        <w:tc>
          <w:tcPr>
            <w:tcW w:w="1940" w:type="dxa"/>
            <w:vAlign w:val="bottom"/>
            <w:gridSpan w:val="2"/>
          </w:tcPr>
          <w:p>
            <w:pPr>
              <w:jc w:val="right"/>
              <w:ind w:right="42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w w:val="96"/>
              </w:rPr>
              <w:t>19.0</w:t>
            </w:r>
          </w:p>
        </w:tc>
        <w:tc>
          <w:tcPr>
            <w:tcW w:w="1940" w:type="dxa"/>
            <w:vAlign w:val="bottom"/>
            <w:gridSpan w:val="2"/>
          </w:tcPr>
          <w:p>
            <w:pPr>
              <w:jc w:val="right"/>
              <w:ind w:right="400"/>
              <w:spacing w:after="0"/>
              <w:rPr>
                <w:sz w:val="20"/>
                <w:szCs w:val="20"/>
                <w:color w:val="auto"/>
              </w:rPr>
            </w:pPr>
            <w:r>
              <w:rPr>
                <w:rFonts w:ascii="Arial" w:cs="Arial" w:eastAsia="Arial" w:hAnsi="Arial"/>
                <w:sz w:val="18"/>
                <w:szCs w:val="18"/>
                <w:color w:val="auto"/>
              </w:rPr>
              <w:t>Current Liabilities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Swaps</w:t>
            </w:r>
          </w:p>
        </w:tc>
        <w:tc>
          <w:tcPr>
            <w:tcW w:w="1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6"/>
              </w:rPr>
              <w:t>34.1</w:t>
            </w:r>
          </w:p>
        </w:tc>
        <w:tc>
          <w:tcPr>
            <w:tcW w:w="1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Other Liabilities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1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interest rate swap agreements</w:t>
            </w:r>
          </w:p>
        </w:tc>
        <w:tc>
          <w:tcPr>
            <w:tcW w:w="19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w:t>
            </w:r>
          </w:p>
        </w:tc>
        <w:tc>
          <w:tcPr>
            <w:tcW w:w="1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Current Liabilities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Interest Rate Swaps</w:t>
            </w:r>
          </w:p>
        </w:tc>
        <w:tc>
          <w:tcPr>
            <w:tcW w:w="1940" w:type="dxa"/>
            <w:vAlign w:val="bottom"/>
            <w:gridSpan w:val="2"/>
          </w:tcPr>
          <w:p>
            <w:pPr>
              <w:jc w:val="right"/>
              <w:ind w:right="420"/>
              <w:spacing w:after="0"/>
              <w:rPr>
                <w:sz w:val="20"/>
                <w:szCs w:val="20"/>
                <w:color w:val="auto"/>
              </w:rPr>
            </w:pPr>
            <w:r>
              <w:rPr>
                <w:rFonts w:ascii="Arial" w:cs="Arial" w:eastAsia="Arial" w:hAnsi="Arial"/>
                <w:sz w:val="18"/>
                <w:szCs w:val="18"/>
                <w:color w:val="auto"/>
              </w:rPr>
              <w:t>Other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20"/>
              <w:spacing w:after="0"/>
              <w:rPr>
                <w:sz w:val="20"/>
                <w:szCs w:val="20"/>
                <w:color w:val="auto"/>
              </w:rPr>
            </w:pPr>
            <w:r>
              <w:rPr>
                <w:rFonts w:ascii="Arial" w:cs="Arial" w:eastAsia="Arial" w:hAnsi="Arial"/>
                <w:sz w:val="18"/>
                <w:szCs w:val="18"/>
                <w:color w:val="auto"/>
                <w:w w:val="96"/>
              </w:rPr>
              <w:t>11.4</w:t>
            </w:r>
          </w:p>
        </w:tc>
        <w:tc>
          <w:tcPr>
            <w:tcW w:w="1940" w:type="dxa"/>
            <w:vAlign w:val="bottom"/>
            <w:gridSpan w:val="2"/>
          </w:tcPr>
          <w:p>
            <w:pPr>
              <w:jc w:val="right"/>
              <w:ind w:right="400"/>
              <w:spacing w:after="0"/>
              <w:rPr>
                <w:sz w:val="20"/>
                <w:szCs w:val="20"/>
                <w:color w:val="auto"/>
              </w:rPr>
            </w:pPr>
            <w:r>
              <w:rPr>
                <w:rFonts w:ascii="Arial" w:cs="Arial" w:eastAsia="Arial" w:hAnsi="Arial"/>
                <w:sz w:val="18"/>
                <w:szCs w:val="18"/>
                <w:color w:val="auto"/>
              </w:rPr>
              <w:t>Other Liabilities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6"/>
              </w:rPr>
              <w:t>70.8</w:t>
            </w: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54.6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80" w:firstLine="456"/>
        <w:spacing w:after="0" w:line="268" w:lineRule="auto"/>
        <w:rPr>
          <w:sz w:val="20"/>
          <w:szCs w:val="20"/>
          <w:color w:val="auto"/>
        </w:rPr>
      </w:pPr>
      <w:r>
        <w:rPr>
          <w:rFonts w:ascii="Arial" w:cs="Arial" w:eastAsia="Arial" w:hAnsi="Arial"/>
          <w:sz w:val="18"/>
          <w:szCs w:val="18"/>
          <w:color w:val="auto"/>
        </w:rPr>
        <w:t>The effect of derivative instruments in cash flow hedge relationships on the consolidated financial statements for the years ended December 30, 2010, December 31, 2009 and January 1, 2009 were as follows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420" w:type="dxa"/>
            <w:vAlign w:val="bottom"/>
            <w:tcBorders>
              <w:right w:val="single" w:sz="8" w:color="auto"/>
            </w:tcBorders>
            <w:gridSpan w:val="8"/>
          </w:tcPr>
          <w:p>
            <w:pPr>
              <w:jc w:val="center"/>
              <w:ind w:right="420"/>
              <w:spacing w:after="0"/>
              <w:rPr>
                <w:sz w:val="20"/>
                <w:szCs w:val="20"/>
                <w:color w:val="auto"/>
              </w:rPr>
            </w:pPr>
            <w:r>
              <w:rPr>
                <w:rFonts w:ascii="Arial" w:cs="Arial" w:eastAsia="Arial" w:hAnsi="Arial"/>
                <w:sz w:val="14"/>
                <w:szCs w:val="14"/>
                <w:b w:val="1"/>
                <w:bCs w:val="1"/>
                <w:color w:val="auto"/>
                <w:w w:val="86"/>
              </w:rPr>
              <w:t>Unrealized Gain (Loss)</w:t>
            </w:r>
          </w:p>
        </w:tc>
        <w:tc>
          <w:tcPr>
            <w:tcW w:w="200" w:type="dxa"/>
            <w:vAlign w:val="bottom"/>
          </w:tcPr>
          <w:p>
            <w:pPr>
              <w:spacing w:after="0"/>
              <w:rPr>
                <w:sz w:val="13"/>
                <w:szCs w:val="13"/>
                <w:color w:val="auto"/>
              </w:rPr>
            </w:pPr>
          </w:p>
        </w:tc>
        <w:tc>
          <w:tcPr>
            <w:tcW w:w="206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87"/>
              </w:rPr>
              <w:t>Realized Gain (Loss)</w:t>
            </w:r>
          </w:p>
        </w:tc>
      </w:tr>
      <w:tr>
        <w:trPr>
          <w:trHeight w:val="149"/>
        </w:trPr>
        <w:tc>
          <w:tcPr>
            <w:tcW w:w="40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420" w:type="dxa"/>
            <w:vAlign w:val="bottom"/>
            <w:tcBorders>
              <w:right w:val="single" w:sz="8" w:color="auto"/>
            </w:tcBorders>
            <w:gridSpan w:val="8"/>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Recognized in NCM, Inc’s</w:t>
            </w:r>
          </w:p>
        </w:tc>
        <w:tc>
          <w:tcPr>
            <w:tcW w:w="200" w:type="dxa"/>
            <w:vAlign w:val="bottom"/>
          </w:tcPr>
          <w:p>
            <w:pPr>
              <w:spacing w:after="0"/>
              <w:rPr>
                <w:sz w:val="12"/>
                <w:szCs w:val="12"/>
                <w:color w:val="auto"/>
              </w:rPr>
            </w:pPr>
          </w:p>
        </w:tc>
        <w:tc>
          <w:tcPr>
            <w:tcW w:w="206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Recognized in Interest</w:t>
            </w:r>
          </w:p>
        </w:tc>
      </w:tr>
      <w:tr>
        <w:trPr>
          <w:trHeight w:val="161"/>
        </w:trPr>
        <w:tc>
          <w:tcPr>
            <w:tcW w:w="40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3"/>
              </w:rPr>
              <w:t>OCI (Pre-tax)</w:t>
            </w: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Borders>
              <w:bottom w:val="single" w:sz="8" w:color="auto"/>
            </w:tcBorders>
            <w:gridSpan w:val="4"/>
          </w:tcPr>
          <w:p>
            <w:pPr>
              <w:jc w:val="center"/>
              <w:ind w:left="370"/>
              <w:spacing w:after="0"/>
              <w:rPr>
                <w:sz w:val="20"/>
                <w:szCs w:val="20"/>
                <w:color w:val="auto"/>
              </w:rPr>
            </w:pPr>
            <w:r>
              <w:rPr>
                <w:rFonts w:ascii="Arial" w:cs="Arial" w:eastAsia="Arial" w:hAnsi="Arial"/>
                <w:sz w:val="14"/>
                <w:szCs w:val="14"/>
                <w:b w:val="1"/>
                <w:bCs w:val="1"/>
                <w:color w:val="auto"/>
                <w:w w:val="87"/>
              </w:rPr>
              <w:t>Expense (Pre-tax)</w:t>
            </w: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06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56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2"/>
              </w:rPr>
              <w:t>Year</w:t>
            </w:r>
          </w:p>
        </w:tc>
        <w:tc>
          <w:tcPr>
            <w:tcW w:w="200" w:type="dxa"/>
            <w:vAlign w:val="bottom"/>
          </w:tcPr>
          <w:p>
            <w:pPr>
              <w:spacing w:after="0"/>
              <w:rPr>
                <w:sz w:val="11"/>
                <w:szCs w:val="11"/>
                <w:color w:val="auto"/>
              </w:rPr>
            </w:pPr>
          </w:p>
        </w:tc>
        <w:tc>
          <w:tcPr>
            <w:tcW w:w="7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Year</w:t>
            </w:r>
          </w:p>
        </w:tc>
        <w:tc>
          <w:tcPr>
            <w:tcW w:w="80" w:type="dxa"/>
            <w:vAlign w:val="bottom"/>
          </w:tcPr>
          <w:p>
            <w:pPr>
              <w:spacing w:after="0"/>
              <w:rPr>
                <w:sz w:val="11"/>
                <w:szCs w:val="11"/>
                <w:color w:val="auto"/>
              </w:rPr>
            </w:pPr>
          </w:p>
        </w:tc>
        <w:tc>
          <w:tcPr>
            <w:tcW w:w="4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Year</w:t>
            </w:r>
          </w:p>
        </w:tc>
        <w:tc>
          <w:tcPr>
            <w:tcW w:w="42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2"/>
              </w:rPr>
              <w:t>Year</w:t>
            </w:r>
          </w:p>
        </w:tc>
        <w:tc>
          <w:tcPr>
            <w:tcW w:w="74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5"/>
              </w:rPr>
              <w:t>Year</w:t>
            </w:r>
          </w:p>
        </w:tc>
        <w:tc>
          <w:tcPr>
            <w:tcW w:w="40" w:type="dxa"/>
            <w:vAlign w:val="bottom"/>
          </w:tcPr>
          <w:p>
            <w:pPr>
              <w:spacing w:after="0"/>
              <w:rPr>
                <w:sz w:val="11"/>
                <w:szCs w:val="11"/>
                <w:color w:val="auto"/>
              </w:rPr>
            </w:pPr>
          </w:p>
        </w:tc>
        <w:tc>
          <w:tcPr>
            <w:tcW w:w="4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1"/>
                <w:szCs w:val="11"/>
                <w:color w:val="auto"/>
              </w:rPr>
            </w:pPr>
          </w:p>
        </w:tc>
      </w:tr>
      <w:tr>
        <w:trPr>
          <w:trHeight w:val="149"/>
        </w:trPr>
        <w:tc>
          <w:tcPr>
            <w:tcW w:w="40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880" w:type="dxa"/>
            <w:vAlign w:val="bottom"/>
            <w:tcBorders>
              <w:right w:val="single" w:sz="8" w:color="auto"/>
            </w:tcBorders>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Ended</w:t>
            </w:r>
          </w:p>
        </w:tc>
        <w:tc>
          <w:tcPr>
            <w:tcW w:w="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40" w:type="dxa"/>
            <w:vAlign w:val="bottom"/>
          </w:tcPr>
          <w:p>
            <w:pPr>
              <w:spacing w:after="0"/>
              <w:rPr>
                <w:sz w:val="12"/>
                <w:szCs w:val="12"/>
                <w:color w:val="auto"/>
              </w:rPr>
            </w:pPr>
          </w:p>
        </w:tc>
        <w:tc>
          <w:tcPr>
            <w:tcW w:w="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40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Dec. 30,</w:t>
            </w:r>
          </w:p>
        </w:tc>
        <w:tc>
          <w:tcPr>
            <w:tcW w:w="200" w:type="dxa"/>
            <w:vAlign w:val="bottom"/>
          </w:tcPr>
          <w:p>
            <w:pPr>
              <w:spacing w:after="0"/>
              <w:rPr>
                <w:sz w:val="12"/>
                <w:szCs w:val="12"/>
                <w:color w:val="auto"/>
              </w:rPr>
            </w:pP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Dec. 31,</w:t>
            </w:r>
          </w:p>
        </w:tc>
        <w:tc>
          <w:tcPr>
            <w:tcW w:w="80" w:type="dxa"/>
            <w:vAlign w:val="bottom"/>
          </w:tcPr>
          <w:p>
            <w:pPr>
              <w:spacing w:after="0"/>
              <w:rPr>
                <w:sz w:val="12"/>
                <w:szCs w:val="12"/>
                <w:color w:val="auto"/>
              </w:rPr>
            </w:pPr>
          </w:p>
        </w:tc>
        <w:tc>
          <w:tcPr>
            <w:tcW w:w="880" w:type="dxa"/>
            <w:vAlign w:val="bottom"/>
            <w:tcBorders>
              <w:right w:val="single" w:sz="8" w:color="auto"/>
            </w:tcBorders>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Jan. 1,</w:t>
            </w:r>
          </w:p>
        </w:tc>
        <w:tc>
          <w:tcPr>
            <w:tcW w:w="200" w:type="dxa"/>
            <w:vAlign w:val="bottom"/>
          </w:tcPr>
          <w:p>
            <w:pPr>
              <w:spacing w:after="0"/>
              <w:rPr>
                <w:sz w:val="12"/>
                <w:szCs w:val="12"/>
                <w:color w:val="auto"/>
              </w:rPr>
            </w:pPr>
          </w:p>
        </w:tc>
        <w:tc>
          <w:tcPr>
            <w:tcW w:w="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Dec. 30,</w:t>
            </w:r>
          </w:p>
        </w:tc>
        <w:tc>
          <w:tcPr>
            <w:tcW w:w="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Dec. 31,</w:t>
            </w:r>
          </w:p>
        </w:tc>
        <w:tc>
          <w:tcPr>
            <w:tcW w:w="40" w:type="dxa"/>
            <w:vAlign w:val="bottom"/>
          </w:tcPr>
          <w:p>
            <w:pPr>
              <w:spacing w:after="0"/>
              <w:rPr>
                <w:sz w:val="12"/>
                <w:szCs w:val="12"/>
                <w:color w:val="auto"/>
              </w:rPr>
            </w:pPr>
          </w:p>
        </w:tc>
        <w:tc>
          <w:tcPr>
            <w:tcW w:w="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Jan. 1,</w:t>
            </w:r>
          </w:p>
        </w:tc>
      </w:tr>
      <w:tr>
        <w:trPr>
          <w:trHeight w:val="161"/>
        </w:trPr>
        <w:tc>
          <w:tcPr>
            <w:tcW w:w="40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4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3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($30.3)</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9.3</w:t>
            </w:r>
          </w:p>
        </w:tc>
        <w:tc>
          <w:tcPr>
            <w:tcW w:w="240" w:type="dxa"/>
            <w:vAlign w:val="bottom"/>
            <w:shd w:val="clear" w:color="auto" w:fill="CCEEFF"/>
          </w:tcPr>
          <w:p>
            <w:pPr>
              <w:spacing w:after="0"/>
              <w:rPr>
                <w:sz w:val="18"/>
                <w:szCs w:val="18"/>
                <w:color w:val="auto"/>
              </w:rPr>
            </w:pPr>
          </w:p>
        </w:tc>
        <w:tc>
          <w:tcPr>
            <w:tcW w:w="960" w:type="dxa"/>
            <w:vAlign w:val="bottom"/>
            <w:tcBorders>
              <w:right w:val="single" w:sz="8" w:color="auto"/>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w w:val="93"/>
              </w:rPr>
              <w:t>$ (67.9)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($19.4)</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0"/>
              </w:rPr>
              <w:t>$ (16.7)</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2"/>
              </w:rPr>
              <w:t>$ (8.8)</w:t>
            </w:r>
          </w:p>
        </w:tc>
      </w:tr>
    </w:tbl>
    <w:p>
      <w:pPr>
        <w:spacing w:after="0" w:line="15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There was $1.3 million, $1.3 million and $0.4 million of ineffectiveness recognized for the years ended December 30, 2010, December 31, 2009 and January 1, 2009, respectively.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effect of derivatives not designated as hedging instruments under ASC 815 on the consolidated financial statements for the years ended December 30, 2010, December 31, 2009 and January 1, 2009 were as follows (in millions):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80" w:type="dxa"/>
            <w:vAlign w:val="bottom"/>
            <w:gridSpan w:val="6"/>
          </w:tcPr>
          <w:p>
            <w:pPr>
              <w:jc w:val="right"/>
              <w:ind w:right="40"/>
              <w:spacing w:after="0"/>
              <w:rPr>
                <w:sz w:val="20"/>
                <w:szCs w:val="20"/>
                <w:color w:val="auto"/>
              </w:rPr>
            </w:pPr>
            <w:r>
              <w:rPr>
                <w:rFonts w:ascii="Arial" w:cs="Arial" w:eastAsia="Arial" w:hAnsi="Arial"/>
                <w:sz w:val="14"/>
                <w:szCs w:val="14"/>
                <w:b w:val="1"/>
                <w:bCs w:val="1"/>
                <w:color w:val="auto"/>
              </w:rPr>
              <w:t>Gain or (Loss) Recognized in Interest Expense</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3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4"/>
                <w:szCs w:val="14"/>
                <w:b w:val="1"/>
                <w:bCs w:val="1"/>
                <w:color w:val="auto"/>
              </w:rPr>
              <w:t>and Other, Net (Pre-tax) for the Years Ended</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8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2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30,</w:t>
            </w:r>
          </w:p>
        </w:tc>
        <w:tc>
          <w:tcPr>
            <w:tcW w:w="420" w:type="dxa"/>
            <w:vAlign w:val="bottom"/>
          </w:tcPr>
          <w:p>
            <w:pPr>
              <w:spacing w:after="0"/>
              <w:rPr>
                <w:sz w:val="11"/>
                <w:szCs w:val="11"/>
                <w:color w:val="auto"/>
              </w:rPr>
            </w:pPr>
          </w:p>
        </w:tc>
        <w:tc>
          <w:tcPr>
            <w:tcW w:w="16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100" w:type="dxa"/>
            <w:vAlign w:val="bottom"/>
          </w:tcPr>
          <w:p>
            <w:pPr>
              <w:spacing w:after="0"/>
              <w:rPr>
                <w:sz w:val="11"/>
                <w:szCs w:val="11"/>
                <w:color w:val="auto"/>
              </w:rPr>
            </w:pPr>
          </w:p>
        </w:tc>
      </w:tr>
      <w:tr>
        <w:trPr>
          <w:trHeight w:val="161"/>
        </w:trPr>
        <w:tc>
          <w:tcPr>
            <w:tcW w:w="3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8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184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(6.2)</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Change in derivative fair value</w:t>
            </w: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(5.3)</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r>
      <w:tr>
        <w:trPr>
          <w:trHeight w:val="27"/>
        </w:trPr>
        <w:tc>
          <w:tcPr>
            <w:tcW w:w="3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(11.5)</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r>
      <w:tr>
        <w:trPr>
          <w:trHeight w:val="20"/>
        </w:trPr>
        <w:tc>
          <w:tcPr>
            <w:tcW w:w="3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OWNERSHIP CHANGES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table below presents the changes in NCM, Inc.’s equity resulting from net income attributable to NCM, Inc. and transfers to or from noncontrolling interests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Years Ended</w:t>
            </w: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30,</w:t>
            </w:r>
          </w:p>
        </w:tc>
        <w:tc>
          <w:tcPr>
            <w:tcW w:w="400" w:type="dxa"/>
            <w:vAlign w:val="bottom"/>
          </w:tcPr>
          <w:p>
            <w:pPr>
              <w:spacing w:after="0"/>
              <w:rPr>
                <w:sz w:val="11"/>
                <w:szCs w:val="11"/>
                <w:color w:val="auto"/>
              </w:rPr>
            </w:pPr>
          </w:p>
        </w:tc>
        <w:tc>
          <w:tcPr>
            <w:tcW w:w="12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NCM, Inc.</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Subsidiary equity issued for purchase of intangible asset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58.9</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49.2</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Income tax and other impacts of subsidiary ownership changes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NCM, Inc. investment in subsidiary</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(174.9)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Issuance of shares</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174.6</w:t>
            </w:r>
          </w:p>
        </w:tc>
        <w:tc>
          <w:tcPr>
            <w:tcW w:w="4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Recovery of deficit in noncontrolling interest</w:t>
            </w: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w w:val="95"/>
              </w:rPr>
              <w:t>Change from net income attributable to NCM, Inc. and transfers from noncontrolling interests</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r>
              <w:rPr>
                <w:rFonts w:ascii="Arial" w:cs="Arial" w:eastAsia="Arial" w:hAnsi="Arial"/>
                <w:sz w:val="18"/>
                <w:szCs w:val="18"/>
                <w:u w:val="single" w:color="auto"/>
                <w:color w:val="auto"/>
              </w:rPr>
              <w:t>4</w:t>
            </w:r>
          </w:p>
        </w:tc>
        <w:tc>
          <w:tcPr>
            <w:tcW w:w="4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4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w:t>
            </w: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SEGMENT REPORTING</w:t>
      </w:r>
    </w:p>
    <w:p>
      <w:pPr>
        <w:spacing w:after="0" w:line="96"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 xml:space="preserve">Advertising is the principal business activity of the Company and is the Company’s reportable segment under the requirements of ASC 280, </w:t>
      </w:r>
      <w:r>
        <w:rPr>
          <w:rFonts w:ascii="Arial" w:cs="Arial" w:eastAsia="Arial" w:hAnsi="Arial"/>
          <w:sz w:val="16"/>
          <w:szCs w:val="16"/>
          <w:i w:val="1"/>
          <w:iCs w:val="1"/>
          <w:color w:val="auto"/>
        </w:rPr>
        <w:t>Segment</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Advertising revenue accounts for 88.7%, 88.0% and 89.4%, of consolidated revenue for the years ended December 30, 2010, December 31, 2009 and</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1, 2009, respectively. Fathom Consumer Events and Fathom Business Events are operating segments under ASC 280, but do not meet the quantitative thresholds for segment reporting. The following table presents revenues less directly identifiable expenses to arrive at operating income net of direct expenses for the advertising reportable segment, the combined Fathom Events operating segments, and network, administrative and unallocated costs. Management does not evaluate its segments on a fully allocated cost basis. Therefore, the measure of segment operating income net of direct expenses shown below is not prepared on the same basis as operating income in the consolidated statement of operations and the results below are not indicative of what segment results of operations would have been had it been operated on a fully allocated cost basis. Management cautions that it would be inappropriate to assume that unallocated operating costs are incurred proportional to segment revenue or any directly identifiable segment expenses. Unallocated operating costs consist primarily of network costs, general and administrative costs and other unallocated costs including depreciation and amortization. Management does not track segment assets and, therefore, segment asset information is not presented.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11"/>
          </w:tcPr>
          <w:p>
            <w:pPr>
              <w:jc w:val="center"/>
              <w:spacing w:after="0"/>
              <w:rPr>
                <w:sz w:val="20"/>
                <w:szCs w:val="20"/>
                <w:color w:val="auto"/>
              </w:rPr>
            </w:pPr>
            <w:r>
              <w:rPr>
                <w:rFonts w:ascii="Arial" w:cs="Arial" w:eastAsia="Arial" w:hAnsi="Arial"/>
                <w:sz w:val="14"/>
                <w:szCs w:val="14"/>
                <w:b w:val="1"/>
                <w:bCs w:val="1"/>
                <w:color w:val="auto"/>
                <w:w w:val="87"/>
              </w:rPr>
              <w:t>Year Ended December 30, 2010 (in millions)</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tcPr>
          <w:p>
            <w:pPr>
              <w:jc w:val="center"/>
              <w:ind w:right="560"/>
              <w:spacing w:after="0" w:line="129" w:lineRule="exact"/>
              <w:rPr>
                <w:sz w:val="20"/>
                <w:szCs w:val="20"/>
                <w:color w:val="auto"/>
              </w:rPr>
            </w:pPr>
            <w:r>
              <w:rPr>
                <w:rFonts w:ascii="Arial" w:cs="Arial" w:eastAsia="Arial" w:hAnsi="Arial"/>
                <w:sz w:val="14"/>
                <w:szCs w:val="14"/>
                <w:b w:val="1"/>
                <w:bCs w:val="1"/>
                <w:color w:val="auto"/>
                <w:w w:val="91"/>
              </w:rPr>
              <w:t>Network,</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Fathom</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Administrative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Events</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and</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Unallocated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3"/>
              </w:rPr>
              <w:t>Advertising</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Other</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2"/>
              </w:rPr>
              <w:t>Costs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14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$ 48.0</w:t>
            </w:r>
          </w:p>
        </w:tc>
        <w:tc>
          <w:tcPr>
            <w:tcW w:w="420" w:type="dxa"/>
            <w:vAlign w:val="bottom"/>
            <w:gridSpan w:val="3"/>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Operating costs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74.3</w:t>
            </w:r>
          </w:p>
        </w:tc>
        <w:tc>
          <w:tcPr>
            <w:tcW w:w="140" w:type="dxa"/>
            <w:vAlign w:val="bottom"/>
          </w:tcPr>
          <w:p>
            <w:pPr>
              <w:spacing w:after="0"/>
              <w:rPr>
                <w:sz w:val="18"/>
                <w:szCs w:val="18"/>
                <w:color w:val="auto"/>
              </w:rPr>
            </w:pPr>
          </w:p>
        </w:tc>
        <w:tc>
          <w:tcPr>
            <w:tcW w:w="1140" w:type="dxa"/>
            <w:vAlign w:val="bottom"/>
            <w:gridSpan w:val="5"/>
          </w:tcPr>
          <w:p>
            <w:pPr>
              <w:jc w:val="right"/>
              <w:ind w:right="240"/>
              <w:spacing w:after="0"/>
              <w:rPr>
                <w:sz w:val="20"/>
                <w:szCs w:val="20"/>
                <w:color w:val="auto"/>
              </w:rPr>
            </w:pPr>
            <w:r>
              <w:rPr>
                <w:rFonts w:ascii="Arial" w:cs="Arial" w:eastAsia="Arial" w:hAnsi="Arial"/>
                <w:sz w:val="18"/>
                <w:szCs w:val="18"/>
                <w:color w:val="auto"/>
              </w:rPr>
              <w:t>32.4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8.1</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costs</w:t>
            </w:r>
          </w:p>
        </w:tc>
        <w:tc>
          <w:tcPr>
            <w:tcW w:w="1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0.8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net of direct expenses</w:t>
            </w:r>
          </w:p>
        </w:tc>
        <w:tc>
          <w:tcPr>
            <w:tcW w:w="11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6.7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Network, administrative and other costs</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460"/>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20" w:type="dxa"/>
            <w:vAlign w:val="bottom"/>
            <w:gridSpan w:val="11"/>
            <w:vMerge w:val="restart"/>
          </w:tcPr>
          <w:p>
            <w:pPr>
              <w:jc w:val="center"/>
              <w:spacing w:after="0"/>
              <w:rPr>
                <w:sz w:val="20"/>
                <w:szCs w:val="20"/>
                <w:color w:val="auto"/>
              </w:rPr>
            </w:pPr>
            <w:r>
              <w:rPr>
                <w:rFonts w:ascii="Arial" w:cs="Arial" w:eastAsia="Arial" w:hAnsi="Arial"/>
                <w:sz w:val="14"/>
                <w:szCs w:val="14"/>
                <w:b w:val="1"/>
                <w:bCs w:val="1"/>
                <w:color w:val="auto"/>
                <w:w w:val="87"/>
              </w:rPr>
              <w:t>Year Ended December 31, 2009 (in millions)</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1"/>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tcPr>
          <w:p>
            <w:pPr>
              <w:jc w:val="center"/>
              <w:ind w:right="560"/>
              <w:spacing w:after="0" w:line="129" w:lineRule="exact"/>
              <w:rPr>
                <w:sz w:val="20"/>
                <w:szCs w:val="20"/>
                <w:color w:val="auto"/>
              </w:rPr>
            </w:pPr>
            <w:r>
              <w:rPr>
                <w:rFonts w:ascii="Arial" w:cs="Arial" w:eastAsia="Arial" w:hAnsi="Arial"/>
                <w:sz w:val="14"/>
                <w:szCs w:val="14"/>
                <w:b w:val="1"/>
                <w:bCs w:val="1"/>
                <w:color w:val="auto"/>
                <w:w w:val="91"/>
              </w:rPr>
              <w:t>Network,</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Fathom</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Administrative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Events</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and</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Unallocated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3"/>
              </w:rPr>
              <w:t>Advertising</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Other</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2"/>
              </w:rPr>
              <w:t>Costs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14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$ 45.5</w:t>
            </w:r>
          </w:p>
        </w:tc>
        <w:tc>
          <w:tcPr>
            <w:tcW w:w="420" w:type="dxa"/>
            <w:vAlign w:val="bottom"/>
            <w:gridSpan w:val="3"/>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0.1</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Operating costs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72.7</w:t>
            </w:r>
          </w:p>
        </w:tc>
        <w:tc>
          <w:tcPr>
            <w:tcW w:w="140" w:type="dxa"/>
            <w:vAlign w:val="bottom"/>
          </w:tcPr>
          <w:p>
            <w:pPr>
              <w:spacing w:after="0"/>
              <w:rPr>
                <w:sz w:val="18"/>
                <w:szCs w:val="18"/>
                <w:color w:val="auto"/>
              </w:rPr>
            </w:pPr>
          </w:p>
        </w:tc>
        <w:tc>
          <w:tcPr>
            <w:tcW w:w="1140" w:type="dxa"/>
            <w:vAlign w:val="bottom"/>
            <w:gridSpan w:val="5"/>
          </w:tcPr>
          <w:p>
            <w:pPr>
              <w:jc w:val="right"/>
              <w:ind w:right="240"/>
              <w:spacing w:after="0"/>
              <w:rPr>
                <w:sz w:val="20"/>
                <w:szCs w:val="20"/>
                <w:color w:val="auto"/>
              </w:rPr>
            </w:pPr>
            <w:r>
              <w:rPr>
                <w:rFonts w:ascii="Arial" w:cs="Arial" w:eastAsia="Arial" w:hAnsi="Arial"/>
                <w:sz w:val="18"/>
                <w:szCs w:val="18"/>
                <w:color w:val="auto"/>
              </w:rPr>
              <w:t>29.1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8.6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costs</w:t>
            </w:r>
          </w:p>
        </w:tc>
        <w:tc>
          <w:tcPr>
            <w:tcW w:w="1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0.9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net of direct expenses</w:t>
            </w:r>
          </w:p>
        </w:tc>
        <w:tc>
          <w:tcPr>
            <w:tcW w:w="11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6.9</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Network, administrative and other costs</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460"/>
              <w:spacing w:after="0"/>
              <w:rPr>
                <w:sz w:val="20"/>
                <w:szCs w:val="20"/>
                <w:color w:val="auto"/>
              </w:rPr>
            </w:pPr>
            <w:r>
              <w:rPr>
                <w:rFonts w:ascii="Arial" w:cs="Arial" w:eastAsia="Arial" w:hAnsi="Arial"/>
                <w:sz w:val="18"/>
                <w:szCs w:val="18"/>
                <w:color w:val="auto"/>
              </w:rPr>
              <w:t>56.8</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20" w:type="dxa"/>
            <w:vAlign w:val="bottom"/>
            <w:gridSpan w:val="11"/>
            <w:vMerge w:val="restart"/>
          </w:tcPr>
          <w:p>
            <w:pPr>
              <w:jc w:val="center"/>
              <w:spacing w:after="0"/>
              <w:rPr>
                <w:sz w:val="20"/>
                <w:szCs w:val="20"/>
                <w:color w:val="auto"/>
              </w:rPr>
            </w:pPr>
            <w:r>
              <w:rPr>
                <w:rFonts w:ascii="Arial" w:cs="Arial" w:eastAsia="Arial" w:hAnsi="Arial"/>
                <w:sz w:val="14"/>
                <w:szCs w:val="14"/>
                <w:b w:val="1"/>
                <w:bCs w:val="1"/>
                <w:color w:val="auto"/>
                <w:w w:val="88"/>
              </w:rPr>
              <w:t>Year Ended January 1, 2009 (in millions)</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11"/>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3"/>
          </w:tcPr>
          <w:p>
            <w:pPr>
              <w:jc w:val="center"/>
              <w:ind w:right="560"/>
              <w:spacing w:after="0" w:line="129" w:lineRule="exact"/>
              <w:rPr>
                <w:sz w:val="20"/>
                <w:szCs w:val="20"/>
                <w:color w:val="auto"/>
              </w:rPr>
            </w:pPr>
            <w:r>
              <w:rPr>
                <w:rFonts w:ascii="Arial" w:cs="Arial" w:eastAsia="Arial" w:hAnsi="Arial"/>
                <w:sz w:val="14"/>
                <w:szCs w:val="14"/>
                <w:b w:val="1"/>
                <w:bCs w:val="1"/>
                <w:color w:val="auto"/>
                <w:w w:val="91"/>
              </w:rPr>
              <w:t>Network,</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Fathom</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Administrative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Events</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and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and</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85"/>
              </w:rPr>
              <w:t>Unallocated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3"/>
              </w:rPr>
              <w:t>Advertising</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Other</w:t>
            </w: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2"/>
              </w:rPr>
              <w:t>Costs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140" w:type="dxa"/>
            <w:vAlign w:val="bottom"/>
            <w:shd w:val="clear" w:color="auto" w:fill="CCEEFF"/>
          </w:tcPr>
          <w:p>
            <w:pPr>
              <w:spacing w:after="0"/>
              <w:rPr>
                <w:sz w:val="18"/>
                <w:szCs w:val="18"/>
                <w:color w:val="auto"/>
              </w:rPr>
            </w:pPr>
          </w:p>
        </w:tc>
        <w:tc>
          <w:tcPr>
            <w:tcW w:w="114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$ 38.9</w:t>
            </w:r>
          </w:p>
        </w:tc>
        <w:tc>
          <w:tcPr>
            <w:tcW w:w="420" w:type="dxa"/>
            <w:vAlign w:val="bottom"/>
            <w:gridSpan w:val="3"/>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0.3</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Operating costs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68.5</w:t>
            </w:r>
          </w:p>
        </w:tc>
        <w:tc>
          <w:tcPr>
            <w:tcW w:w="140" w:type="dxa"/>
            <w:vAlign w:val="bottom"/>
          </w:tcPr>
          <w:p>
            <w:pPr>
              <w:spacing w:after="0"/>
              <w:rPr>
                <w:sz w:val="18"/>
                <w:szCs w:val="18"/>
                <w:color w:val="auto"/>
              </w:rPr>
            </w:pPr>
          </w:p>
        </w:tc>
        <w:tc>
          <w:tcPr>
            <w:tcW w:w="1140" w:type="dxa"/>
            <w:vAlign w:val="bottom"/>
            <w:gridSpan w:val="5"/>
          </w:tcPr>
          <w:p>
            <w:pPr>
              <w:jc w:val="right"/>
              <w:ind w:right="240"/>
              <w:spacing w:after="0"/>
              <w:rPr>
                <w:sz w:val="20"/>
                <w:szCs w:val="20"/>
                <w:color w:val="auto"/>
              </w:rPr>
            </w:pPr>
            <w:r>
              <w:rPr>
                <w:rFonts w:ascii="Arial" w:cs="Arial" w:eastAsia="Arial" w:hAnsi="Arial"/>
                <w:sz w:val="18"/>
                <w:szCs w:val="18"/>
                <w:color w:val="auto"/>
              </w:rPr>
              <w:t>25.1</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8.3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costs</w:t>
            </w:r>
          </w:p>
        </w:tc>
        <w:tc>
          <w:tcPr>
            <w:tcW w:w="1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0.8</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net of direct expenses</w:t>
            </w:r>
          </w:p>
        </w:tc>
        <w:tc>
          <w:tcPr>
            <w:tcW w:w="118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Network, administrative and other costs</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3"/>
          </w:tcPr>
          <w:p>
            <w:pPr>
              <w:jc w:val="right"/>
              <w:ind w:right="460"/>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w w:val="94"/>
              </w:rPr>
              <w:t>The following is a summary of revenues by category (in millions):</w:t>
            </w: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488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6"/>
          </w:tcPr>
          <w:p>
            <w:pPr>
              <w:ind w:left="260"/>
              <w:spacing w:after="0"/>
              <w:rPr>
                <w:sz w:val="20"/>
                <w:szCs w:val="20"/>
                <w:color w:val="auto"/>
              </w:rPr>
            </w:pPr>
            <w:r>
              <w:rPr>
                <w:rFonts w:ascii="Arial" w:cs="Arial" w:eastAsia="Arial" w:hAnsi="Arial"/>
                <w:sz w:val="14"/>
                <w:szCs w:val="14"/>
                <w:b w:val="1"/>
                <w:bCs w:val="1"/>
                <w:color w:val="auto"/>
              </w:rPr>
              <w:t>Years Ended</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w w:val="83"/>
              </w:rPr>
              <w:t>December 30,</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2010</w:t>
            </w:r>
          </w:p>
        </w:tc>
        <w:tc>
          <w:tcPr>
            <w:tcW w:w="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National Advertising Revenue</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271.9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Founding Member Advertising Revenue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37.2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Regional Advertising Revenue</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Fathom Consumer Revenue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8"/>
                <w:szCs w:val="18"/>
                <w:color w:val="auto"/>
              </w:rPr>
              <w:t>31.5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Fathom Business Revenue</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Other Revenue</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Revenues</w:t>
            </w: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427.5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8"/>
                <w:szCs w:val="18"/>
                <w:color w:val="auto"/>
              </w:rPr>
              <w:t>F-32</w:t>
            </w: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18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VALUATION AND QUALIFYING ACCOUNTS (in millions)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jc w:val="right"/>
              <w:ind w:right="612"/>
              <w:spacing w:after="0"/>
              <w:rPr>
                <w:sz w:val="20"/>
                <w:szCs w:val="20"/>
                <w:color w:val="auto"/>
              </w:rPr>
            </w:pPr>
            <w:r>
              <w:rPr>
                <w:rFonts w:ascii="Arial" w:cs="Arial" w:eastAsia="Arial" w:hAnsi="Arial"/>
                <w:sz w:val="14"/>
                <w:szCs w:val="14"/>
                <w:b w:val="1"/>
                <w:bCs w:val="1"/>
                <w:color w:val="auto"/>
              </w:rPr>
              <w:t>Years Ended</w:t>
            </w: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8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December 30,</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5"/>
          </w:tcPr>
          <w:p>
            <w:pPr>
              <w:jc w:val="right"/>
              <w:ind w:right="492"/>
              <w:spacing w:after="0" w:line="129" w:lineRule="exact"/>
              <w:rPr>
                <w:sz w:val="20"/>
                <w:szCs w:val="20"/>
                <w:color w:val="auto"/>
              </w:rPr>
            </w:pPr>
            <w:r>
              <w:rPr>
                <w:rFonts w:ascii="Arial" w:cs="Arial" w:eastAsia="Arial" w:hAnsi="Arial"/>
                <w:sz w:val="14"/>
                <w:szCs w:val="14"/>
                <w:b w:val="1"/>
                <w:bCs w:val="1"/>
                <w:color w:val="auto"/>
                <w:w w:val="85"/>
              </w:rPr>
              <w:t>December 31,</w:t>
            </w:r>
          </w:p>
        </w:tc>
        <w:tc>
          <w:tcPr>
            <w:tcW w:w="460" w:type="dxa"/>
            <w:vAlign w:val="bottom"/>
          </w:tcPr>
          <w:p>
            <w:pPr>
              <w:spacing w:after="0"/>
              <w:rPr>
                <w:sz w:val="11"/>
                <w:szCs w:val="11"/>
                <w:color w:val="auto"/>
              </w:rPr>
            </w:pPr>
          </w:p>
        </w:tc>
        <w:tc>
          <w:tcPr>
            <w:tcW w:w="6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w w:val="96"/>
              </w:rPr>
              <w:t>2010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5"/>
          </w:tcPr>
          <w:p>
            <w:pPr>
              <w:jc w:val="right"/>
              <w:ind w:right="172"/>
              <w:spacing w:after="0"/>
              <w:rPr>
                <w:sz w:val="20"/>
                <w:szCs w:val="20"/>
                <w:color w:val="auto"/>
              </w:rPr>
            </w:pPr>
            <w:r>
              <w:rPr>
                <w:rFonts w:ascii="Arial" w:cs="Arial" w:eastAsia="Arial" w:hAnsi="Arial"/>
                <w:sz w:val="14"/>
                <w:szCs w:val="14"/>
                <w:b w:val="1"/>
                <w:bCs w:val="1"/>
                <w:color w:val="auto"/>
              </w:rPr>
              <w:t>2009</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tcPr>
          <w:p>
            <w:pPr>
              <w:ind w:left="440"/>
              <w:spacing w:after="0"/>
              <w:rPr>
                <w:sz w:val="20"/>
                <w:szCs w:val="20"/>
                <w:color w:val="auto"/>
              </w:rPr>
            </w:pPr>
            <w:r>
              <w:rPr>
                <w:rFonts w:ascii="Arial" w:cs="Arial" w:eastAsia="Arial" w:hAnsi="Arial"/>
                <w:sz w:val="18"/>
                <w:szCs w:val="18"/>
                <w:color w:val="auto"/>
              </w:rPr>
              <w:t>Balance at beginning of period</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780" w:type="dxa"/>
            <w:vAlign w:val="bottom"/>
            <w:gridSpan w:val="3"/>
          </w:tcPr>
          <w:p>
            <w:pPr>
              <w:jc w:val="center"/>
              <w:ind w:left="215"/>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bad debt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tcPr>
          <w:p>
            <w:pPr>
              <w:ind w:left="440"/>
              <w:spacing w:after="0"/>
              <w:rPr>
                <w:sz w:val="20"/>
                <w:szCs w:val="20"/>
                <w:color w:val="auto"/>
              </w:rPr>
            </w:pPr>
            <w:r>
              <w:rPr>
                <w:rFonts w:ascii="Arial" w:cs="Arial" w:eastAsia="Arial" w:hAnsi="Arial"/>
                <w:sz w:val="18"/>
                <w:szCs w:val="18"/>
                <w:color w:val="auto"/>
              </w:rPr>
              <w:t>Write-offs,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end of period</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center"/>
              <w:ind w:left="215"/>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620" w:type="dxa"/>
            <w:vAlign w:val="bottom"/>
            <w:gridSpan w:val="2"/>
          </w:tcPr>
          <w:p>
            <w:pPr>
              <w:ind w:left="460"/>
              <w:spacing w:after="0"/>
              <w:rPr>
                <w:sz w:val="20"/>
                <w:szCs w:val="20"/>
                <w:color w:val="auto"/>
              </w:rPr>
            </w:pPr>
            <w:r>
              <w:rPr>
                <w:rFonts w:ascii="Arial" w:cs="Arial" w:eastAsia="Arial" w:hAnsi="Arial"/>
                <w:sz w:val="18"/>
                <w:szCs w:val="18"/>
                <w:color w:val="auto"/>
              </w:rPr>
              <w:t>VALUATION ALLOWANCE ON DEFERRED TAX ASSETS:</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Balance at beginning of period</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center"/>
              <w:ind w:left="215"/>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tcPr>
          <w:p>
            <w:pPr>
              <w:ind w:left="440"/>
              <w:spacing w:after="0"/>
              <w:rPr>
                <w:sz w:val="20"/>
                <w:szCs w:val="20"/>
                <w:color w:val="auto"/>
              </w:rPr>
            </w:pPr>
            <w:r>
              <w:rPr>
                <w:rFonts w:ascii="Arial" w:cs="Arial" w:eastAsia="Arial" w:hAnsi="Arial"/>
                <w:sz w:val="18"/>
                <w:szCs w:val="18"/>
                <w:color w:val="auto"/>
              </w:rPr>
              <w:t>Valuation allowance recorded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0.0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160" w:type="dxa"/>
            <w:vAlign w:val="bottom"/>
            <w:vMerge w:val="restart"/>
          </w:tcPr>
          <w:p>
            <w:pPr>
              <w:ind w:left="440"/>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6160" w:type="dxa"/>
            <w:vAlign w:val="bottom"/>
            <w:vMerge w:val="continue"/>
          </w:tcPr>
          <w:p>
            <w:pPr>
              <w:spacing w:after="0"/>
              <w:rPr>
                <w:sz w:val="19"/>
                <w:szCs w:val="19"/>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9"/>
                <w:szCs w:val="19"/>
                <w:color w:val="auto"/>
              </w:rPr>
            </w:pPr>
          </w:p>
        </w:tc>
        <w:tc>
          <w:tcPr>
            <w:tcW w:w="780" w:type="dxa"/>
            <w:vAlign w:val="bottom"/>
            <w:gridSpan w:val="3"/>
          </w:tcPr>
          <w:p>
            <w:pPr>
              <w:jc w:val="center"/>
              <w:ind w:left="215"/>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6820" w:type="dxa"/>
            <w:vAlign w:val="bottom"/>
            <w:gridSpan w:val="4"/>
          </w:tcPr>
          <w:p>
            <w:pPr>
              <w:spacing w:after="0"/>
              <w:rPr>
                <w:sz w:val="20"/>
                <w:szCs w:val="20"/>
                <w:color w:val="auto"/>
              </w:rPr>
            </w:pPr>
            <w:r>
              <w:rPr>
                <w:rFonts w:ascii="Arial" w:cs="Arial" w:eastAsia="Arial" w:hAnsi="Arial"/>
                <w:sz w:val="18"/>
                <w:szCs w:val="18"/>
                <w:b w:val="1"/>
                <w:bCs w:val="1"/>
                <w:color w:val="auto"/>
                <w:w w:val="94"/>
              </w:rPr>
              <w:t>20. QUARTERLY FINANCIAL DATA (UNAUDITED) (in millions, except per share data)</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First</w:t>
            </w:r>
          </w:p>
        </w:tc>
        <w:tc>
          <w:tcPr>
            <w:tcW w:w="300" w:type="dxa"/>
            <w:vAlign w:val="bottom"/>
          </w:tcPr>
          <w:p>
            <w:pPr>
              <w:spacing w:after="0"/>
              <w:rPr>
                <w:sz w:val="24"/>
                <w:szCs w:val="24"/>
                <w:color w:val="auto"/>
              </w:rPr>
            </w:pPr>
          </w:p>
        </w:tc>
        <w:tc>
          <w:tcPr>
            <w:tcW w:w="6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2"/>
              </w:rPr>
              <w:t>Second</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7"/>
              </w:rPr>
              <w:t>Third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Fourth</w:t>
            </w:r>
          </w:p>
        </w:tc>
        <w:tc>
          <w:tcPr>
            <w:tcW w:w="0" w:type="dxa"/>
            <w:vAlign w:val="bottom"/>
          </w:tcPr>
          <w:p>
            <w:pPr>
              <w:spacing w:after="0"/>
              <w:rPr>
                <w:sz w:val="1"/>
                <w:szCs w:val="1"/>
                <w:color w:val="auto"/>
              </w:rPr>
            </w:pPr>
          </w:p>
        </w:tc>
      </w:tr>
      <w:tr>
        <w:trPr>
          <w:trHeight w:val="161"/>
        </w:trPr>
        <w:tc>
          <w:tcPr>
            <w:tcW w:w="6620" w:type="dxa"/>
            <w:vAlign w:val="bottom"/>
            <w:gridSpan w:val="2"/>
          </w:tcPr>
          <w:p>
            <w:pPr>
              <w:ind w:left="460"/>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Quarter</w:t>
            </w:r>
          </w:p>
        </w:tc>
        <w:tc>
          <w:tcPr>
            <w:tcW w:w="900" w:type="dxa"/>
            <w:vAlign w:val="bottom"/>
            <w:gridSpan w:val="4"/>
          </w:tcPr>
          <w:p>
            <w:pPr>
              <w:jc w:val="center"/>
              <w:ind w:left="95"/>
              <w:spacing w:after="0"/>
              <w:rPr>
                <w:sz w:val="20"/>
                <w:szCs w:val="20"/>
                <w:color w:val="auto"/>
              </w:rPr>
            </w:pPr>
            <w:r>
              <w:rPr>
                <w:rFonts w:ascii="Arial" w:cs="Arial" w:eastAsia="Arial" w:hAnsi="Arial"/>
                <w:sz w:val="14"/>
                <w:szCs w:val="14"/>
                <w:b w:val="1"/>
                <w:bCs w:val="1"/>
                <w:color w:val="auto"/>
                <w:w w:val="94"/>
              </w:rPr>
              <w:t>Quarter</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Quarter</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tcPr>
          <w:p>
            <w:pPr>
              <w:ind w:left="440"/>
              <w:spacing w:after="0"/>
              <w:rPr>
                <w:sz w:val="20"/>
                <w:szCs w:val="20"/>
                <w:color w:val="auto"/>
              </w:rPr>
            </w:pPr>
            <w:r>
              <w:rPr>
                <w:rFonts w:ascii="Arial" w:cs="Arial" w:eastAsia="Arial" w:hAnsi="Arial"/>
                <w:sz w:val="18"/>
                <w:szCs w:val="18"/>
                <w:color w:val="auto"/>
              </w:rPr>
              <w:t>Revenues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4"/>
          </w:tcPr>
          <w:p>
            <w:pPr>
              <w:jc w:val="right"/>
              <w:ind w:right="300"/>
              <w:spacing w:after="0"/>
              <w:rPr>
                <w:sz w:val="20"/>
                <w:szCs w:val="20"/>
                <w:color w:val="auto"/>
              </w:rPr>
            </w:pPr>
            <w:r>
              <w:rPr>
                <w:rFonts w:ascii="Arial" w:cs="Arial" w:eastAsia="Arial" w:hAnsi="Arial"/>
                <w:sz w:val="18"/>
                <w:szCs w:val="18"/>
                <w:color w:val="auto"/>
              </w:rPr>
              <w:t>$ 84.6</w:t>
            </w: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$ 99.1</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$125.7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$118.1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58.2</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55.8</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ind w:left="460"/>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rPr>
              <w:t>26.4</w:t>
            </w: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43.3</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67.1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53.8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8.7</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21.9</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income attributable to NCM, Inc.</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4"/>
          </w:tcPr>
          <w:p>
            <w:pPr>
              <w:jc w:val="right"/>
              <w:ind w:right="300"/>
              <w:spacing w:after="0"/>
              <w:rPr>
                <w:sz w:val="20"/>
                <w:szCs w:val="20"/>
                <w:color w:val="auto"/>
              </w:rPr>
            </w:pPr>
            <w:r>
              <w:rPr>
                <w:rFonts w:ascii="Arial" w:cs="Arial" w:eastAsia="Arial" w:hAnsi="Arial"/>
                <w:sz w:val="18"/>
                <w:szCs w:val="18"/>
                <w:color w:val="auto"/>
              </w:rPr>
              <w:t>1.2</w:t>
            </w: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4.6</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11.8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Earnings per NCM, Inc. share, Basic </w:t>
            </w:r>
            <w:r>
              <w:rPr>
                <w:rFonts w:ascii="Arial" w:cs="Arial" w:eastAsia="Arial" w:hAnsi="Arial"/>
                <w:sz w:val="18"/>
                <w:szCs w:val="18"/>
                <w:i w:val="1"/>
                <w:iCs w:val="1"/>
                <w:color w:val="auto"/>
              </w:rPr>
              <w:t>(1)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0.03</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0.11</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 xml:space="preserve">Earnings per NCM, Inc. share, Diluted </w:t>
            </w:r>
            <w:r>
              <w:rPr>
                <w:rFonts w:ascii="Arial" w:cs="Arial" w:eastAsia="Arial" w:hAnsi="Arial"/>
                <w:sz w:val="18"/>
                <w:szCs w:val="18"/>
                <w:i w:val="1"/>
                <w:iCs w:val="1"/>
                <w:color w:val="auto"/>
              </w:rPr>
              <w:t>(1)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4"/>
          </w:tcPr>
          <w:p>
            <w:pPr>
              <w:jc w:val="right"/>
              <w:ind w:right="300"/>
              <w:spacing w:after="0"/>
              <w:rPr>
                <w:sz w:val="20"/>
                <w:szCs w:val="20"/>
                <w:color w:val="auto"/>
              </w:rPr>
            </w:pPr>
            <w:r>
              <w:rPr>
                <w:rFonts w:ascii="Arial" w:cs="Arial" w:eastAsia="Arial" w:hAnsi="Arial"/>
                <w:sz w:val="18"/>
                <w:szCs w:val="18"/>
                <w:color w:val="auto"/>
              </w:rPr>
              <w:t>0.03</w:t>
            </w: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0.11</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0.24</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4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First</w:t>
            </w:r>
          </w:p>
        </w:tc>
        <w:tc>
          <w:tcPr>
            <w:tcW w:w="300" w:type="dxa"/>
            <w:vAlign w:val="bottom"/>
          </w:tcPr>
          <w:p>
            <w:pPr>
              <w:spacing w:after="0"/>
              <w:rPr>
                <w:sz w:val="24"/>
                <w:szCs w:val="24"/>
                <w:color w:val="auto"/>
              </w:rPr>
            </w:pPr>
          </w:p>
        </w:tc>
        <w:tc>
          <w:tcPr>
            <w:tcW w:w="6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2"/>
              </w:rPr>
              <w:t>Second</w:t>
            </w: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7"/>
              </w:rPr>
              <w:t>Third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Fourth</w:t>
            </w:r>
          </w:p>
        </w:tc>
        <w:tc>
          <w:tcPr>
            <w:tcW w:w="0" w:type="dxa"/>
            <w:vAlign w:val="bottom"/>
          </w:tcPr>
          <w:p>
            <w:pPr>
              <w:spacing w:after="0"/>
              <w:rPr>
                <w:sz w:val="1"/>
                <w:szCs w:val="1"/>
                <w:color w:val="auto"/>
              </w:rPr>
            </w:pPr>
          </w:p>
        </w:tc>
      </w:tr>
      <w:tr>
        <w:trPr>
          <w:trHeight w:val="161"/>
        </w:trPr>
        <w:tc>
          <w:tcPr>
            <w:tcW w:w="6620" w:type="dxa"/>
            <w:vAlign w:val="bottom"/>
            <w:gridSpan w:val="2"/>
          </w:tcPr>
          <w:p>
            <w:pPr>
              <w:ind w:left="460"/>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Quarter</w:t>
            </w:r>
          </w:p>
        </w:tc>
        <w:tc>
          <w:tcPr>
            <w:tcW w:w="900" w:type="dxa"/>
            <w:vAlign w:val="bottom"/>
            <w:gridSpan w:val="4"/>
          </w:tcPr>
          <w:p>
            <w:pPr>
              <w:jc w:val="center"/>
              <w:ind w:left="95"/>
              <w:spacing w:after="0"/>
              <w:rPr>
                <w:sz w:val="20"/>
                <w:szCs w:val="20"/>
                <w:color w:val="auto"/>
              </w:rPr>
            </w:pPr>
            <w:r>
              <w:rPr>
                <w:rFonts w:ascii="Arial" w:cs="Arial" w:eastAsia="Arial" w:hAnsi="Arial"/>
                <w:sz w:val="14"/>
                <w:szCs w:val="14"/>
                <w:b w:val="1"/>
                <w:bCs w:val="1"/>
                <w:color w:val="auto"/>
                <w:w w:val="94"/>
              </w:rPr>
              <w:t>Quarter</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4"/>
              </w:rPr>
              <w:t>Quarter</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Quarter</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Operations: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tcPr>
          <w:p>
            <w:pPr>
              <w:ind w:left="440"/>
              <w:spacing w:after="0"/>
              <w:rPr>
                <w:sz w:val="20"/>
                <w:szCs w:val="20"/>
                <w:color w:val="auto"/>
              </w:rPr>
            </w:pPr>
            <w:r>
              <w:rPr>
                <w:rFonts w:ascii="Arial" w:cs="Arial" w:eastAsia="Arial" w:hAnsi="Arial"/>
                <w:sz w:val="18"/>
                <w:szCs w:val="18"/>
                <w:color w:val="auto"/>
              </w:rPr>
              <w:t>Revenues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4"/>
          </w:tcPr>
          <w:p>
            <w:pPr>
              <w:jc w:val="right"/>
              <w:ind w:right="300"/>
              <w:spacing w:after="0"/>
              <w:rPr>
                <w:sz w:val="20"/>
                <w:szCs w:val="20"/>
                <w:color w:val="auto"/>
              </w:rPr>
            </w:pPr>
            <w:r>
              <w:rPr>
                <w:rFonts w:ascii="Arial" w:cs="Arial" w:eastAsia="Arial" w:hAnsi="Arial"/>
                <w:sz w:val="18"/>
                <w:szCs w:val="18"/>
                <w:color w:val="auto"/>
              </w:rPr>
              <w:t>$ 73.5</w:t>
            </w: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$ 92.9</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$ 95.7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$118.6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51.3</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53.0</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gridSpan w:val="2"/>
            <w:vMerge w:val="restart"/>
          </w:tcPr>
          <w:p>
            <w:pPr>
              <w:ind w:left="460"/>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2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rPr>
              <w:t>22.2</w:t>
            </w: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39.9</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46.3</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59.8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8.3</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26.0</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income attributable to NCM, Inc.</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4"/>
          </w:tcPr>
          <w:p>
            <w:pPr>
              <w:jc w:val="right"/>
              <w:ind w:right="300"/>
              <w:spacing w:after="0"/>
              <w:rPr>
                <w:sz w:val="20"/>
                <w:szCs w:val="20"/>
                <w:color w:val="auto"/>
              </w:rPr>
            </w:pPr>
            <w:r>
              <w:rPr>
                <w:rFonts w:ascii="Arial" w:cs="Arial" w:eastAsia="Arial" w:hAnsi="Arial"/>
                <w:sz w:val="18"/>
                <w:szCs w:val="18"/>
                <w:color w:val="auto"/>
              </w:rPr>
              <w:t>1.2</w:t>
            </w: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7.1</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6.6</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Earnings per NCM, Inc. share, Basic</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0.03</w:t>
            </w:r>
          </w:p>
        </w:tc>
        <w:tc>
          <w:tcPr>
            <w:tcW w:w="9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0.17</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Earnings per NCM, Inc. share, Diluted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4"/>
          </w:tcPr>
          <w:p>
            <w:pPr>
              <w:jc w:val="right"/>
              <w:ind w:right="300"/>
              <w:spacing w:after="0"/>
              <w:rPr>
                <w:sz w:val="20"/>
                <w:szCs w:val="20"/>
                <w:color w:val="auto"/>
              </w:rPr>
            </w:pPr>
            <w:r>
              <w:rPr>
                <w:rFonts w:ascii="Arial" w:cs="Arial" w:eastAsia="Arial" w:hAnsi="Arial"/>
                <w:sz w:val="18"/>
                <w:szCs w:val="18"/>
                <w:color w:val="auto"/>
              </w:rPr>
              <w:t>0.03</w:t>
            </w:r>
          </w:p>
        </w:tc>
        <w:tc>
          <w:tcPr>
            <w:tcW w:w="900" w:type="dxa"/>
            <w:vAlign w:val="bottom"/>
            <w:gridSpan w:val="4"/>
          </w:tcPr>
          <w:p>
            <w:pPr>
              <w:jc w:val="right"/>
              <w:ind w:right="120"/>
              <w:spacing w:after="0"/>
              <w:rPr>
                <w:sz w:val="20"/>
                <w:szCs w:val="20"/>
                <w:color w:val="auto"/>
              </w:rPr>
            </w:pPr>
            <w:r>
              <w:rPr>
                <w:rFonts w:ascii="Arial" w:cs="Arial" w:eastAsia="Arial" w:hAnsi="Arial"/>
                <w:sz w:val="18"/>
                <w:szCs w:val="18"/>
                <w:color w:val="auto"/>
              </w:rPr>
              <w:t>0.17</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0.16</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0.26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line="306"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Earnings per share in each quarter is computed using the weighted-average number of shares outstanding during that quarter while earnings per share for the full year is computed using the weighted average number of shares outstanding during the year. Due to the increase in share count as a result of the issuance of shares in the third quarter of 2010, the sum of the four quarters earnings per share does not equal the full year earnings per share.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SUBSEQUENT EVENTS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On January 13, 2011, the Company declared a cash dividend of $0.20 per share (approximately $10.9 million) on each share of the Company’s common stock (including outstanding restricted stock) to stockholders of record on March 10, 2011 to be paid on March 24, 2011.</w:t>
      </w:r>
    </w:p>
    <w:p>
      <w:pPr>
        <w:spacing w:after="0" w:line="7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00"/>
          </w:cols>
          <w:pgMar w:left="240" w:top="459" w:right="459" w:bottom="1440" w:gutter="0" w:footer="0" w:header="0"/>
        </w:sectPr>
      </w:pPr>
    </w:p>
    <w:bookmarkStart w:id="104" w:name="page105"/>
    <w:bookmarkEnd w:id="104"/>
    <w:p>
      <w:pPr>
        <w:ind w:left="10300"/>
        <w:spacing w:after="0"/>
        <w:rPr>
          <w:sz w:val="20"/>
          <w:szCs w:val="20"/>
          <w:color w:val="auto"/>
        </w:rPr>
      </w:pPr>
      <w:r>
        <w:rPr>
          <w:rFonts w:ascii="Arial" w:cs="Arial" w:eastAsia="Arial" w:hAnsi="Arial"/>
          <w:sz w:val="16"/>
          <w:szCs w:val="16"/>
          <w:b w:val="1"/>
          <w:bCs w:val="1"/>
          <w:color w:val="auto"/>
        </w:rPr>
        <w:t>Exhibit 10.22.3</w:t>
      </w:r>
    </w:p>
    <w:p>
      <w:pPr>
        <w:spacing w:after="0" w:line="194" w:lineRule="exact"/>
        <w:rPr>
          <w:sz w:val="20"/>
          <w:szCs w:val="20"/>
          <w:color w:val="auto"/>
        </w:rPr>
      </w:pPr>
    </w:p>
    <w:p>
      <w:pPr>
        <w:ind w:left="9840"/>
        <w:spacing w:after="0"/>
        <w:rPr>
          <w:sz w:val="20"/>
          <w:szCs w:val="20"/>
          <w:color w:val="auto"/>
        </w:rPr>
      </w:pPr>
      <w:r>
        <w:rPr>
          <w:rFonts w:ascii="Arial" w:cs="Arial" w:eastAsia="Arial" w:hAnsi="Arial"/>
          <w:sz w:val="18"/>
          <w:szCs w:val="18"/>
          <w:b w:val="1"/>
          <w:bCs w:val="1"/>
          <w:color w:val="auto"/>
        </w:rPr>
        <w:t>Stock Option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7139940</wp:posOffset>
            </wp:positionH>
            <wp:positionV relativeFrom="paragraph">
              <wp:posOffset>-10160</wp:posOffset>
            </wp:positionV>
            <wp:extent cx="11176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EQUITY INCENTIVE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STOCK OPTION AGREEMENT</w:t>
      </w:r>
    </w:p>
    <w:p>
      <w:pPr>
        <w:spacing w:after="0" w:line="171" w:lineRule="exact"/>
        <w:rPr>
          <w:sz w:val="20"/>
          <w:szCs w:val="20"/>
          <w:color w:val="auto"/>
        </w:rPr>
      </w:pPr>
    </w:p>
    <w:p>
      <w:pPr>
        <w:jc w:val="both"/>
        <w:ind w:firstLine="456"/>
        <w:spacing w:after="0" w:line="310" w:lineRule="auto"/>
        <w:rPr>
          <w:sz w:val="20"/>
          <w:szCs w:val="20"/>
          <w:color w:val="auto"/>
        </w:rPr>
      </w:pPr>
      <w:r>
        <w:rPr>
          <w:rFonts w:ascii="Arial" w:cs="Arial" w:eastAsia="Arial" w:hAnsi="Arial"/>
          <w:sz w:val="16"/>
          <w:szCs w:val="16"/>
          <w:color w:val="auto"/>
        </w:rPr>
        <w:t xml:space="preserve">The Board of Directors of National CineMedia,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granted an option under the National CineMedia, Inc. 2007 Equity Incentive Plan (the </w:t>
      </w:r>
      <w:r>
        <w:rPr>
          <w:rFonts w:ascii="Arial" w:cs="Arial" w:eastAsia="Arial" w:hAnsi="Arial"/>
          <w:sz w:val="16"/>
          <w:szCs w:val="16"/>
          <w:b w:val="1"/>
          <w:bCs w:val="1"/>
          <w:color w:val="auto"/>
        </w:rPr>
        <w:t>“Plan”</w:t>
      </w:r>
      <w:r>
        <w:rPr>
          <w:rFonts w:ascii="Arial" w:cs="Arial" w:eastAsia="Arial" w:hAnsi="Arial"/>
          <w:sz w:val="16"/>
          <w:szCs w:val="16"/>
          <w:color w:val="auto"/>
        </w:rPr>
        <w:t>) to purchase shares of common stock, $0.01 par value per share, of the Company (</w:t>
      </w:r>
      <w:r>
        <w:rPr>
          <w:rFonts w:ascii="Arial" w:cs="Arial" w:eastAsia="Arial" w:hAnsi="Arial"/>
          <w:sz w:val="16"/>
          <w:szCs w:val="16"/>
          <w:b w:val="1"/>
          <w:bCs w:val="1"/>
          <w:color w:val="auto"/>
        </w:rPr>
        <w:t>“Stock”</w:t>
      </w:r>
      <w:r>
        <w:rPr>
          <w:rFonts w:ascii="Arial" w:cs="Arial" w:eastAsia="Arial" w:hAnsi="Arial"/>
          <w:sz w:val="16"/>
          <w:szCs w:val="16"/>
          <w:color w:val="auto"/>
        </w:rPr>
        <w:t xml:space="preserve">) to the Optionee named below. This Stock Option Agreement (the </w:t>
      </w:r>
      <w:r>
        <w:rPr>
          <w:rFonts w:ascii="Arial" w:cs="Arial" w:eastAsia="Arial" w:hAnsi="Arial"/>
          <w:sz w:val="16"/>
          <w:szCs w:val="16"/>
          <w:b w:val="1"/>
          <w:bCs w:val="1"/>
          <w:color w:val="auto"/>
        </w:rPr>
        <w:t>“Agreement”</w:t>
      </w:r>
      <w:r>
        <w:rPr>
          <w:rFonts w:ascii="Arial" w:cs="Arial" w:eastAsia="Arial" w:hAnsi="Arial"/>
          <w:sz w:val="16"/>
          <w:szCs w:val="16"/>
          <w:color w:val="auto"/>
        </w:rPr>
        <w:t>) evidences the terms of the Company’s grant of an Option to Optionee.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NOTICE OF GRANT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Optionee: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of Stock Covered by the Option: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Price per Share: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Expiration 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Type of Option: </w:t>
      </w:r>
      <w:r>
        <w:rPr>
          <w:rFonts w:ascii="Arial" w:cs="Arial" w:eastAsia="Arial" w:hAnsi="Arial"/>
          <w:sz w:val="18"/>
          <w:szCs w:val="18"/>
          <w:color w:val="auto"/>
        </w:rPr>
        <w:t>Non-Qualified Stock Option</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Vesting Schedule: </w:t>
      </w:r>
      <w:r>
        <w:rPr>
          <w:rFonts w:ascii="Arial" w:cs="Arial" w:eastAsia="Arial" w:hAnsi="Arial"/>
          <w:sz w:val="18"/>
          <w:szCs w:val="18"/>
          <w:color w:val="auto"/>
        </w:rPr>
        <w:t>Except as provided otherwise in this Agreement and the Plan (including but not limited to Section 14.2 of the Plan which provides for</w:t>
      </w:r>
      <w:r>
        <w:rPr>
          <w:rFonts w:ascii="Arial" w:cs="Arial" w:eastAsia="Arial" w:hAnsi="Arial"/>
          <w:sz w:val="18"/>
          <w:szCs w:val="18"/>
          <w:b w:val="1"/>
          <w:bCs w:val="1"/>
          <w:color w:val="auto"/>
        </w:rPr>
        <w:t xml:space="preserve"> </w:t>
      </w:r>
      <w:r>
        <w:rPr>
          <w:rFonts w:ascii="Arial" w:cs="Arial" w:eastAsia="Arial" w:hAnsi="Arial"/>
          <w:sz w:val="18"/>
          <w:szCs w:val="18"/>
          <w:color w:val="auto"/>
        </w:rPr>
        <w:t>accelerated vesting upon certain terminations in connection with a Change of Control), Optionee’s right to purchase shares of Stock under this Option vests, as set forth below:</w:t>
      </w:r>
    </w:p>
    <w:p>
      <w:pPr>
        <w:sectPr>
          <w:pgSz w:w="11900" w:h="16838" w:orient="portrait"/>
          <w:cols w:equalWidth="0" w:num="1">
            <w:col w:w="11420"/>
          </w:cols>
          <w:pgMar w:left="240" w:top="125" w:right="239" w:bottom="1440" w:gutter="0" w:footer="0" w:header="0"/>
        </w:sectPr>
      </w:pPr>
    </w:p>
    <w:p>
      <w:pPr>
        <w:spacing w:after="0" w:line="323" w:lineRule="exact"/>
        <w:rPr>
          <w:sz w:val="20"/>
          <w:szCs w:val="20"/>
          <w:color w:val="auto"/>
        </w:rPr>
      </w:pPr>
    </w:p>
    <w:p>
      <w:pPr>
        <w:ind w:left="1380"/>
        <w:spacing w:after="0"/>
        <w:rPr>
          <w:sz w:val="20"/>
          <w:szCs w:val="20"/>
          <w:color w:val="auto"/>
        </w:rPr>
      </w:pPr>
      <w:r>
        <w:rPr>
          <w:rFonts w:ascii="Arial" w:cs="Arial" w:eastAsia="Arial" w:hAnsi="Arial"/>
          <w:sz w:val="11"/>
          <w:szCs w:val="11"/>
          <w:b w:val="1"/>
          <w:bCs w:val="1"/>
          <w:color w:val="auto"/>
        </w:rPr>
        <w:t>Service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22225</wp:posOffset>
            </wp:positionV>
            <wp:extent cx="7975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auto"/>
        </w:rPr>
        <w:t>Percentage of</w:t>
      </w:r>
    </w:p>
    <w:p>
      <w:pPr>
        <w:spacing w:after="0" w:line="2" w:lineRule="exact"/>
        <w:rPr>
          <w:sz w:val="20"/>
          <w:szCs w:val="20"/>
          <w:color w:val="auto"/>
        </w:rPr>
      </w:pPr>
    </w:p>
    <w:p>
      <w:pPr>
        <w:jc w:val="center"/>
        <w:ind w:right="440"/>
        <w:spacing w:after="0"/>
        <w:rPr>
          <w:sz w:val="20"/>
          <w:szCs w:val="20"/>
          <w:color w:val="auto"/>
        </w:rPr>
      </w:pPr>
      <w:r>
        <w:rPr>
          <w:rFonts w:ascii="Arial" w:cs="Arial" w:eastAsia="Arial" w:hAnsi="Arial"/>
          <w:sz w:val="11"/>
          <w:szCs w:val="11"/>
          <w:b w:val="1"/>
          <w:bCs w:val="1"/>
          <w:u w:val="single" w:color="auto"/>
          <w:color w:val="auto"/>
        </w:rPr>
        <w:t>Shares that Vest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1420"/>
        <w:spacing w:after="0"/>
        <w:rPr>
          <w:sz w:val="20"/>
          <w:szCs w:val="20"/>
          <w:color w:val="auto"/>
        </w:rPr>
      </w:pPr>
      <w:r>
        <w:rPr>
          <w:rFonts w:ascii="Arial" w:cs="Arial" w:eastAsia="Arial" w:hAnsi="Arial"/>
          <w:sz w:val="14"/>
          <w:szCs w:val="14"/>
          <w:b w:val="1"/>
          <w:bCs w:val="1"/>
          <w:color w:val="auto"/>
        </w:rPr>
        <w:t>Number of</w:t>
      </w:r>
    </w:p>
    <w:p>
      <w:pPr>
        <w:spacing w:after="0" w:line="2" w:lineRule="exact"/>
        <w:rPr>
          <w:sz w:val="20"/>
          <w:szCs w:val="20"/>
          <w:color w:val="auto"/>
        </w:rPr>
      </w:pPr>
    </w:p>
    <w:p>
      <w:pPr>
        <w:jc w:val="center"/>
        <w:ind w:right="1420"/>
        <w:spacing w:after="0"/>
        <w:rPr>
          <w:sz w:val="20"/>
          <w:szCs w:val="20"/>
          <w:color w:val="auto"/>
        </w:rPr>
      </w:pPr>
      <w:r>
        <w:rPr>
          <w:rFonts w:ascii="Arial" w:cs="Arial" w:eastAsia="Arial" w:hAnsi="Arial"/>
          <w:sz w:val="11"/>
          <w:szCs w:val="11"/>
          <w:b w:val="1"/>
          <w:bCs w:val="1"/>
          <w:u w:val="single" w:color="auto"/>
          <w:color w:val="auto"/>
        </w:rPr>
        <w:t>Shares that Vest</w:t>
      </w:r>
    </w:p>
    <w:p>
      <w:pPr>
        <w:spacing w:after="0" w:line="34" w:lineRule="exact"/>
        <w:rPr>
          <w:sz w:val="20"/>
          <w:szCs w:val="20"/>
          <w:color w:val="auto"/>
        </w:rPr>
      </w:pPr>
    </w:p>
    <w:p>
      <w:pPr>
        <w:sectPr>
          <w:pgSz w:w="11900" w:h="16838" w:orient="portrait"/>
          <w:cols w:equalWidth="0" w:num="3">
            <w:col w:w="6260" w:space="720"/>
            <w:col w:w="1380" w:space="720"/>
            <w:col w:w="2340"/>
          </w:cols>
          <w:pgMar w:left="240" w:top="125" w:right="239" w:bottom="1440" w:gutter="0" w:footer="0" w:header="0"/>
          <w:type w:val="continuous"/>
        </w:sectPr>
      </w:pPr>
    </w:p>
    <w:p>
      <w:pPr>
        <w:ind w:left="7600"/>
        <w:spacing w:after="0"/>
        <w:rPr>
          <w:sz w:val="20"/>
          <w:szCs w:val="20"/>
          <w:color w:val="auto"/>
        </w:rPr>
      </w:pPr>
      <w:r>
        <w:rPr>
          <w:rFonts w:ascii="Arial" w:cs="Arial" w:eastAsia="Arial" w:hAnsi="Arial"/>
          <w:sz w:val="16"/>
          <w:szCs w:val="16"/>
          <w:color w:val="auto"/>
        </w:rPr>
        <w:t>33.3%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-115570</wp:posOffset>
            </wp:positionV>
            <wp:extent cx="550545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pacing w:after="0" w:line="11" w:lineRule="exact"/>
        <w:rPr>
          <w:sz w:val="20"/>
          <w:szCs w:val="20"/>
          <w:color w:val="auto"/>
        </w:rPr>
      </w:pPr>
    </w:p>
    <w:p>
      <w:pPr>
        <w:ind w:left="7600"/>
        <w:spacing w:after="0"/>
        <w:rPr>
          <w:sz w:val="20"/>
          <w:szCs w:val="20"/>
          <w:color w:val="auto"/>
        </w:rPr>
      </w:pPr>
      <w:r>
        <w:rPr>
          <w:rFonts w:ascii="Arial" w:cs="Arial" w:eastAsia="Arial" w:hAnsi="Arial"/>
          <w:sz w:val="16"/>
          <w:szCs w:val="16"/>
          <w:color w:val="auto"/>
        </w:rPr>
        <w:t>33.3%</w:t>
      </w:r>
    </w:p>
    <w:p>
      <w:pPr>
        <w:spacing w:after="0" w:line="32" w:lineRule="exact"/>
        <w:rPr>
          <w:sz w:val="20"/>
          <w:szCs w:val="20"/>
          <w:color w:val="auto"/>
        </w:rPr>
      </w:pPr>
    </w:p>
    <w:p>
      <w:pPr>
        <w:ind w:left="7600"/>
        <w:spacing w:after="0"/>
        <w:rPr>
          <w:sz w:val="20"/>
          <w:szCs w:val="20"/>
          <w:color w:val="auto"/>
        </w:rPr>
      </w:pPr>
      <w:r>
        <w:rPr>
          <w:rFonts w:ascii="Arial" w:cs="Arial" w:eastAsia="Arial" w:hAnsi="Arial"/>
          <w:sz w:val="16"/>
          <w:szCs w:val="16"/>
          <w:color w:val="auto"/>
        </w:rPr>
        <w:t>33.4%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-114935</wp:posOffset>
            </wp:positionV>
            <wp:extent cx="5505450" cy="1371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505450" cy="13716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 STOCK OPTION AGREEMENT</w:t>
      </w:r>
    </w:p>
    <w:p>
      <w:pPr>
        <w:spacing w:after="0" w:line="171" w:lineRule="exact"/>
        <w:rPr>
          <w:sz w:val="20"/>
          <w:szCs w:val="20"/>
          <w:color w:val="auto"/>
        </w:rPr>
      </w:pPr>
    </w:p>
    <w:p>
      <w:pPr>
        <w:jc w:val="both"/>
        <w:ind w:right="40" w:firstLine="464"/>
        <w:spacing w:after="0" w:line="301" w:lineRule="auto"/>
        <w:tabs>
          <w:tab w:leader="none" w:pos="632" w:val="left"/>
        </w:tabs>
        <w:numPr>
          <w:ilvl w:val="0"/>
          <w:numId w:val="48"/>
        </w:numPr>
        <w:rPr>
          <w:rFonts w:ascii="Arial" w:cs="Arial" w:eastAsia="Arial" w:hAnsi="Arial"/>
          <w:sz w:val="16"/>
          <w:szCs w:val="16"/>
          <w:color w:val="auto"/>
        </w:rPr>
      </w:pPr>
      <w:r>
        <w:rPr>
          <w:rFonts w:ascii="Arial" w:cs="Arial" w:eastAsia="Arial" w:hAnsi="Arial"/>
          <w:sz w:val="16"/>
          <w:szCs w:val="16"/>
          <w:b w:val="1"/>
          <w:bCs w:val="1"/>
          <w:color w:val="auto"/>
        </w:rPr>
        <w:t xml:space="preserve">Grant of Option. </w:t>
      </w:r>
      <w:r>
        <w:rPr>
          <w:rFonts w:ascii="Arial" w:cs="Arial" w:eastAsia="Arial" w:hAnsi="Arial"/>
          <w:sz w:val="16"/>
          <w:szCs w:val="16"/>
          <w:color w:val="auto"/>
        </w:rPr>
        <w:t>Subject to the terms and conditions of this Agreement and the Plan, the Company granted to Optionee, an Option to purchase the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shares of Stock, at the Exercise Price (each as set forth on the cover page of this Agreement), and subject to the terms and conditions of the Plan, which is incorporated herein by reference. In the event of a conflict between the terms and conditions of the Plan and this Agreement, the terms and conditions of the Plan shall govern. All capitalized terms in this Agreement shall have the meaning assigned to them in this Agreement or in the Plan.</w:t>
      </w:r>
    </w:p>
    <w:p>
      <w:pPr>
        <w:spacing w:after="0" w:line="103" w:lineRule="exact"/>
        <w:rPr>
          <w:rFonts w:ascii="Arial" w:cs="Arial" w:eastAsia="Arial" w:hAnsi="Arial"/>
          <w:sz w:val="16"/>
          <w:szCs w:val="16"/>
          <w:color w:val="auto"/>
        </w:rPr>
      </w:pPr>
    </w:p>
    <w:p>
      <w:pPr>
        <w:ind w:left="640" w:hanging="17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Type of Option</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This Option is a Non-Qualified Stock Option.</w:t>
      </w:r>
    </w:p>
    <w:p>
      <w:pPr>
        <w:spacing w:after="0" w:line="171" w:lineRule="exact"/>
        <w:rPr>
          <w:rFonts w:ascii="Arial" w:cs="Arial" w:eastAsia="Arial" w:hAnsi="Arial"/>
          <w:sz w:val="18"/>
          <w:szCs w:val="18"/>
          <w:color w:val="auto"/>
        </w:rPr>
      </w:pPr>
    </w:p>
    <w:p>
      <w:pPr>
        <w:ind w:right="200" w:firstLine="464"/>
        <w:spacing w:after="0" w:line="275" w:lineRule="auto"/>
        <w:tabs>
          <w:tab w:leader="none" w:pos="632"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Vesting</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is only exercisable, in whole or in part, before it expires and then only with respect to the vested portion of the Option.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preceding sentence, Optionee may exercise this Option, by following the procedures set forth in this Agreement.</w:t>
      </w:r>
    </w:p>
    <w:p>
      <w:pPr>
        <w:spacing w:after="0" w:line="12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Except as provided otherwise in this Agreement and the Plan (including but not limited to Section 14.2 of the Plan which provides for accelerated vesting upon certain terminations in connection with a Change of Control), Optionee’s right to purchase shares of Stock under this Option vests as set forth on the Vesting Schedule in the Notice of Grant. No additional shares will vest after Optionee’s termination of Service for any reason.</w:t>
      </w:r>
    </w:p>
    <w:p>
      <w:pPr>
        <w:spacing w:after="0" w:line="101" w:lineRule="exact"/>
        <w:rPr>
          <w:sz w:val="20"/>
          <w:szCs w:val="20"/>
          <w:color w:val="auto"/>
        </w:rPr>
      </w:pPr>
    </w:p>
    <w:p>
      <w:pPr>
        <w:ind w:right="200" w:firstLine="464"/>
        <w:spacing w:after="0" w:line="310" w:lineRule="auto"/>
        <w:tabs>
          <w:tab w:leader="none" w:pos="632"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 xml:space="preserve">Option Term; Expiration Date. </w:t>
      </w:r>
      <w:r>
        <w:rPr>
          <w:rFonts w:ascii="Arial" w:cs="Arial" w:eastAsia="Arial" w:hAnsi="Arial"/>
          <w:sz w:val="16"/>
          <w:szCs w:val="16"/>
          <w:color w:val="auto"/>
        </w:rPr>
        <w:t>This Option shall have a maximum term of ten (10) years measured from the original Grant Date (as set forth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table on the cover sheet of this Agreement) and shall accordingly expire at the close of business at Company headquarters on the tenth anniversary of the Grant Date, unless sooner terminated in accordance with Section 5 of this Agreement (the </w:t>
      </w:r>
      <w:r>
        <w:rPr>
          <w:rFonts w:ascii="Arial" w:cs="Arial" w:eastAsia="Arial" w:hAnsi="Arial"/>
          <w:sz w:val="16"/>
          <w:szCs w:val="16"/>
          <w:b w:val="1"/>
          <w:bCs w:val="1"/>
          <w:color w:val="auto"/>
        </w:rPr>
        <w:t>“Expiration Date”</w:t>
      </w:r>
      <w:r>
        <w:rPr>
          <w:rFonts w:ascii="Arial" w:cs="Arial" w:eastAsia="Arial" w:hAnsi="Arial"/>
          <w:sz w:val="16"/>
          <w:szCs w:val="16"/>
          <w:color w:val="auto"/>
        </w:rPr>
        <w:t>).</w:t>
      </w:r>
    </w:p>
    <w:p>
      <w:pPr>
        <w:spacing w:after="0" w:line="97" w:lineRule="exact"/>
        <w:rPr>
          <w:rFonts w:ascii="Arial" w:cs="Arial" w:eastAsia="Arial" w:hAnsi="Arial"/>
          <w:sz w:val="16"/>
          <w:szCs w:val="16"/>
          <w:color w:val="auto"/>
        </w:rPr>
      </w:pPr>
    </w:p>
    <w:p>
      <w:pPr>
        <w:ind w:right="300" w:firstLine="464"/>
        <w:spacing w:after="0" w:line="275" w:lineRule="auto"/>
        <w:tabs>
          <w:tab w:leader="none" w:pos="632"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Termination of Service; Expiration of Option</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If Optionee terminates Service with the Company and its Affiliates prior to the Expiration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shall apply:</w:t>
      </w:r>
    </w:p>
    <w:p>
      <w:pPr>
        <w:spacing w:after="0" w:line="38" w:lineRule="exact"/>
        <w:rPr>
          <w:rFonts w:ascii="Arial" w:cs="Arial" w:eastAsia="Arial" w:hAnsi="Arial"/>
          <w:sz w:val="18"/>
          <w:szCs w:val="18"/>
          <w:color w:val="auto"/>
        </w:rPr>
      </w:pPr>
    </w:p>
    <w:p>
      <w:pPr>
        <w:ind w:left="460" w:right="60" w:firstLine="443"/>
        <w:spacing w:after="0" w:line="301" w:lineRule="auto"/>
        <w:tabs>
          <w:tab w:leader="none" w:pos="1137" w:val="left"/>
        </w:tabs>
        <w:numPr>
          <w:ilvl w:val="1"/>
          <w:numId w:val="49"/>
        </w:numPr>
        <w:rPr>
          <w:rFonts w:ascii="Arial" w:cs="Arial" w:eastAsia="Arial" w:hAnsi="Arial"/>
          <w:sz w:val="16"/>
          <w:szCs w:val="16"/>
          <w:color w:val="auto"/>
        </w:rPr>
      </w:pPr>
      <w:r>
        <w:rPr>
          <w:rFonts w:ascii="Arial" w:cs="Arial" w:eastAsia="Arial" w:hAnsi="Arial"/>
          <w:sz w:val="16"/>
          <w:szCs w:val="16"/>
          <w:b w:val="1"/>
          <w:bCs w:val="1"/>
          <w:color w:val="auto"/>
        </w:rPr>
        <w:t>By the Company Without Cause or By Optionee</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If Optionee’s Service is terminated by the Company or its Affiliate without Cause or</w:t>
      </w:r>
      <w:r>
        <w:rPr>
          <w:rFonts w:ascii="Arial" w:cs="Arial" w:eastAsia="Arial" w:hAnsi="Arial"/>
          <w:sz w:val="16"/>
          <w:szCs w:val="16"/>
          <w:b w:val="1"/>
          <w:bCs w:val="1"/>
          <w:color w:val="auto"/>
        </w:rPr>
        <w:t xml:space="preserve"> </w:t>
      </w:r>
      <w:r>
        <w:rPr>
          <w:rFonts w:ascii="Arial" w:cs="Arial" w:eastAsia="Arial" w:hAnsi="Arial"/>
          <w:sz w:val="16"/>
          <w:szCs w:val="16"/>
          <w:color w:val="auto"/>
        </w:rPr>
        <w:t>Optionee terminates Service, then the vested portion of the Option will expire at the close of business at Company headquarters on the 90</w:t>
      </w:r>
      <w:r>
        <w:rPr>
          <w:rFonts w:ascii="Arial" w:cs="Arial" w:eastAsia="Arial" w:hAnsi="Arial"/>
          <w:sz w:val="10"/>
          <w:szCs w:val="10"/>
          <w:color w:val="auto"/>
        </w:rPr>
        <w:t>th</w:t>
      </w:r>
      <w:r>
        <w:rPr>
          <w:rFonts w:ascii="Arial" w:cs="Arial" w:eastAsia="Arial" w:hAnsi="Arial"/>
          <w:sz w:val="16"/>
          <w:szCs w:val="16"/>
          <w:color w:val="auto"/>
        </w:rPr>
        <w:t xml:space="preserve"> day after Optionee terminates Service, but in no event after the Expiration Date. The unvested portion of the Option automatically expires on the date of termination of Service. Section 14.2 of the Plan provides for accelerated vesting upon certain conditions in connection with a Change of Control.</w:t>
      </w:r>
    </w:p>
    <w:p>
      <w:pPr>
        <w:spacing w:after="0" w:line="22" w:lineRule="exact"/>
        <w:rPr>
          <w:rFonts w:ascii="Arial" w:cs="Arial" w:eastAsia="Arial" w:hAnsi="Arial"/>
          <w:sz w:val="16"/>
          <w:szCs w:val="16"/>
          <w:color w:val="auto"/>
        </w:rPr>
      </w:pPr>
    </w:p>
    <w:p>
      <w:pPr>
        <w:ind w:left="460" w:right="200" w:firstLine="443"/>
        <w:spacing w:after="0" w:line="334" w:lineRule="auto"/>
        <w:tabs>
          <w:tab w:leader="none" w:pos="1147" w:val="left"/>
        </w:tabs>
        <w:numPr>
          <w:ilvl w:val="1"/>
          <w:numId w:val="49"/>
        </w:numPr>
        <w:rPr>
          <w:rFonts w:ascii="Arial" w:cs="Arial" w:eastAsia="Arial" w:hAnsi="Arial"/>
          <w:sz w:val="16"/>
          <w:szCs w:val="16"/>
          <w:color w:val="auto"/>
        </w:rPr>
      </w:pPr>
      <w:r>
        <w:rPr>
          <w:rFonts w:ascii="Arial" w:cs="Arial" w:eastAsia="Arial" w:hAnsi="Arial"/>
          <w:sz w:val="16"/>
          <w:szCs w:val="16"/>
          <w:b w:val="1"/>
          <w:bCs w:val="1"/>
          <w:color w:val="auto"/>
        </w:rPr>
        <w:t xml:space="preserve">Termination for Cause. </w:t>
      </w:r>
      <w:r>
        <w:rPr>
          <w:rFonts w:ascii="Arial" w:cs="Arial" w:eastAsia="Arial" w:hAnsi="Arial"/>
          <w:sz w:val="16"/>
          <w:szCs w:val="16"/>
          <w:color w:val="auto"/>
        </w:rPr>
        <w:t>If Optionee’s Service is terminated by the Company or an Affiliate for Cause, then Optionee shall immediately forfeit</w:t>
      </w:r>
      <w:r>
        <w:rPr>
          <w:rFonts w:ascii="Arial" w:cs="Arial" w:eastAsia="Arial" w:hAnsi="Arial"/>
          <w:sz w:val="16"/>
          <w:szCs w:val="16"/>
          <w:b w:val="1"/>
          <w:bCs w:val="1"/>
          <w:color w:val="auto"/>
        </w:rPr>
        <w:t xml:space="preserve"> </w:t>
      </w:r>
      <w:r>
        <w:rPr>
          <w:rFonts w:ascii="Arial" w:cs="Arial" w:eastAsia="Arial" w:hAnsi="Arial"/>
          <w:sz w:val="16"/>
          <w:szCs w:val="16"/>
          <w:color w:val="auto"/>
        </w:rPr>
        <w:t>all rights to the Option (whether or not vested) and the Option shall immediately expire on the date of termination of Service.</w:t>
      </w:r>
    </w:p>
    <w:p>
      <w:pPr>
        <w:spacing w:after="0" w:line="1" w:lineRule="exact"/>
        <w:rPr>
          <w:rFonts w:ascii="Arial" w:cs="Arial" w:eastAsia="Arial" w:hAnsi="Arial"/>
          <w:sz w:val="16"/>
          <w:szCs w:val="16"/>
          <w:color w:val="auto"/>
        </w:rPr>
      </w:pPr>
    </w:p>
    <w:p>
      <w:pPr>
        <w:ind w:left="460" w:right="220" w:firstLine="443"/>
        <w:spacing w:after="0" w:line="262" w:lineRule="auto"/>
        <w:tabs>
          <w:tab w:leader="none" w:pos="1137" w:val="left"/>
        </w:tabs>
        <w:numPr>
          <w:ilvl w:val="1"/>
          <w:numId w:val="49"/>
        </w:numPr>
        <w:rPr>
          <w:rFonts w:ascii="Arial" w:cs="Arial" w:eastAsia="Arial" w:hAnsi="Arial"/>
          <w:sz w:val="18"/>
          <w:szCs w:val="18"/>
          <w:color w:val="auto"/>
        </w:rPr>
      </w:pPr>
      <w:r>
        <w:rPr>
          <w:rFonts w:ascii="Arial" w:cs="Arial" w:eastAsia="Arial" w:hAnsi="Arial"/>
          <w:sz w:val="18"/>
          <w:szCs w:val="18"/>
          <w:b w:val="1"/>
          <w:bCs w:val="1"/>
          <w:color w:val="auto"/>
        </w:rPr>
        <w:t>Disability</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If Optionee terminates Service because of Optionee’s Disability, then the vested portion of the Option will expire at the close of</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at Company headquarters on the date twelve (12) months after Optionee’s termination of Service, but in no event after the Expiration Date. The unvested portion of the Option automatically expires on the date of termination of Service.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106" w:name="page107"/>
    <w:bookmarkEnd w:id="106"/>
    <w:p>
      <w:pPr>
        <w:ind w:left="460" w:right="40" w:firstLine="443"/>
        <w:spacing w:after="0" w:line="291" w:lineRule="auto"/>
        <w:tabs>
          <w:tab w:leader="none" w:pos="1147" w:val="left"/>
        </w:tabs>
        <w:numPr>
          <w:ilvl w:val="1"/>
          <w:numId w:val="50"/>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Death</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If Optionee terminates Service because of Optionee’s death, then the vested portion of the Option will expire at the close of business at</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headquarters on the date twelve (12) months after the date of death, but in no event after the Expiration Date. During that twelve (12) month period, Optionee’s estate or heirs may exercise the vested portion of the Option. The unvested portion of the Option automatically expires on the date of termination of Service. In addition, if Optionee dies during the 90-day period described in subsection 5(a), and a vested portion of the Option has not yet been exercised, then the vested portion of the Option will instead expire on the date twelve (12) months after Optionee’s termination of Service, but in no event after the Expiration Date. In such a case, during the period following Optionee’s death up to the date twelve (12) months after termination of Service, Optionee’s estate or heirs may exercise the vested portion of the Option.</w:t>
      </w:r>
    </w:p>
    <w:p>
      <w:pPr>
        <w:spacing w:after="0" w:line="113" w:lineRule="exact"/>
        <w:rPr>
          <w:rFonts w:ascii="Arial" w:cs="Arial" w:eastAsia="Arial" w:hAnsi="Arial"/>
          <w:sz w:val="16"/>
          <w:szCs w:val="16"/>
          <w:color w:val="auto"/>
        </w:rPr>
      </w:pPr>
    </w:p>
    <w:p>
      <w:pPr>
        <w:ind w:right="60" w:firstLine="464"/>
        <w:spacing w:after="0" w:line="255" w:lineRule="auto"/>
        <w:tabs>
          <w:tab w:leader="none" w:pos="632"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 xml:space="preserve">Leave of Absence. </w:t>
      </w:r>
      <w:r>
        <w:rPr>
          <w:rFonts w:ascii="Arial" w:cs="Arial" w:eastAsia="Arial" w:hAnsi="Arial"/>
          <w:sz w:val="18"/>
          <w:szCs w:val="18"/>
          <w:color w:val="auto"/>
        </w:rPr>
        <w:t>For purposes of the Option, Service does not terminate when Optionee goes on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bona fide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leave of absence that was</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by the Company or an Affiliate in writing, if the terms of the leave provide for continued Service crediting, or when continued Service crediting is required by applicable law. However, Service will be treated as terminating 90 days after Optionee went on the approved leave, unless Optionee’s right to return to active work is guaranteed by law or by a contract. Service terminates in any event when the approved leave ends unless Optionee immediately returns to active Service. The Committee determines, in its sole discretion, which leaves of absence count for this purpose, and when Service terminates for all purposes under the Plan.</w:t>
      </w:r>
    </w:p>
    <w:p>
      <w:pPr>
        <w:spacing w:after="0" w:line="139" w:lineRule="exact"/>
        <w:rPr>
          <w:rFonts w:ascii="Arial" w:cs="Arial" w:eastAsia="Arial" w:hAnsi="Arial"/>
          <w:sz w:val="18"/>
          <w:szCs w:val="18"/>
          <w:color w:val="auto"/>
        </w:rPr>
      </w:pPr>
    </w:p>
    <w:p>
      <w:pPr>
        <w:ind w:left="640" w:hanging="17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Option Exercise.</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1"/>
          <w:numId w:val="51"/>
        </w:numPr>
        <w:rPr>
          <w:rFonts w:ascii="Arial" w:cs="Arial" w:eastAsia="Arial" w:hAnsi="Arial"/>
          <w:sz w:val="16"/>
          <w:szCs w:val="16"/>
          <w:color w:val="auto"/>
        </w:rPr>
      </w:pPr>
      <w:r>
        <w:rPr>
          <w:rFonts w:ascii="Arial" w:cs="Arial" w:eastAsia="Arial" w:hAnsi="Arial"/>
          <w:sz w:val="16"/>
          <w:szCs w:val="16"/>
          <w:b w:val="1"/>
          <w:bCs w:val="1"/>
          <w:color w:val="auto"/>
        </w:rPr>
        <w:t xml:space="preserve">Right to Exercise. </w:t>
      </w:r>
      <w:r>
        <w:rPr>
          <w:rFonts w:ascii="Arial" w:cs="Arial" w:eastAsia="Arial" w:hAnsi="Arial"/>
          <w:sz w:val="16"/>
          <w:szCs w:val="16"/>
          <w:color w:val="auto"/>
        </w:rPr>
        <w:t>The Option shall be exercisable on or before the Expiration Date in accordance with the vesting schedule set forth in</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3.</w:t>
      </w:r>
    </w:p>
    <w:p>
      <w:pPr>
        <w:spacing w:after="0" w:line="78" w:lineRule="exact"/>
        <w:rPr>
          <w:sz w:val="20"/>
          <w:szCs w:val="20"/>
          <w:color w:val="auto"/>
        </w:rPr>
      </w:pPr>
    </w:p>
    <w:p>
      <w:pPr>
        <w:ind w:left="460" w:firstLine="443"/>
        <w:spacing w:after="0" w:line="293" w:lineRule="auto"/>
        <w:tabs>
          <w:tab w:leader="none" w:pos="1147" w:val="left"/>
        </w:tabs>
        <w:numPr>
          <w:ilvl w:val="0"/>
          <w:numId w:val="52"/>
        </w:numPr>
        <w:rPr>
          <w:rFonts w:ascii="Arial" w:cs="Arial" w:eastAsia="Arial" w:hAnsi="Arial"/>
          <w:sz w:val="16"/>
          <w:szCs w:val="16"/>
          <w:color w:val="auto"/>
        </w:rPr>
      </w:pPr>
      <w:r>
        <w:rPr>
          <w:rFonts w:ascii="Arial" w:cs="Arial" w:eastAsia="Arial" w:hAnsi="Arial"/>
          <w:sz w:val="16"/>
          <w:szCs w:val="16"/>
          <w:b w:val="1"/>
          <w:bCs w:val="1"/>
          <w:color w:val="auto"/>
        </w:rPr>
        <w:t>Notice of Exercise</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 shall be exercised by delivery of written notice to the Committee (or an officer of the Company designated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on any business day, at the Company’s principal office, on the form specified by the Company. The notice shall specify the number of shares of Stock to be purchased, accompanied by full payment of the Exercise Price for the shares being purchased. The notice must also specify how the shares should be registered (in the name of Optionee or in both the names of Optionee and Optionee’s spouse as joint tenants with right of survivorship). The notice of exercise will be effective when it is received by the Company. Anyone exercising the Option after the death of Optionee must provide appropriate documentation to the satisfaction of the Company that the individual is entitled to exercise the Option.</w:t>
      </w:r>
    </w:p>
    <w:p>
      <w:pPr>
        <w:spacing w:after="0" w:line="29" w:lineRule="exact"/>
        <w:rPr>
          <w:rFonts w:ascii="Arial" w:cs="Arial" w:eastAsia="Arial" w:hAnsi="Arial"/>
          <w:sz w:val="16"/>
          <w:szCs w:val="16"/>
          <w:color w:val="auto"/>
        </w:rPr>
      </w:pPr>
    </w:p>
    <w:p>
      <w:pPr>
        <w:ind w:left="460" w:right="200" w:firstLine="443"/>
        <w:spacing w:after="0" w:line="275" w:lineRule="auto"/>
        <w:tabs>
          <w:tab w:leader="none" w:pos="1137"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Payment of Exercise Price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the Exercise Price for the number of shares of Stock being purchased in full shall be made in one (or a</w:t>
      </w:r>
      <w:r>
        <w:rPr>
          <w:rFonts w:ascii="Arial" w:cs="Arial" w:eastAsia="Arial" w:hAnsi="Arial"/>
          <w:sz w:val="18"/>
          <w:szCs w:val="18"/>
          <w:b w:val="1"/>
          <w:bCs w:val="1"/>
          <w:color w:val="auto"/>
        </w:rPr>
        <w:t xml:space="preserve"> </w:t>
      </w:r>
      <w:r>
        <w:rPr>
          <w:rFonts w:ascii="Arial" w:cs="Arial" w:eastAsia="Arial" w:hAnsi="Arial"/>
          <w:sz w:val="18"/>
          <w:szCs w:val="18"/>
          <w:color w:val="auto"/>
        </w:rPr>
        <w:t>combination) of the following forms:</w:t>
      </w:r>
    </w:p>
    <w:p>
      <w:pPr>
        <w:spacing w:after="0" w:line="44" w:lineRule="exact"/>
        <w:rPr>
          <w:rFonts w:ascii="Arial" w:cs="Arial" w:eastAsia="Arial" w:hAnsi="Arial"/>
          <w:sz w:val="18"/>
          <w:szCs w:val="18"/>
          <w:color w:val="auto"/>
        </w:rPr>
      </w:pPr>
    </w:p>
    <w:p>
      <w:pPr>
        <w:ind w:left="1560" w:hanging="219"/>
        <w:spacing w:after="0"/>
        <w:tabs>
          <w:tab w:leader="none" w:pos="15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Cash or cash equivalents acceptable to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07" w:name="page108"/>
    <w:bookmarkEnd w:id="107"/>
    <w:p>
      <w:pPr>
        <w:jc w:val="both"/>
        <w:ind w:left="900" w:right="20" w:firstLine="421"/>
        <w:spacing w:after="0" w:line="259" w:lineRule="auto"/>
        <w:tabs>
          <w:tab w:leader="none" w:pos="1578" w:val="left"/>
        </w:tabs>
        <w:numPr>
          <w:ilvl w:val="1"/>
          <w:numId w:val="5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of Stock which have already been owned by Optionee (purchased on the open market or owned for at least six months or such other period designated by the Committee) which are surrendered to the Company. The Fair Market Value of the shares, determined as of the effective date of the Option exercise, will be applied to the Exercise Price.</w:t>
      </w:r>
    </w:p>
    <w:p>
      <w:pPr>
        <w:spacing w:after="0" w:line="59" w:lineRule="exact"/>
        <w:rPr>
          <w:rFonts w:ascii="Arial" w:cs="Arial" w:eastAsia="Arial" w:hAnsi="Arial"/>
          <w:sz w:val="18"/>
          <w:szCs w:val="18"/>
          <w:color w:val="auto"/>
        </w:rPr>
      </w:pPr>
    </w:p>
    <w:p>
      <w:pPr>
        <w:ind w:left="900" w:right="320" w:firstLine="421"/>
        <w:spacing w:after="0" w:line="306" w:lineRule="auto"/>
        <w:tabs>
          <w:tab w:leader="none" w:pos="1627" w:val="left"/>
        </w:tabs>
        <w:numPr>
          <w:ilvl w:val="1"/>
          <w:numId w:val="53"/>
        </w:numPr>
        <w:rPr>
          <w:rFonts w:ascii="Arial" w:cs="Arial" w:eastAsia="Arial" w:hAnsi="Arial"/>
          <w:sz w:val="16"/>
          <w:szCs w:val="16"/>
          <w:color w:val="auto"/>
        </w:rPr>
      </w:pPr>
      <w:r>
        <w:rPr>
          <w:rFonts w:ascii="Arial" w:cs="Arial" w:eastAsia="Arial" w:hAnsi="Arial"/>
          <w:sz w:val="16"/>
          <w:szCs w:val="16"/>
          <w:color w:val="auto"/>
        </w:rPr>
        <w:t>To the extent a public market for the shares of Stock exists as determined by the Company, by delivery (on a form prescribed by the Company) of an irrevocable direction to a licensed securities broker acceptable to the Company to sell shares and to deliver all or part of the sale proceeds to the Company in payment of the aggregate Exercise Price and any withholding taxes.</w:t>
      </w:r>
    </w:p>
    <w:p>
      <w:pPr>
        <w:spacing w:after="0" w:line="100" w:lineRule="exact"/>
        <w:rPr>
          <w:rFonts w:ascii="Arial" w:cs="Arial" w:eastAsia="Arial" w:hAnsi="Arial"/>
          <w:sz w:val="16"/>
          <w:szCs w:val="16"/>
          <w:color w:val="auto"/>
        </w:rPr>
      </w:pPr>
    </w:p>
    <w:p>
      <w:pPr>
        <w:ind w:left="-20" w:right="60" w:firstLine="464"/>
        <w:spacing w:after="0" w:line="289" w:lineRule="auto"/>
        <w:tabs>
          <w:tab w:leader="none" w:pos="612"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 xml:space="preserve">Tax Withholding. </w:t>
      </w:r>
      <w:r>
        <w:rPr>
          <w:rFonts w:ascii="Arial" w:cs="Arial" w:eastAsia="Arial" w:hAnsi="Arial"/>
          <w:sz w:val="16"/>
          <w:szCs w:val="16"/>
          <w:color w:val="auto"/>
        </w:rPr>
        <w:t>The Company or any Affiliate shall have the right to deduct from payments of any kind otherwise due to Optionee, any federal, state,</w:t>
      </w:r>
      <w:r>
        <w:rPr>
          <w:rFonts w:ascii="Arial" w:cs="Arial" w:eastAsia="Arial" w:hAnsi="Arial"/>
          <w:sz w:val="16"/>
          <w:szCs w:val="16"/>
          <w:b w:val="1"/>
          <w:bCs w:val="1"/>
          <w:color w:val="auto"/>
        </w:rPr>
        <w:t xml:space="preserve"> </w:t>
      </w:r>
      <w:r>
        <w:rPr>
          <w:rFonts w:ascii="Arial" w:cs="Arial" w:eastAsia="Arial" w:hAnsi="Arial"/>
          <w:sz w:val="16"/>
          <w:szCs w:val="16"/>
          <w:color w:val="auto"/>
        </w:rPr>
        <w:t>local or foreign taxes of any kind required by law to be withheld upon the issuance of any shares of Stock or payment of any kind upon the exercise of this Option. Subject to the prior approval of the Committee, which may be withheld by the Committee, in its sole discretion, Optionee may elect to satisfy the minimum statutory withholding obligations, in whole or in part, (i) by having the Company withhold shares of Stock otherwise issuable to Optionee or (ii) by delivering to the Company shares of Stock already owned by Optionee. The shares delivered or withheld shall have an aggregate Fair Market Value not in excess of the minimum statutory total tax withholding obligations. The Fair Market Value of the shares used to satisfy the withholding obligation shall be determined by the Company as of the date that the amount of tax to be withheld is to be determined. Shares used to satisfy any tax withholding obligation must be vested and cannot be subject to any repurchase, forfeiture, or other similar requirements. Any election to withhold shares shall be irrevocable, made in writing, signed by Optionee, and shall be subject to any restrictions or limitations that the Committee, in its sole discretion, deems appropriate.</w:t>
      </w:r>
    </w:p>
    <w:p>
      <w:pPr>
        <w:spacing w:after="0" w:line="112" w:lineRule="exact"/>
        <w:rPr>
          <w:rFonts w:ascii="Arial" w:cs="Arial" w:eastAsia="Arial" w:hAnsi="Arial"/>
          <w:sz w:val="16"/>
          <w:szCs w:val="16"/>
          <w:color w:val="auto"/>
        </w:rPr>
      </w:pPr>
    </w:p>
    <w:p>
      <w:pPr>
        <w:ind w:left="-20" w:right="100" w:firstLine="464"/>
        <w:spacing w:after="0" w:line="301" w:lineRule="auto"/>
        <w:tabs>
          <w:tab w:leader="none" w:pos="612"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 xml:space="preserve">Transfer of Option. </w:t>
      </w:r>
      <w:r>
        <w:rPr>
          <w:rFonts w:ascii="Arial" w:cs="Arial" w:eastAsia="Arial" w:hAnsi="Arial"/>
          <w:sz w:val="16"/>
          <w:szCs w:val="16"/>
          <w:color w:val="auto"/>
        </w:rPr>
        <w:t>During Optionee’s lifetime, only Optionee (or, in the event of Optionee’s legal incapacity or incompetency, Optionee’s guardian or</w:t>
      </w:r>
      <w:r>
        <w:rPr>
          <w:rFonts w:ascii="Arial" w:cs="Arial" w:eastAsia="Arial" w:hAnsi="Arial"/>
          <w:sz w:val="16"/>
          <w:szCs w:val="16"/>
          <w:b w:val="1"/>
          <w:bCs w:val="1"/>
          <w:color w:val="auto"/>
        </w:rPr>
        <w:t xml:space="preserve"> </w:t>
      </w:r>
      <w:r>
        <w:rPr>
          <w:rFonts w:ascii="Arial" w:cs="Arial" w:eastAsia="Arial" w:hAnsi="Arial"/>
          <w:sz w:val="16"/>
          <w:szCs w:val="16"/>
          <w:color w:val="auto"/>
        </w:rPr>
        <w:t>legal representative) may exercise the Option. Optionee cannot transfer or assign the Option. Upon any attempt to transfer or assign the Option, the Option will immediately become invalid. Regardless of any marital property settlement agreement, the Company is not obligated to honor a notice of exercise from Optionee’s spouse, nor is the Company obligated to recognize Optionee’s spouse’s interest in the Option in any other way.</w:t>
      </w:r>
    </w:p>
    <w:p>
      <w:pPr>
        <w:spacing w:after="0" w:line="103" w:lineRule="exact"/>
        <w:rPr>
          <w:rFonts w:ascii="Arial" w:cs="Arial" w:eastAsia="Arial" w:hAnsi="Arial"/>
          <w:sz w:val="16"/>
          <w:szCs w:val="16"/>
          <w:color w:val="auto"/>
        </w:rPr>
      </w:pPr>
    </w:p>
    <w:p>
      <w:pPr>
        <w:ind w:left="-20" w:firstLine="464"/>
        <w:spacing w:after="0" w:line="262" w:lineRule="auto"/>
        <w:tabs>
          <w:tab w:leader="none" w:pos="70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 xml:space="preserve">Investment Representations. </w:t>
      </w:r>
      <w:r>
        <w:rPr>
          <w:rFonts w:ascii="Arial" w:cs="Arial" w:eastAsia="Arial" w:hAnsi="Arial"/>
          <w:sz w:val="18"/>
          <w:szCs w:val="18"/>
          <w:color w:val="auto"/>
        </w:rPr>
        <w:t>The Committee may require Optionee (or Optionee’s estate or heirs) to represent and warrant in writing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is acquiring the shares of Stock for investment and without any present intention to sell or distribute such shares and to make such other representations as are deemed necessary or appropriate by the Company and its counsel.</w:t>
      </w:r>
    </w:p>
    <w:p>
      <w:pPr>
        <w:spacing w:after="0" w:line="132" w:lineRule="exact"/>
        <w:rPr>
          <w:rFonts w:ascii="Arial" w:cs="Arial" w:eastAsia="Arial" w:hAnsi="Arial"/>
          <w:sz w:val="18"/>
          <w:szCs w:val="18"/>
          <w:color w:val="auto"/>
        </w:rPr>
      </w:pPr>
    </w:p>
    <w:p>
      <w:pPr>
        <w:ind w:left="-20" w:right="80" w:firstLine="464"/>
        <w:spacing w:after="0" w:line="339" w:lineRule="auto"/>
        <w:tabs>
          <w:tab w:leader="none" w:pos="693" w:val="left"/>
        </w:tabs>
        <w:numPr>
          <w:ilvl w:val="0"/>
          <w:numId w:val="54"/>
        </w:numPr>
        <w:rPr>
          <w:rFonts w:ascii="Arial" w:cs="Arial" w:eastAsia="Arial" w:hAnsi="Arial"/>
          <w:sz w:val="16"/>
          <w:szCs w:val="16"/>
          <w:color w:val="auto"/>
        </w:rPr>
      </w:pPr>
      <w:r>
        <w:rPr>
          <w:rFonts w:ascii="Arial" w:cs="Arial" w:eastAsia="Arial" w:hAnsi="Arial"/>
          <w:sz w:val="16"/>
          <w:szCs w:val="16"/>
          <w:b w:val="1"/>
          <w:bCs w:val="1"/>
          <w:color w:val="auto"/>
        </w:rPr>
        <w:t xml:space="preserve">Continued Service. </w:t>
      </w:r>
      <w:r>
        <w:rPr>
          <w:rFonts w:ascii="Arial" w:cs="Arial" w:eastAsia="Arial" w:hAnsi="Arial"/>
          <w:sz w:val="16"/>
          <w:szCs w:val="16"/>
          <w:color w:val="auto"/>
        </w:rPr>
        <w:t>Neither the grant of the Option nor this Agreement gives Optionee the right to continue Service with the Company or its Affiliates</w:t>
      </w:r>
      <w:r>
        <w:rPr>
          <w:rFonts w:ascii="Arial" w:cs="Arial" w:eastAsia="Arial" w:hAnsi="Arial"/>
          <w:sz w:val="16"/>
          <w:szCs w:val="16"/>
          <w:b w:val="1"/>
          <w:bCs w:val="1"/>
          <w:color w:val="auto"/>
        </w:rPr>
        <w:t xml:space="preserve"> </w:t>
      </w:r>
      <w:r>
        <w:rPr>
          <w:rFonts w:ascii="Arial" w:cs="Arial" w:eastAsia="Arial" w:hAnsi="Arial"/>
          <w:sz w:val="16"/>
          <w:szCs w:val="16"/>
          <w:color w:val="auto"/>
        </w:rPr>
        <w:t>in any capacity. The Company and its Affiliates reserve the right to terminate Optionee’s Service at any time and for any reason not prohibited by law.</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60" w:top="280" w:right="239" w:bottom="1440" w:gutter="0" w:footer="0" w:header="0"/>
        </w:sectPr>
      </w:pPr>
    </w:p>
    <w:bookmarkStart w:id="108" w:name="page109"/>
    <w:bookmarkEnd w:id="108"/>
    <w:p>
      <w:pPr>
        <w:jc w:val="both"/>
        <w:ind w:left="-8" w:right="280" w:firstLine="464"/>
        <w:spacing w:after="0" w:line="310" w:lineRule="auto"/>
        <w:tabs>
          <w:tab w:leader="none" w:pos="712" w:val="left"/>
        </w:tabs>
        <w:numPr>
          <w:ilvl w:val="1"/>
          <w:numId w:val="55"/>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Stockholder Rights. </w:t>
      </w:r>
      <w:r>
        <w:rPr>
          <w:rFonts w:ascii="Arial" w:cs="Arial" w:eastAsia="Arial" w:hAnsi="Arial"/>
          <w:sz w:val="16"/>
          <w:szCs w:val="16"/>
          <w:color w:val="auto"/>
        </w:rPr>
        <w:t>Optionee and Optionee’s estate or heirs shall not have any rights as a stockholder of the Company until Optionee becomes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 of record of such shares of Stock, and no adjustments shall be made for dividends or other distributions or other rights as to which there is a record date prior to the date Optionee becomes the holder of record of such shares, except as provided in Section 14 of the Plan</w:t>
      </w:r>
      <w:r>
        <w:rPr>
          <w:rFonts w:ascii="Arial" w:cs="Arial" w:eastAsia="Arial" w:hAnsi="Arial"/>
          <w:sz w:val="16"/>
          <w:szCs w:val="16"/>
          <w:b w:val="1"/>
          <w:bCs w:val="1"/>
          <w:color w:val="auto"/>
        </w:rPr>
        <w:t>.</w:t>
      </w:r>
    </w:p>
    <w:p>
      <w:pPr>
        <w:spacing w:after="0" w:line="97" w:lineRule="exact"/>
        <w:rPr>
          <w:rFonts w:ascii="Arial" w:cs="Arial" w:eastAsia="Arial" w:hAnsi="Arial"/>
          <w:sz w:val="16"/>
          <w:szCs w:val="16"/>
          <w:color w:val="auto"/>
        </w:rPr>
      </w:pPr>
    </w:p>
    <w:p>
      <w:pPr>
        <w:ind w:left="-8" w:firstLine="464"/>
        <w:spacing w:after="0" w:line="303" w:lineRule="auto"/>
        <w:tabs>
          <w:tab w:leader="none" w:pos="712" w:val="left"/>
        </w:tabs>
        <w:numPr>
          <w:ilvl w:val="1"/>
          <w:numId w:val="55"/>
        </w:numPr>
        <w:rPr>
          <w:rFonts w:ascii="Arial" w:cs="Arial" w:eastAsia="Arial" w:hAnsi="Arial"/>
          <w:sz w:val="15"/>
          <w:szCs w:val="15"/>
          <w:color w:val="auto"/>
        </w:rPr>
      </w:pPr>
      <w:r>
        <w:rPr>
          <w:rFonts w:ascii="Arial" w:cs="Arial" w:eastAsia="Arial" w:hAnsi="Arial"/>
          <w:sz w:val="15"/>
          <w:szCs w:val="15"/>
          <w:b w:val="1"/>
          <w:bCs w:val="1"/>
          <w:color w:val="auto"/>
        </w:rPr>
        <w:t xml:space="preserve">Adjustments. </w:t>
      </w:r>
      <w:r>
        <w:rPr>
          <w:rFonts w:ascii="Arial" w:cs="Arial" w:eastAsia="Arial" w:hAnsi="Arial"/>
          <w:sz w:val="15"/>
          <w:szCs w:val="15"/>
          <w:color w:val="auto"/>
        </w:rPr>
        <w:t>The number of shares of Stock outstanding under this Option shall be proportionately increased or decreased for any increase or decrease</w:t>
      </w:r>
      <w:r>
        <w:rPr>
          <w:rFonts w:ascii="Arial" w:cs="Arial" w:eastAsia="Arial" w:hAnsi="Arial"/>
          <w:sz w:val="15"/>
          <w:szCs w:val="15"/>
          <w:b w:val="1"/>
          <w:bCs w:val="1"/>
          <w:color w:val="auto"/>
        </w:rPr>
        <w:t xml:space="preserve"> </w:t>
      </w:r>
      <w:r>
        <w:rPr>
          <w:rFonts w:ascii="Arial" w:cs="Arial" w:eastAsia="Arial" w:hAnsi="Arial"/>
          <w:sz w:val="15"/>
          <w:szCs w:val="15"/>
          <w:color w:val="auto"/>
        </w:rPr>
        <w:t>in the number of shares of Stock on account of any Corporate Event. Any such adjustment in the Option shall not increase the aggregate Exercise Price payable with respect to shares that are subject to the unexercised portion of the outstanding Option and the adjustment shall comply with the requirements under Section 409A of the Code. The conversion of any convertible securities of the Company shall not be treated as an increase in shares effected without receipt of consideration. In the event of any distribution to the Company’s stockholders of an extraordinary cash dividend or securities of any other entity or other assets (other than ordinary dividends payable in cash or shares of Stock) without receipt of consideration by the Company, the Company shall proportionately adjust</w:t>
      </w:r>
    </w:p>
    <w:p>
      <w:pPr>
        <w:spacing w:after="0" w:line="2" w:lineRule="exact"/>
        <w:rPr>
          <w:rFonts w:ascii="Arial" w:cs="Arial" w:eastAsia="Arial" w:hAnsi="Arial"/>
          <w:sz w:val="15"/>
          <w:szCs w:val="15"/>
          <w:color w:val="auto"/>
        </w:rPr>
      </w:pPr>
    </w:p>
    <w:p>
      <w:pPr>
        <w:ind w:left="232" w:hanging="232"/>
        <w:spacing w:after="0"/>
        <w:tabs>
          <w:tab w:leader="none" w:pos="23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number and kind of shares subject to this Option and/or (b) the Exercise Price of this Option to reflect such distribution.</w:t>
      </w:r>
    </w:p>
    <w:p>
      <w:pPr>
        <w:spacing w:after="0" w:line="158" w:lineRule="exact"/>
        <w:rPr>
          <w:rFonts w:ascii="Arial" w:cs="Arial" w:eastAsia="Arial" w:hAnsi="Arial"/>
          <w:sz w:val="18"/>
          <w:szCs w:val="18"/>
          <w:color w:val="auto"/>
        </w:rPr>
      </w:pPr>
    </w:p>
    <w:p>
      <w:pPr>
        <w:ind w:left="-8" w:right="100" w:firstLine="464"/>
        <w:spacing w:after="0" w:line="310" w:lineRule="auto"/>
        <w:tabs>
          <w:tab w:leader="none" w:pos="712" w:val="left"/>
        </w:tabs>
        <w:numPr>
          <w:ilvl w:val="1"/>
          <w:numId w:val="56"/>
        </w:numPr>
        <w:rPr>
          <w:rFonts w:ascii="Arial" w:cs="Arial" w:eastAsia="Arial" w:hAnsi="Arial"/>
          <w:sz w:val="16"/>
          <w:szCs w:val="16"/>
          <w:color w:val="auto"/>
        </w:rPr>
      </w:pPr>
      <w:r>
        <w:rPr>
          <w:rFonts w:ascii="Arial" w:cs="Arial" w:eastAsia="Arial" w:hAnsi="Arial"/>
          <w:sz w:val="16"/>
          <w:szCs w:val="16"/>
          <w:b w:val="1"/>
          <w:bCs w:val="1"/>
          <w:color w:val="auto"/>
        </w:rPr>
        <w:t xml:space="preserve">Additional Requirements. </w:t>
      </w:r>
      <w:r>
        <w:rPr>
          <w:rFonts w:ascii="Arial" w:cs="Arial" w:eastAsia="Arial" w:hAnsi="Arial"/>
          <w:sz w:val="16"/>
          <w:szCs w:val="16"/>
          <w:color w:val="auto"/>
        </w:rPr>
        <w:t>Optionee acknowledges that shares of Stock acquired upon exercise of the Option may bear such legends, as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deems appropriate to comply with applicable federal, state or foreign securities laws. In connection therewith and prior to the issuance of the shares, Optionee may be required to deliver to the Company such other documents as may be reasonably necessary to ensure compliance with applicable laws.</w:t>
      </w:r>
    </w:p>
    <w:p>
      <w:pPr>
        <w:spacing w:after="0" w:line="97" w:lineRule="exact"/>
        <w:rPr>
          <w:rFonts w:ascii="Arial" w:cs="Arial" w:eastAsia="Arial" w:hAnsi="Arial"/>
          <w:sz w:val="16"/>
          <w:szCs w:val="16"/>
          <w:color w:val="auto"/>
        </w:rPr>
      </w:pPr>
    </w:p>
    <w:p>
      <w:pPr>
        <w:ind w:left="-8" w:right="180" w:firstLine="464"/>
        <w:spacing w:after="0" w:line="262" w:lineRule="auto"/>
        <w:tabs>
          <w:tab w:leader="none" w:pos="712" w:val="left"/>
        </w:tabs>
        <w:numPr>
          <w:ilvl w:val="1"/>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validity and construction of this Agreement and the Plan shall be construed in accordance with and governed by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Delaware other than any conflicts or choice of law rule or principle that might otherwise refer construction or interpretation of the Plan and this Agreement to the substantive laws of any other jurisdiction.</w:t>
      </w:r>
    </w:p>
    <w:p>
      <w:pPr>
        <w:spacing w:after="0" w:line="132" w:lineRule="exact"/>
        <w:rPr>
          <w:rFonts w:ascii="Arial" w:cs="Arial" w:eastAsia="Arial" w:hAnsi="Arial"/>
          <w:sz w:val="18"/>
          <w:szCs w:val="18"/>
          <w:color w:val="auto"/>
        </w:rPr>
      </w:pPr>
    </w:p>
    <w:p>
      <w:pPr>
        <w:ind w:left="-8" w:right="380" w:firstLine="464"/>
        <w:spacing w:after="0" w:line="275" w:lineRule="auto"/>
        <w:tabs>
          <w:tab w:leader="none" w:pos="712" w:val="left"/>
        </w:tabs>
        <w:numPr>
          <w:ilvl w:val="1"/>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Binding Effect. </w:t>
      </w:r>
      <w:r>
        <w:rPr>
          <w:rFonts w:ascii="Arial" w:cs="Arial" w:eastAsia="Arial" w:hAnsi="Arial"/>
          <w:sz w:val="18"/>
          <w:szCs w:val="18"/>
          <w:color w:val="auto"/>
        </w:rPr>
        <w:t>This Agreement shall be binding upon and inure to the benefit of the Company and Optionee and their respective heirs, executors,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administrators, legal representatives, successors and assigns.</w:t>
      </w:r>
    </w:p>
    <w:p>
      <w:pPr>
        <w:spacing w:after="0" w:line="119" w:lineRule="exact"/>
        <w:rPr>
          <w:rFonts w:ascii="Arial" w:cs="Arial" w:eastAsia="Arial" w:hAnsi="Arial"/>
          <w:sz w:val="18"/>
          <w:szCs w:val="18"/>
          <w:color w:val="auto"/>
        </w:rPr>
      </w:pPr>
    </w:p>
    <w:p>
      <w:pPr>
        <w:ind w:left="-8" w:right="80" w:firstLine="464"/>
        <w:spacing w:after="0" w:line="275" w:lineRule="auto"/>
        <w:tabs>
          <w:tab w:leader="none" w:pos="712" w:val="left"/>
        </w:tabs>
        <w:numPr>
          <w:ilvl w:val="1"/>
          <w:numId w:val="56"/>
        </w:numPr>
        <w:rPr>
          <w:rFonts w:ascii="Arial" w:cs="Arial" w:eastAsia="Arial" w:hAnsi="Arial"/>
          <w:sz w:val="18"/>
          <w:szCs w:val="18"/>
          <w:color w:val="auto"/>
        </w:rPr>
      </w:pPr>
      <w:r>
        <w:rPr>
          <w:rFonts w:ascii="Arial" w:cs="Arial" w:eastAsia="Arial" w:hAnsi="Arial"/>
          <w:sz w:val="18"/>
          <w:szCs w:val="18"/>
          <w:b w:val="1"/>
          <w:bCs w:val="1"/>
          <w:color w:val="auto"/>
        </w:rPr>
        <w:t>Tax Treatment; Section 409A</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may incur tax liability as a result of the exercise of the Option or the disposition of shares of Stock.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should consult his or her own tax adviser before exercising the Option or disposing of the shares.</w:t>
      </w:r>
    </w:p>
    <w:p>
      <w:pPr>
        <w:spacing w:after="0" w:line="45" w:lineRule="exact"/>
        <w:rPr>
          <w:sz w:val="20"/>
          <w:szCs w:val="20"/>
          <w:color w:val="auto"/>
        </w:rPr>
      </w:pPr>
    </w:p>
    <w:p>
      <w:pPr>
        <w:jc w:val="both"/>
        <w:ind w:left="452" w:right="180" w:firstLine="438"/>
        <w:spacing w:after="0" w:line="306" w:lineRule="auto"/>
        <w:rPr>
          <w:sz w:val="20"/>
          <w:szCs w:val="20"/>
          <w:color w:val="auto"/>
        </w:rPr>
      </w:pPr>
      <w:r>
        <w:rPr>
          <w:rFonts w:ascii="Arial" w:cs="Arial" w:eastAsia="Arial" w:hAnsi="Arial"/>
          <w:sz w:val="16"/>
          <w:szCs w:val="16"/>
          <w:color w:val="auto"/>
        </w:rPr>
        <w:t>Optionee acknowledges that the Committee, in the exercise of its sole discretion and without Optionee’s consent, may amend or modify the Option and this Agreement in any manner and delay the payment of any amounts payable pursuant to this Agreement to the minimum extent necessary to satisfy the requirements of Section 409A of the Code. The Company will provide Optionee with notice of any such amendment or modification.</w:t>
      </w:r>
    </w:p>
    <w:p>
      <w:pPr>
        <w:spacing w:after="0" w:line="101" w:lineRule="exact"/>
        <w:rPr>
          <w:sz w:val="20"/>
          <w:szCs w:val="20"/>
          <w:color w:val="auto"/>
        </w:rPr>
      </w:pPr>
    </w:p>
    <w:p>
      <w:pPr>
        <w:ind w:left="-8" w:right="80" w:firstLine="464"/>
        <w:spacing w:after="0" w:line="275" w:lineRule="auto"/>
        <w:tabs>
          <w:tab w:leader="none" w:pos="712"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The terms and conditions set forth in this Agreement may only be amended by the written consent of the Company and Optionee, except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set forth in Section 17 hereof regarding Section 409A of the Code and any other provision set forth in the Plan.</w:t>
      </w:r>
    </w:p>
    <w:p>
      <w:pPr>
        <w:spacing w:after="0" w:line="11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74" w:right="239" w:bottom="1440" w:gutter="0" w:footer="0" w:header="0"/>
        </w:sectPr>
      </w:pPr>
    </w:p>
    <w:bookmarkStart w:id="109" w:name="page110"/>
    <w:bookmarkEnd w:id="109"/>
    <w:p>
      <w:pPr>
        <w:ind w:left="-464" w:firstLine="464"/>
        <w:spacing w:after="0" w:line="339" w:lineRule="auto"/>
        <w:tabs>
          <w:tab w:leader="none" w:pos="255"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2007 Equity Incentive Plan. </w:t>
      </w:r>
      <w:r>
        <w:rPr>
          <w:rFonts w:ascii="Arial" w:cs="Arial" w:eastAsia="Arial" w:hAnsi="Arial"/>
          <w:sz w:val="16"/>
          <w:szCs w:val="16"/>
          <w:color w:val="auto"/>
        </w:rPr>
        <w:t>The Option and shares of Stock acquired upon exercise of the Option granted hereunder shall be subject to such</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terms and conditions as may be imposed under the terms of the Plan, a copy of which has been provided to Optionee.</w:t>
      </w:r>
    </w:p>
    <w:p>
      <w:pPr>
        <w:spacing w:after="0" w:line="115" w:lineRule="exact"/>
        <w:rPr>
          <w:sz w:val="20"/>
          <w:szCs w:val="20"/>
          <w:color w:val="auto"/>
        </w:rPr>
      </w:pPr>
    </w:p>
    <w:p>
      <w:pPr>
        <w:ind w:left="6396"/>
        <w:spacing w:after="0"/>
        <w:rPr>
          <w:sz w:val="20"/>
          <w:szCs w:val="20"/>
          <w:color w:val="auto"/>
        </w:rPr>
      </w:pPr>
      <w:r>
        <w:rPr>
          <w:rFonts w:ascii="Arial" w:cs="Arial" w:eastAsia="Arial" w:hAnsi="Arial"/>
          <w:sz w:val="18"/>
          <w:szCs w:val="18"/>
          <w:b w:val="1"/>
          <w:bCs w:val="1"/>
          <w:color w:val="auto"/>
        </w:rPr>
        <w:t>NATIONAL CINEMEDIA, INC.</w:t>
      </w:r>
    </w:p>
    <w:p>
      <w:pPr>
        <w:spacing w:after="0" w:line="231" w:lineRule="exact"/>
        <w:rPr>
          <w:sz w:val="20"/>
          <w:szCs w:val="20"/>
          <w:color w:val="auto"/>
        </w:rPr>
      </w:pPr>
    </w:p>
    <w:p>
      <w:pPr>
        <w:ind w:left="6396"/>
        <w:spacing w:after="0"/>
        <w:tabs>
          <w:tab w:leader="none" w:pos="6875" w:val="left"/>
        </w:tabs>
        <w:rPr>
          <w:sz w:val="20"/>
          <w:szCs w:val="20"/>
          <w:color w:val="auto"/>
        </w:rPr>
      </w:pPr>
      <w:r>
        <w:rPr>
          <w:rFonts w:ascii="Arial" w:cs="Arial" w:eastAsia="Arial" w:hAnsi="Arial"/>
          <w:sz w:val="18"/>
          <w:szCs w:val="18"/>
          <w:color w:val="auto"/>
        </w:rPr>
        <w:t>By:</w:t>
        <w:tab/>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4349750</wp:posOffset>
            </wp:positionH>
            <wp:positionV relativeFrom="paragraph">
              <wp:posOffset>10795</wp:posOffset>
            </wp:positionV>
            <wp:extent cx="260731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896"/>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96"/>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ind w:left="6396"/>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4349750</wp:posOffset>
            </wp:positionH>
            <wp:positionV relativeFrom="paragraph">
              <wp:posOffset>2540</wp:posOffset>
            </wp:positionV>
            <wp:extent cx="260731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38" w:lineRule="exact"/>
        <w:rPr>
          <w:sz w:val="20"/>
          <w:szCs w:val="20"/>
          <w:color w:val="auto"/>
        </w:rPr>
      </w:pPr>
    </w:p>
    <w:p>
      <w:pPr>
        <w:ind w:left="5216"/>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6"/>
          </w:cols>
          <w:pgMar w:left="704" w:top="274" w:right="979" w:bottom="1440" w:gutter="0" w:footer="0" w:header="0"/>
        </w:sectPr>
      </w:pPr>
    </w:p>
    <w:bookmarkStart w:id="110" w:name="page111"/>
    <w:bookmarkEnd w:id="110"/>
    <w:p>
      <w:pPr>
        <w:ind w:left="10300"/>
        <w:spacing w:after="0"/>
        <w:rPr>
          <w:sz w:val="20"/>
          <w:szCs w:val="20"/>
          <w:color w:val="auto"/>
        </w:rPr>
      </w:pPr>
      <w:r>
        <w:rPr>
          <w:rFonts w:ascii="Arial" w:cs="Arial" w:eastAsia="Arial" w:hAnsi="Arial"/>
          <w:sz w:val="16"/>
          <w:szCs w:val="16"/>
          <w:b w:val="1"/>
          <w:bCs w:val="1"/>
          <w:color w:val="auto"/>
        </w:rPr>
        <w:t>Exhibit 10.23.3</w:t>
      </w:r>
    </w:p>
    <w:p>
      <w:pPr>
        <w:spacing w:after="0" w:line="194" w:lineRule="exact"/>
        <w:rPr>
          <w:sz w:val="20"/>
          <w:szCs w:val="20"/>
          <w:color w:val="auto"/>
        </w:rPr>
      </w:pPr>
    </w:p>
    <w:p>
      <w:pPr>
        <w:ind w:left="9440"/>
        <w:spacing w:after="0"/>
        <w:rPr>
          <w:sz w:val="20"/>
          <w:szCs w:val="20"/>
          <w:color w:val="auto"/>
        </w:rPr>
      </w:pPr>
      <w:r>
        <w:rPr>
          <w:rFonts w:ascii="Arial" w:cs="Arial" w:eastAsia="Arial" w:hAnsi="Arial"/>
          <w:sz w:val="18"/>
          <w:szCs w:val="18"/>
          <w:b w:val="1"/>
          <w:bCs w:val="1"/>
          <w:color w:val="auto"/>
        </w:rPr>
        <w:t>Restricted Stock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7028815</wp:posOffset>
            </wp:positionH>
            <wp:positionV relativeFrom="paragraph">
              <wp:posOffset>-10160</wp:posOffset>
            </wp:positionV>
            <wp:extent cx="22288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EQUITY INCENTIVE PLAN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RESTRICTED STOCK AGREEMENT</w:t>
      </w:r>
    </w:p>
    <w:p>
      <w:pPr>
        <w:spacing w:after="0" w:line="171" w:lineRule="exact"/>
        <w:rPr>
          <w:sz w:val="20"/>
          <w:szCs w:val="20"/>
          <w:color w:val="auto"/>
        </w:rPr>
      </w:pPr>
    </w:p>
    <w:p>
      <w:pPr>
        <w:ind w:right="320" w:firstLine="456"/>
        <w:spacing w:after="0" w:line="301" w:lineRule="auto"/>
        <w:rPr>
          <w:sz w:val="20"/>
          <w:szCs w:val="20"/>
          <w:color w:val="auto"/>
        </w:rPr>
      </w:pPr>
      <w:r>
        <w:rPr>
          <w:rFonts w:ascii="Arial" w:cs="Arial" w:eastAsia="Arial" w:hAnsi="Arial"/>
          <w:sz w:val="16"/>
          <w:szCs w:val="16"/>
          <w:color w:val="auto"/>
        </w:rPr>
        <w:t xml:space="preserve">The Compensation Committee of the Board of Directors of National CineMedia,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granted shares of Restricted Stock to be issued under the National CineMedia, Inc. 2007 Equity Incentive Plan (the </w:t>
      </w:r>
      <w:r>
        <w:rPr>
          <w:rFonts w:ascii="Arial" w:cs="Arial" w:eastAsia="Arial" w:hAnsi="Arial"/>
          <w:sz w:val="16"/>
          <w:szCs w:val="16"/>
          <w:b w:val="1"/>
          <w:bCs w:val="1"/>
          <w:color w:val="auto"/>
        </w:rPr>
        <w:t>“Plan”</w:t>
      </w:r>
      <w:r>
        <w:rPr>
          <w:rFonts w:ascii="Arial" w:cs="Arial" w:eastAsia="Arial" w:hAnsi="Arial"/>
          <w:sz w:val="16"/>
          <w:szCs w:val="16"/>
          <w:color w:val="auto"/>
        </w:rPr>
        <w:t xml:space="preserve">), as well as the possible right to be issued additional shares of Stock (the </w:t>
      </w:r>
      <w:r>
        <w:rPr>
          <w:rFonts w:ascii="Arial" w:cs="Arial" w:eastAsia="Arial" w:hAnsi="Arial"/>
          <w:sz w:val="16"/>
          <w:szCs w:val="16"/>
          <w:b w:val="1"/>
          <w:bCs w:val="1"/>
          <w:color w:val="auto"/>
        </w:rPr>
        <w:t>“Additional Shares”</w:t>
      </w:r>
      <w:r>
        <w:rPr>
          <w:rFonts w:ascii="Arial" w:cs="Arial" w:eastAsia="Arial" w:hAnsi="Arial"/>
          <w:sz w:val="16"/>
          <w:szCs w:val="16"/>
          <w:color w:val="auto"/>
        </w:rPr>
        <w:t xml:space="preserve">), to the Grantee named below. This Restricted Stock Agreement (the </w:t>
      </w:r>
      <w:r>
        <w:rPr>
          <w:rFonts w:ascii="Arial" w:cs="Arial" w:eastAsia="Arial" w:hAnsi="Arial"/>
          <w:sz w:val="16"/>
          <w:szCs w:val="16"/>
          <w:b w:val="1"/>
          <w:bCs w:val="1"/>
          <w:color w:val="auto"/>
        </w:rPr>
        <w:t>“Agreement”</w:t>
      </w:r>
      <w:r>
        <w:rPr>
          <w:rFonts w:ascii="Arial" w:cs="Arial" w:eastAsia="Arial" w:hAnsi="Arial"/>
          <w:sz w:val="16"/>
          <w:szCs w:val="16"/>
          <w:color w:val="auto"/>
        </w:rPr>
        <w:t>) evidences the terms of the Company’s grant of Restricted Stock, and the possible grant of Additional Shares, to Grantee.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NOTICE OF GRANT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Grantee: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of 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Date:</w:t>
      </w:r>
    </w:p>
    <w:p>
      <w:pPr>
        <w:spacing w:after="0" w:line="171"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b w:val="1"/>
          <w:bCs w:val="1"/>
          <w:color w:val="auto"/>
        </w:rPr>
        <w:t xml:space="preserve">Vesting Schedule: </w:t>
      </w:r>
      <w:r>
        <w:rPr>
          <w:rFonts w:ascii="Arial" w:cs="Arial" w:eastAsia="Arial" w:hAnsi="Arial"/>
          <w:sz w:val="16"/>
          <w:szCs w:val="16"/>
          <w:color w:val="auto"/>
        </w:rPr>
        <w:t>Except as provided otherwise in this Agreement or the Plan (including but not limited to Section 14.2 of the Plan which provides for</w:t>
      </w:r>
      <w:r>
        <w:rPr>
          <w:rFonts w:ascii="Arial" w:cs="Arial" w:eastAsia="Arial" w:hAnsi="Arial"/>
          <w:sz w:val="16"/>
          <w:szCs w:val="16"/>
          <w:b w:val="1"/>
          <w:bCs w:val="1"/>
          <w:color w:val="auto"/>
        </w:rPr>
        <w:t xml:space="preserve"> </w:t>
      </w:r>
      <w:r>
        <w:rPr>
          <w:rFonts w:ascii="Arial" w:cs="Arial" w:eastAsia="Arial" w:hAnsi="Arial"/>
          <w:sz w:val="16"/>
          <w:szCs w:val="16"/>
          <w:color w:val="auto"/>
        </w:rPr>
        <w:t>accelerated vesting upon certain terminations in connection with a Change of Control), and subject to Grantee’s continuous Service as provided herein, the Restricted Stock shall vest and the restrictions set forth in Section 2 of this Agreement shall lapse in accordance with the following provisions. The Restricted Stock shall vest if, and only to the extent that, the Company achieves specified cumulative “Free Cash Flow” (OIBDA – Capital) (</w:t>
      </w:r>
      <w:r>
        <w:rPr>
          <w:rFonts w:ascii="Arial" w:cs="Arial" w:eastAsia="Arial" w:hAnsi="Arial"/>
          <w:sz w:val="16"/>
          <w:szCs w:val="16"/>
          <w:b w:val="1"/>
          <w:bCs w:val="1"/>
          <w:color w:val="auto"/>
        </w:rPr>
        <w:t>“Free Cash Flow”</w:t>
      </w:r>
      <w:r>
        <w:rPr>
          <w:rFonts w:ascii="Arial" w:cs="Arial" w:eastAsia="Arial" w:hAnsi="Arial"/>
          <w:sz w:val="16"/>
          <w:szCs w:val="16"/>
          <w:color w:val="auto"/>
        </w:rPr>
        <w:t xml:space="preserve">) targets (the </w:t>
      </w:r>
      <w:r>
        <w:rPr>
          <w:rFonts w:ascii="Arial" w:cs="Arial" w:eastAsia="Arial" w:hAnsi="Arial"/>
          <w:sz w:val="16"/>
          <w:szCs w:val="16"/>
          <w:b w:val="1"/>
          <w:bCs w:val="1"/>
          <w:color w:val="auto"/>
        </w:rPr>
        <w:t>“Free Cash Flow Target”</w:t>
      </w:r>
      <w:r>
        <w:rPr>
          <w:rFonts w:ascii="Arial" w:cs="Arial" w:eastAsia="Arial" w:hAnsi="Arial"/>
          <w:sz w:val="16"/>
          <w:szCs w:val="16"/>
          <w:color w:val="auto"/>
        </w:rPr>
        <w:t>) at the end of the three-year period ending on the last day of the Company’s 2013 fiscal year (the</w:t>
      </w:r>
      <w:r>
        <w:rPr>
          <w:rFonts w:ascii="Arial" w:cs="Arial" w:eastAsia="Arial" w:hAnsi="Arial"/>
          <w:sz w:val="16"/>
          <w:szCs w:val="16"/>
          <w:b w:val="1"/>
          <w:bCs w:val="1"/>
          <w:color w:val="auto"/>
        </w:rPr>
        <w:t xml:space="preserve"> “Measuring Period”</w:t>
      </w:r>
      <w:r>
        <w:rPr>
          <w:rFonts w:ascii="Arial" w:cs="Arial" w:eastAsia="Arial" w:hAnsi="Arial"/>
          <w:sz w:val="16"/>
          <w:szCs w:val="16"/>
          <w:color w:val="auto"/>
        </w:rPr>
        <w:t>). The extent to</w:t>
      </w:r>
      <w:r>
        <w:rPr>
          <w:rFonts w:ascii="Arial" w:cs="Arial" w:eastAsia="Arial" w:hAnsi="Arial"/>
          <w:sz w:val="16"/>
          <w:szCs w:val="16"/>
          <w:b w:val="1"/>
          <w:bCs w:val="1"/>
          <w:color w:val="auto"/>
        </w:rPr>
        <w:t xml:space="preserve"> </w:t>
      </w:r>
      <w:r>
        <w:rPr>
          <w:rFonts w:ascii="Arial" w:cs="Arial" w:eastAsia="Arial" w:hAnsi="Arial"/>
          <w:sz w:val="16"/>
          <w:szCs w:val="16"/>
          <w:color w:val="auto"/>
        </w:rPr>
        <w:t>which the Company achieves the Free Cash Flow Target shall be determined by the Company’s audited financial statements for the Measuring Period. The actual Free Cash Flow Target shall be established by the Committee within the time period required by Section 162(m) of the Code and the Committee shall certify in writing prior to the vesting date specified below the extent to which the Free Cash Flow Target for the Measuring Period was met. If the Company achieves 100% of the Free Cash Flow Target at the end of the Measuring Period, Grantee shall vest in 100% of the number of shares of Restricted Stock set forth above. If the actual Free Cash Flow is less than 90% of the Target Free Cash Flow at the end of the Measuring Period, none of the shares of Restricted Stock shall vest. If the actual Free Cash Flow at the end of the Measuring Period is 90% of the Target Free Cash Flow, Grantee shall vest in 50% of the number of shares of Restricted Stock set forth above. If the actual Free Cash Flow at the end of the Measuring Period is between 90% and 100% of the Target Free Cash Flow, Grantee shall vest in between 50% and 100% of the number of shares of Restricted Stock set forth above by interpolating the percentage of Free Cash Flow actually achieved as it relates to the difference between the number of shares of Restricted Stock that vest at 100% of Target Free Cash Flow and the number of shares of Restricted Stock that vest at 90% of Target Free Cash Flow. By way of example, if the actual cumulative Free Cash Flow achieved is at 95% of Target Free Cash Flow, Grantee would vest in 75% of the number of shares of Restricted Stock set forth above.</w:t>
      </w:r>
    </w:p>
    <w:p>
      <w:pPr>
        <w:sectPr>
          <w:pgSz w:w="11900" w:h="16838" w:orient="portrait"/>
          <w:cols w:equalWidth="0" w:num="1">
            <w:col w:w="11420"/>
          </w:cols>
          <w:pgMar w:left="240" w:top="125" w:right="239" w:bottom="1440" w:gutter="0" w:footer="0" w:header="0"/>
        </w:sectPr>
      </w:pPr>
    </w:p>
    <w:bookmarkStart w:id="111" w:name="page112"/>
    <w:bookmarkEnd w:id="111"/>
    <w:p>
      <w:pPr>
        <w:ind w:right="20"/>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Grant of Additional Shares of Stock: </w:t>
      </w:r>
      <w:r>
        <w:rPr>
          <w:rFonts w:ascii="Arial" w:cs="Arial" w:eastAsia="Arial" w:hAnsi="Arial"/>
          <w:sz w:val="16"/>
          <w:szCs w:val="16"/>
          <w:color w:val="auto"/>
        </w:rPr>
        <w:t>If the actual cumulative Free Cash Flow achieved at the end of the Measuring Period is in excess of 100% of Target Free</w:t>
      </w:r>
      <w:r>
        <w:rPr>
          <w:rFonts w:ascii="Arial" w:cs="Arial" w:eastAsia="Arial" w:hAnsi="Arial"/>
          <w:sz w:val="16"/>
          <w:szCs w:val="16"/>
          <w:b w:val="1"/>
          <w:bCs w:val="1"/>
          <w:color w:val="auto"/>
        </w:rPr>
        <w:t xml:space="preserve"> </w:t>
      </w:r>
      <w:r>
        <w:rPr>
          <w:rFonts w:ascii="Arial" w:cs="Arial" w:eastAsia="Arial" w:hAnsi="Arial"/>
          <w:sz w:val="16"/>
          <w:szCs w:val="16"/>
          <w:color w:val="auto"/>
        </w:rPr>
        <w:t>Cash Flow, Grantee (if otherwise vested) shall be entitled to receive a grant and issuance of Additional Shares of Stock. If the actual cumulative Free Cash Flow achieved at the end of the Measuring Period is 110% or more of Target Free Cash Flow, Grantee (if otherwise vested) shall be entitled to receive a grant and issuance of Additional Shares of Stock equal to 50% of the number of shares of Restricted Stock set forth above. If the actual cumulative Free Cash Flow achieved at the end of the Measuring Period is below 110% of Target Free Cash Flow but in excess of 100% of Target Free Cash Flow, Grantee (if otherwise vested) shall receive a number of shares of Additional Stock determined by interpolating between the number of shares of Restricted Stock that vest upon 100% of Target Free Cash Flow and 150% of that number of shares of Stock. By way of example, if the actual cumulative Free Cash Flow at the end of the Measuring Period is 105% of Target Free Cash Flow, Grantee (if otherwise vested) would receive a number of shares of Additional Stock equal to 25% of the number of shares of Restricted Stock set forth above. Grantee shall have no rights as a stockholder of the Company until Grantee becomes the holder of record of any shares of Additional Stock. If Grantee terminates Service prior to the Vesting Date, Grantee shall be entitled to receive a portion of the shares of Additional Stock otherwise issuable, under the same circumstances and determined in the same manner as the number of shares of Retained Shares which vest upon the Vesting Date as set forth below in Section 3 of the Restricted Stock Agreement.</w:t>
      </w:r>
    </w:p>
    <w:p>
      <w:pPr>
        <w:spacing w:after="0" w:line="11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b w:val="1"/>
          <w:bCs w:val="1"/>
          <w:color w:val="auto"/>
        </w:rPr>
        <w:t xml:space="preserve">Time of Vesting of Restricted Stock and Grant of Additional Shares: </w:t>
      </w:r>
      <w:r>
        <w:rPr>
          <w:rFonts w:ascii="Arial" w:cs="Arial" w:eastAsia="Arial" w:hAnsi="Arial"/>
          <w:sz w:val="16"/>
          <w:szCs w:val="16"/>
          <w:color w:val="auto"/>
        </w:rPr>
        <w:t>If the actual cumulative Free Cash Flow at the end of the Measuring Period is at least</w:t>
      </w:r>
      <w:r>
        <w:rPr>
          <w:rFonts w:ascii="Arial" w:cs="Arial" w:eastAsia="Arial" w:hAnsi="Arial"/>
          <w:sz w:val="16"/>
          <w:szCs w:val="16"/>
          <w:b w:val="1"/>
          <w:bCs w:val="1"/>
          <w:color w:val="auto"/>
        </w:rPr>
        <w:t xml:space="preserve"> </w:t>
      </w:r>
      <w:r>
        <w:rPr>
          <w:rFonts w:ascii="Arial" w:cs="Arial" w:eastAsia="Arial" w:hAnsi="Arial"/>
          <w:sz w:val="16"/>
          <w:szCs w:val="16"/>
          <w:color w:val="auto"/>
        </w:rPr>
        <w:t>90% of Target Free Cash Flow, the number of shares of Restricted Stock shall vest as described above on the 60</w:t>
      </w:r>
      <w:r>
        <w:rPr>
          <w:rFonts w:ascii="Arial" w:cs="Arial" w:eastAsia="Arial" w:hAnsi="Arial"/>
          <w:sz w:val="10"/>
          <w:szCs w:val="10"/>
          <w:color w:val="auto"/>
        </w:rPr>
        <w:t>th</w:t>
      </w:r>
      <w:r>
        <w:rPr>
          <w:rFonts w:ascii="Arial" w:cs="Arial" w:eastAsia="Arial" w:hAnsi="Arial"/>
          <w:sz w:val="16"/>
          <w:szCs w:val="16"/>
          <w:color w:val="auto"/>
        </w:rPr>
        <w:t xml:space="preserve"> day (the </w:t>
      </w:r>
      <w:r>
        <w:rPr>
          <w:rFonts w:ascii="Arial" w:cs="Arial" w:eastAsia="Arial" w:hAnsi="Arial"/>
          <w:sz w:val="16"/>
          <w:szCs w:val="16"/>
          <w:b w:val="1"/>
          <w:bCs w:val="1"/>
          <w:color w:val="auto"/>
        </w:rPr>
        <w:t>“Vesting Date”</w:t>
      </w:r>
      <w:r>
        <w:rPr>
          <w:rFonts w:ascii="Arial" w:cs="Arial" w:eastAsia="Arial" w:hAnsi="Arial"/>
          <w:sz w:val="16"/>
          <w:szCs w:val="16"/>
          <w:color w:val="auto"/>
        </w:rPr>
        <w:t>) following the last day of the Measuring Period. If the actual cumulative Free Cash Flow exceeds 100% of Target Free Cash Flow at the end of the Measuring Period, Grantee shall be entitled to the issuance of Additional Shares of Stock as described above. The Additional Shares shall be issued to Grantee on or as soon as practicable after the Vesting Date and in all events no later than March 15, 2014.</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B. RESTRICTED STOCK AGREEMENT</w:t>
      </w:r>
    </w:p>
    <w:p>
      <w:pPr>
        <w:spacing w:after="0" w:line="171" w:lineRule="exact"/>
        <w:rPr>
          <w:sz w:val="20"/>
          <w:szCs w:val="20"/>
          <w:color w:val="auto"/>
        </w:rPr>
      </w:pPr>
    </w:p>
    <w:p>
      <w:pPr>
        <w:ind w:right="60" w:firstLine="464"/>
        <w:spacing w:after="0" w:line="293" w:lineRule="auto"/>
        <w:tabs>
          <w:tab w:leader="none" w:pos="632"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 xml:space="preserve">Grant and Issuance of Restricted Stock. </w:t>
      </w:r>
      <w:r>
        <w:rPr>
          <w:rFonts w:ascii="Arial" w:cs="Arial" w:eastAsia="Arial" w:hAnsi="Arial"/>
          <w:sz w:val="16"/>
          <w:szCs w:val="16"/>
          <w:color w:val="auto"/>
        </w:rPr>
        <w:t>Subject to the terms and conditions of this Agreement and the Plan, the Company granted to Grantee, the</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shares of Restricted Stock set forth in the Notice of Grant, effective on the Grant Date set forth in the Notice of Grant, and subject to the terms and conditions of the Plan, which is incorporated herein by reference. The shares of Restricted Stock shall be issued to Grantee on, or as soon as practicable after, the date the stockholders of the Company approve the Second Amendment to the National CineMedia, Inc. 2007 Equity Incentive Plan, as described in Section 16 below. In the event of a conflict between the terms and conditions of the Plan and this Agreement, the terms and conditions of the Plan shall govern. All capitalized terms in this Agreement shall have the meaning assigned to them in this Agreement or in the Plan.</w:t>
      </w:r>
    </w:p>
    <w:p>
      <w:pPr>
        <w:spacing w:after="0" w:line="110" w:lineRule="exact"/>
        <w:rPr>
          <w:rFonts w:ascii="Arial" w:cs="Arial" w:eastAsia="Arial" w:hAnsi="Arial"/>
          <w:sz w:val="16"/>
          <w:szCs w:val="16"/>
          <w:color w:val="auto"/>
        </w:rPr>
      </w:pPr>
    </w:p>
    <w:p>
      <w:pPr>
        <w:ind w:firstLine="464"/>
        <w:spacing w:after="0" w:line="262" w:lineRule="auto"/>
        <w:tabs>
          <w:tab w:leader="none" w:pos="632"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Forfeiture Restrictions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Grantee shall not sell, transfer, assign, pledge or otherwise encumber or dispose of, by operation of law or otherwise,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Restricted Stock for the period commencing on the Grant Date and ending on the Vesting Date (the </w:t>
      </w:r>
      <w:r>
        <w:rPr>
          <w:rFonts w:ascii="Arial" w:cs="Arial" w:eastAsia="Arial" w:hAnsi="Arial"/>
          <w:sz w:val="18"/>
          <w:szCs w:val="18"/>
          <w:b w:val="1"/>
          <w:bCs w:val="1"/>
          <w:color w:val="auto"/>
        </w:rPr>
        <w:t>“Restriction Period”</w:t>
      </w:r>
      <w:r>
        <w:rPr>
          <w:rFonts w:ascii="Arial" w:cs="Arial" w:eastAsia="Arial" w:hAnsi="Arial"/>
          <w:sz w:val="18"/>
          <w:szCs w:val="18"/>
          <w:color w:val="auto"/>
        </w:rPr>
        <w:t>). Upon vesting on the Vesting Date, the restrictions in this Section 2 shall lapse and</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328" w:right="279" w:bottom="1440" w:gutter="0" w:footer="0" w:header="0"/>
        </w:sectPr>
      </w:pPr>
    </w:p>
    <w:bookmarkStart w:id="112" w:name="page113"/>
    <w:bookmarkEnd w:id="112"/>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Grantee may transfer the shares of Stock in accordance with applicable securities law requirements and the Company’s policies and procedures. The Additional Shares, upon issuance, shall not be subject to the restrictions contained in the first sentence of this Section 2 but shall be subject to the other restrictions and requirements set forth in the immediately preceding sentence.</w:t>
      </w:r>
    </w:p>
    <w:p>
      <w:pPr>
        <w:spacing w:after="0" w:line="134" w:lineRule="exact"/>
        <w:rPr>
          <w:sz w:val="20"/>
          <w:szCs w:val="20"/>
          <w:color w:val="auto"/>
        </w:rPr>
      </w:pPr>
    </w:p>
    <w:p>
      <w:pPr>
        <w:ind w:firstLine="464"/>
        <w:spacing w:after="0" w:line="288" w:lineRule="auto"/>
        <w:tabs>
          <w:tab w:leader="none" w:pos="632"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Vesting; Lapse of Restrictions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as provided otherwise in this Agreement and the Plan (including but not limited to Section 14.2 of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provides for accelerated vesting upon certain terminations in connection with a Change of Control), the Restricted Stock shall vest as set forth on the Vesting Schedule in the Notice of Grant. Grantee shall forfeit the unvested portion of the Restricted Stock. If Grantee terminates Service prior to the Vesting Date on account of death, Disability, or termination by the Company other than for Cause, Grantee shall be entitled to retain a percentage of the Restricted Stock (the </w:t>
      </w:r>
      <w:r>
        <w:rPr>
          <w:rFonts w:ascii="Arial" w:cs="Arial" w:eastAsia="Arial" w:hAnsi="Arial"/>
          <w:sz w:val="16"/>
          <w:szCs w:val="16"/>
          <w:b w:val="1"/>
          <w:bCs w:val="1"/>
          <w:color w:val="auto"/>
        </w:rPr>
        <w:t>“Retained Shares”</w:t>
      </w:r>
      <w:r>
        <w:rPr>
          <w:rFonts w:ascii="Arial" w:cs="Arial" w:eastAsia="Arial" w:hAnsi="Arial"/>
          <w:sz w:val="16"/>
          <w:szCs w:val="16"/>
          <w:color w:val="auto"/>
        </w:rPr>
        <w:t>) equal to the ratio that the number of days of Service of Grantee during the Measuring Period bears to the total number of days in the</w:t>
      </w:r>
      <w:r>
        <w:rPr>
          <w:rFonts w:ascii="Arial" w:cs="Arial" w:eastAsia="Arial" w:hAnsi="Arial"/>
          <w:sz w:val="16"/>
          <w:szCs w:val="16"/>
          <w:b w:val="1"/>
          <w:bCs w:val="1"/>
          <w:color w:val="auto"/>
        </w:rPr>
        <w:t xml:space="preserve"> </w:t>
      </w:r>
      <w:r>
        <w:rPr>
          <w:rFonts w:ascii="Arial" w:cs="Arial" w:eastAsia="Arial" w:hAnsi="Arial"/>
          <w:sz w:val="16"/>
          <w:szCs w:val="16"/>
          <w:color w:val="auto"/>
        </w:rPr>
        <w:t>Measuring Period. The Retained Shares of Restricted Stock shall vest in accordance with the vesting schedule set forth in the Notice of Grant as though the Retained Shares were the number of shares of Restricted Stock set forth in the Notice of Grant and the remaining shares of Restricted Stock shall be forfeited upon Grantee’s termination of Service. If Grantee terminates Service prior to the Vesting Date as a result of termination by the Company for Cause or voluntary termination by Grantee, all shares of Restricted Stock shall be forfeited upon Grantee’s termination of Service and Grantee shall have no right to receive any Additional Shares of Stock.</w:t>
      </w:r>
    </w:p>
    <w:p>
      <w:pPr>
        <w:spacing w:after="0" w:line="115" w:lineRule="exact"/>
        <w:rPr>
          <w:rFonts w:ascii="Arial" w:cs="Arial" w:eastAsia="Arial" w:hAnsi="Arial"/>
          <w:sz w:val="16"/>
          <w:szCs w:val="16"/>
          <w:color w:val="auto"/>
        </w:rPr>
      </w:pPr>
    </w:p>
    <w:p>
      <w:pPr>
        <w:ind w:right="20" w:firstLine="464"/>
        <w:spacing w:after="0" w:line="255" w:lineRule="auto"/>
        <w:tabs>
          <w:tab w:leader="none" w:pos="632"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 xml:space="preserve">Leave of Absence. </w:t>
      </w:r>
      <w:r>
        <w:rPr>
          <w:rFonts w:ascii="Arial" w:cs="Arial" w:eastAsia="Arial" w:hAnsi="Arial"/>
          <w:sz w:val="18"/>
          <w:szCs w:val="18"/>
          <w:color w:val="auto"/>
        </w:rPr>
        <w:t>For purposes of the Restricted Stock, Service does not terminate when Grantee goes on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bona fide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leave of absence that</w:t>
      </w:r>
      <w:r>
        <w:rPr>
          <w:rFonts w:ascii="Arial" w:cs="Arial" w:eastAsia="Arial" w:hAnsi="Arial"/>
          <w:sz w:val="18"/>
          <w:szCs w:val="18"/>
          <w:b w:val="1"/>
          <w:bCs w:val="1"/>
          <w:color w:val="auto"/>
        </w:rPr>
        <w:t xml:space="preserve"> </w:t>
      </w:r>
      <w:r>
        <w:rPr>
          <w:rFonts w:ascii="Arial" w:cs="Arial" w:eastAsia="Arial" w:hAnsi="Arial"/>
          <w:sz w:val="18"/>
          <w:szCs w:val="18"/>
          <w:color w:val="auto"/>
        </w:rPr>
        <w:t>was approved by the Company or an Affiliate in writing, if the terms of the leave provide for continued Service crediting, or when continued Service crediting is required by applicable law. However, Service will be treated as terminating 90 days after Grantee went on the approved leave, unless Grantee’s right to return to active work is guaranteed by law or by a contract. Service terminates in any event when the approved leave ends unless Grantee immediately returns to active Service. The Committee determines, in its sole discretion, which leaves of absence count for this purpose, and when Service terminates for all purposes under the Plan.</w:t>
      </w:r>
    </w:p>
    <w:p>
      <w:pPr>
        <w:spacing w:after="0" w:line="139" w:lineRule="exact"/>
        <w:rPr>
          <w:rFonts w:ascii="Arial" w:cs="Arial" w:eastAsia="Arial" w:hAnsi="Arial"/>
          <w:sz w:val="18"/>
          <w:szCs w:val="18"/>
          <w:color w:val="auto"/>
        </w:rPr>
      </w:pPr>
    </w:p>
    <w:p>
      <w:pPr>
        <w:ind w:right="60" w:firstLine="464"/>
        <w:spacing w:after="0" w:line="291" w:lineRule="auto"/>
        <w:tabs>
          <w:tab w:leader="none" w:pos="632"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 xml:space="preserve">Dividends. </w:t>
      </w:r>
      <w:r>
        <w:rPr>
          <w:rFonts w:ascii="Arial" w:cs="Arial" w:eastAsia="Arial" w:hAnsi="Arial"/>
          <w:sz w:val="16"/>
          <w:szCs w:val="16"/>
          <w:color w:val="auto"/>
        </w:rPr>
        <w:t>During the Restriction Period, regular cash dividends declared and paid with respect to shares of Restricted Stock shall be retained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shall be subject to the same vesting requirements as specified in the Notice of Grant above. If dividends are declared during the Restriction Period but prior to the actual issuance of the Restricted Stock, Grantee shall be entitled to Dividend Equivalents in an amount equal to the amount of actual dividends that would have been paid on the Restricted Stock and the Dividend Equivalents shall be retained by the Company and subject to the same vesting requirements as actual dividends paid with respect to the Restricted Stock. Any retained dividends (or Dividend Equivalents) to which Grantee becomes entitled upon vesting on the Vesting Date following the end of the Measuring Period shall be paid to Grantee on the Vesting Date, but in no event later than March 15, 2014. Grantee shall not be entitled to receive a special or extraordinary cash dividend or distribution during the Restriction Period.</w:t>
      </w:r>
    </w:p>
    <w:p>
      <w:pPr>
        <w:spacing w:after="0" w:line="1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113" w:name="page114"/>
    <w:bookmarkEnd w:id="113"/>
    <w:p>
      <w:pPr>
        <w:ind w:left="-20" w:right="60" w:firstLine="464"/>
        <w:spacing w:after="0" w:line="255" w:lineRule="auto"/>
        <w:tabs>
          <w:tab w:leader="none" w:pos="612"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Purchase and Delivery of Shares. </w:t>
      </w:r>
      <w:r>
        <w:rPr>
          <w:rFonts w:ascii="Arial" w:cs="Arial" w:eastAsia="Arial" w:hAnsi="Arial"/>
          <w:sz w:val="18"/>
          <w:szCs w:val="18"/>
          <w:color w:val="auto"/>
        </w:rPr>
        <w:t>Grantee shall be required, to the extent required by applicable law, to purchase the shares of Restricted Stock from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Company at the aggregate par value of the shares of Stock represented by such Restricted Stock (the </w:t>
      </w:r>
      <w:r>
        <w:rPr>
          <w:rFonts w:ascii="Arial" w:cs="Arial" w:eastAsia="Arial" w:hAnsi="Arial"/>
          <w:sz w:val="18"/>
          <w:szCs w:val="18"/>
          <w:b w:val="1"/>
          <w:bCs w:val="1"/>
          <w:color w:val="auto"/>
        </w:rPr>
        <w:t>“Purchase Price”</w:t>
      </w:r>
      <w:r>
        <w:rPr>
          <w:rFonts w:ascii="Arial" w:cs="Arial" w:eastAsia="Arial" w:hAnsi="Arial"/>
          <w:sz w:val="18"/>
          <w:szCs w:val="18"/>
          <w:color w:val="auto"/>
        </w:rPr>
        <w:t>). The Purchase Price shall be payable in cash or in cash equivalents acceptable to the Company. Upon the expiration or termination of the Restriction Period, the restrictions applicable to Restricted Stock shall lapse, and, a certificate for such shares of Stock shall be delivered, free of all such restrictions, to Grantee or Grantee’s beneficiary or estate, as the case may be. Notwithstanding anything in this Agreement to the contrary, the Company may elect to satisfy any requirement for the delivery of stock certificates hereunder through the use of book-entry.</w:t>
      </w:r>
    </w:p>
    <w:p>
      <w:pPr>
        <w:spacing w:after="0" w:line="139" w:lineRule="exact"/>
        <w:rPr>
          <w:rFonts w:ascii="Arial" w:cs="Arial" w:eastAsia="Arial" w:hAnsi="Arial"/>
          <w:sz w:val="18"/>
          <w:szCs w:val="18"/>
          <w:color w:val="auto"/>
        </w:rPr>
      </w:pPr>
    </w:p>
    <w:p>
      <w:pPr>
        <w:ind w:left="-20" w:right="180" w:firstLine="464"/>
        <w:spacing w:after="0" w:line="275" w:lineRule="auto"/>
        <w:tabs>
          <w:tab w:leader="none" w:pos="612"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Enforcement of Restrictions. </w:t>
      </w:r>
      <w:r>
        <w:rPr>
          <w:rFonts w:ascii="Arial" w:cs="Arial" w:eastAsia="Arial" w:hAnsi="Arial"/>
          <w:sz w:val="18"/>
          <w:szCs w:val="18"/>
          <w:color w:val="auto"/>
        </w:rPr>
        <w:t>All certificates representing shares of Restricted Stock shall include applicable restrictive legends regarding restrictions</w:t>
      </w:r>
      <w:r>
        <w:rPr>
          <w:rFonts w:ascii="Arial" w:cs="Arial" w:eastAsia="Arial" w:hAnsi="Arial"/>
          <w:sz w:val="18"/>
          <w:szCs w:val="18"/>
          <w:b w:val="1"/>
          <w:bCs w:val="1"/>
          <w:color w:val="auto"/>
        </w:rPr>
        <w:t xml:space="preserve"> </w:t>
      </w:r>
      <w:r>
        <w:rPr>
          <w:rFonts w:ascii="Arial" w:cs="Arial" w:eastAsia="Arial" w:hAnsi="Arial"/>
          <w:sz w:val="18"/>
          <w:szCs w:val="18"/>
          <w:color w:val="auto"/>
        </w:rPr>
        <w:t>on transfer and compliance with securities law requirements, as determined by the Committee.</w:t>
      </w:r>
    </w:p>
    <w:p>
      <w:pPr>
        <w:spacing w:after="0" w:line="119" w:lineRule="exact"/>
        <w:rPr>
          <w:rFonts w:ascii="Arial" w:cs="Arial" w:eastAsia="Arial" w:hAnsi="Arial"/>
          <w:sz w:val="18"/>
          <w:szCs w:val="18"/>
          <w:color w:val="auto"/>
        </w:rPr>
      </w:pPr>
    </w:p>
    <w:p>
      <w:pPr>
        <w:ind w:left="-20" w:right="80" w:firstLine="464"/>
        <w:spacing w:after="0" w:line="256" w:lineRule="auto"/>
        <w:tabs>
          <w:tab w:leader="none" w:pos="612"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 xml:space="preserve">Tax Withholding. </w:t>
      </w:r>
      <w:r>
        <w:rPr>
          <w:rFonts w:ascii="Arial" w:cs="Arial" w:eastAsia="Arial" w:hAnsi="Arial"/>
          <w:sz w:val="18"/>
          <w:szCs w:val="18"/>
          <w:color w:val="auto"/>
        </w:rPr>
        <w:t>The Company or any Affiliate shall have the right to deduct from payments of any kind otherwise due to Grantee, any federal, state,</w:t>
      </w:r>
      <w:r>
        <w:rPr>
          <w:rFonts w:ascii="Arial" w:cs="Arial" w:eastAsia="Arial" w:hAnsi="Arial"/>
          <w:sz w:val="18"/>
          <w:szCs w:val="18"/>
          <w:b w:val="1"/>
          <w:bCs w:val="1"/>
          <w:color w:val="auto"/>
        </w:rPr>
        <w:t xml:space="preserve"> </w:t>
      </w:r>
      <w:r>
        <w:rPr>
          <w:rFonts w:ascii="Arial" w:cs="Arial" w:eastAsia="Arial" w:hAnsi="Arial"/>
          <w:sz w:val="18"/>
          <w:szCs w:val="18"/>
          <w:color w:val="auto"/>
        </w:rPr>
        <w:t>local or foreign taxes of any kind required by law to be withheld upon the issuance, vesting or payment of any shares of Stock or dividends. By accepting this Agreement, Grantee hereby authorizes the Company to withhold from fully vested shares of Stock otherwise deliverable to Grantee a number of whole shares of Stock necessary to satisfy the Company’s required tax withholding with respect to the Award and to deduct any remaining amount due from any payments due to Grantee.</w:t>
      </w:r>
    </w:p>
    <w:p>
      <w:pPr>
        <w:spacing w:after="0" w:line="64" w:lineRule="exact"/>
        <w:rPr>
          <w:sz w:val="20"/>
          <w:szCs w:val="20"/>
          <w:color w:val="auto"/>
        </w:rPr>
      </w:pPr>
    </w:p>
    <w:p>
      <w:pPr>
        <w:ind w:left="440" w:right="120" w:firstLine="438"/>
        <w:spacing w:after="0" w:line="259" w:lineRule="auto"/>
        <w:rPr>
          <w:sz w:val="20"/>
          <w:szCs w:val="20"/>
          <w:color w:val="auto"/>
        </w:rPr>
      </w:pPr>
      <w:r>
        <w:rPr>
          <w:rFonts w:ascii="Arial" w:cs="Arial" w:eastAsia="Arial" w:hAnsi="Arial"/>
          <w:sz w:val="18"/>
          <w:szCs w:val="18"/>
          <w:color w:val="auto"/>
        </w:rPr>
        <w:t>Notwithstanding the foregoing, in lieu of share withholding, Grantee may irrevocably elect to satisfy the required tax withholding obligation by delivering on the date of exercise: (a) a cashiers check or other check acceptable to the Company; or (b) whole shares of Stock already owned by Grantee, in the amount determined by the Company to satisfy the required tax withholding obligation.</w:t>
      </w:r>
    </w:p>
    <w:p>
      <w:pPr>
        <w:spacing w:after="0" w:line="59" w:lineRule="exact"/>
        <w:rPr>
          <w:sz w:val="20"/>
          <w:szCs w:val="20"/>
          <w:color w:val="auto"/>
        </w:rPr>
      </w:pPr>
    </w:p>
    <w:p>
      <w:pPr>
        <w:ind w:left="440" w:firstLine="438"/>
        <w:spacing w:after="0" w:line="291" w:lineRule="auto"/>
        <w:rPr>
          <w:sz w:val="20"/>
          <w:szCs w:val="20"/>
          <w:color w:val="auto"/>
        </w:rPr>
      </w:pPr>
      <w:r>
        <w:rPr>
          <w:rFonts w:ascii="Arial" w:cs="Arial" w:eastAsia="Arial" w:hAnsi="Arial"/>
          <w:sz w:val="16"/>
          <w:szCs w:val="16"/>
          <w:color w:val="auto"/>
        </w:rPr>
        <w:t>Any shares delivered or withheld shall have an aggregate Fair Market Value not in excess of the minimum statutory total tax withholding obligation. The Fair Market Value of the shares used to satisfy the withholding obligation shall be determined by the Company as of the date that the amount of tax to be withheld is to be determined. Shares used to satisfy any tax withholding obligation must be vested and cannot be subject to any repurchase, forfeiture, or other similar requirements. Any election to deliver a check or shares shall be irrevocable, made in writing, signed by Grantee and delivered to the General Counsel of the Company at least 30 days before the scheduled vesting date, and shall be subject to any restrictions or limitations that the Company, in its sole discretion, deems appropriate.</w:t>
      </w:r>
    </w:p>
    <w:p>
      <w:pPr>
        <w:spacing w:after="0" w:line="114" w:lineRule="exact"/>
        <w:rPr>
          <w:sz w:val="20"/>
          <w:szCs w:val="20"/>
          <w:color w:val="auto"/>
        </w:rPr>
      </w:pPr>
    </w:p>
    <w:p>
      <w:pPr>
        <w:ind w:left="-20" w:firstLine="464"/>
        <w:spacing w:after="0" w:line="293" w:lineRule="auto"/>
        <w:tabs>
          <w:tab w:leader="none" w:pos="612"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 xml:space="preserve">Effect of Prohibited Transfer. </w:t>
      </w:r>
      <w:r>
        <w:rPr>
          <w:rFonts w:ascii="Arial" w:cs="Arial" w:eastAsia="Arial" w:hAnsi="Arial"/>
          <w:sz w:val="16"/>
          <w:szCs w:val="16"/>
          <w:color w:val="auto"/>
        </w:rPr>
        <w:t>If any transfer of shares is made or attempted to be made contrary to the terms of this Agreement, the Company shall</w:t>
      </w:r>
      <w:r>
        <w:rPr>
          <w:rFonts w:ascii="Arial" w:cs="Arial" w:eastAsia="Arial" w:hAnsi="Arial"/>
          <w:sz w:val="16"/>
          <w:szCs w:val="16"/>
          <w:b w:val="1"/>
          <w:bCs w:val="1"/>
          <w:color w:val="auto"/>
        </w:rPr>
        <w:t xml:space="preserve"> </w:t>
      </w:r>
      <w:r>
        <w:rPr>
          <w:rFonts w:ascii="Arial" w:cs="Arial" w:eastAsia="Arial" w:hAnsi="Arial"/>
          <w:sz w:val="16"/>
          <w:szCs w:val="16"/>
          <w:color w:val="auto"/>
        </w:rPr>
        <w:t>have the right to acquire for its own account, without the payment of any consideration, such shares from the owner thereof or his transferee, at any time before or after such prohibited transfer. In addition to any other legal or equitable remedies it may have, the Company may enforce its rights to specific performance to the extent permitted by law and may exercise such other equitable remedies then available. The Company may refuse for any purpose to recognize any transferee who receives shares contrary to the provisions of this Agreement as a stockholder of the Company and may retain and/or recover all dividends on such shares that were paid or payable subsequent to the date on which the prohibited transfer was made or attempted.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328" w:right="259" w:bottom="1440" w:gutter="0" w:footer="0" w:header="0"/>
        </w:sectPr>
      </w:pPr>
    </w:p>
    <w:bookmarkStart w:id="114" w:name="page115"/>
    <w:bookmarkEnd w:id="114"/>
    <w:p>
      <w:pPr>
        <w:ind w:right="100" w:firstLine="464"/>
        <w:spacing w:after="0" w:line="262" w:lineRule="auto"/>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Investment Representations. </w:t>
      </w:r>
      <w:r>
        <w:rPr>
          <w:rFonts w:ascii="Arial" w:cs="Arial" w:eastAsia="Arial" w:hAnsi="Arial"/>
          <w:sz w:val="18"/>
          <w:szCs w:val="18"/>
          <w:color w:val="auto"/>
        </w:rPr>
        <w:t>The Committee may require Grantee (or Grantee’s estate or heirs) to represent and warrant in writing that the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is acquiring the shares of Stock for investment and without any present intention to sell or distribute such shares and to make such other representations as are deemed necessary or appropriate by the Company and its counsel.</w:t>
      </w:r>
    </w:p>
    <w:p>
      <w:pPr>
        <w:spacing w:after="0" w:line="132" w:lineRule="exact"/>
        <w:rPr>
          <w:rFonts w:ascii="Arial" w:cs="Arial" w:eastAsia="Arial" w:hAnsi="Arial"/>
          <w:sz w:val="18"/>
          <w:szCs w:val="18"/>
          <w:color w:val="auto"/>
        </w:rPr>
      </w:pPr>
    </w:p>
    <w:p>
      <w:pPr>
        <w:jc w:val="both"/>
        <w:ind w:firstLine="464"/>
        <w:spacing w:after="0" w:line="378" w:lineRule="auto"/>
        <w:tabs>
          <w:tab w:leader="none" w:pos="713" w:val="left"/>
        </w:tabs>
        <w:numPr>
          <w:ilvl w:val="0"/>
          <w:numId w:val="63"/>
        </w:numPr>
        <w:rPr>
          <w:rFonts w:ascii="Arial" w:cs="Arial" w:eastAsia="Arial" w:hAnsi="Arial"/>
          <w:sz w:val="15"/>
          <w:szCs w:val="15"/>
          <w:color w:val="auto"/>
        </w:rPr>
      </w:pPr>
      <w:r>
        <w:rPr>
          <w:rFonts w:ascii="Arial" w:cs="Arial" w:eastAsia="Arial" w:hAnsi="Arial"/>
          <w:sz w:val="15"/>
          <w:szCs w:val="15"/>
          <w:b w:val="1"/>
          <w:bCs w:val="1"/>
          <w:color w:val="auto"/>
        </w:rPr>
        <w:t xml:space="preserve">Continued Service. </w:t>
      </w:r>
      <w:r>
        <w:rPr>
          <w:rFonts w:ascii="Arial" w:cs="Arial" w:eastAsia="Arial" w:hAnsi="Arial"/>
          <w:sz w:val="15"/>
          <w:szCs w:val="15"/>
          <w:color w:val="auto"/>
        </w:rPr>
        <w:t>Neither the grant of shares of Restricted Stock nor this Agreement gives Grantee the right to continue Service with the Company or</w:t>
      </w:r>
      <w:r>
        <w:rPr>
          <w:rFonts w:ascii="Arial" w:cs="Arial" w:eastAsia="Arial" w:hAnsi="Arial"/>
          <w:sz w:val="15"/>
          <w:szCs w:val="15"/>
          <w:b w:val="1"/>
          <w:bCs w:val="1"/>
          <w:color w:val="auto"/>
        </w:rPr>
        <w:t xml:space="preserve"> </w:t>
      </w:r>
      <w:r>
        <w:rPr>
          <w:rFonts w:ascii="Arial" w:cs="Arial" w:eastAsia="Arial" w:hAnsi="Arial"/>
          <w:sz w:val="15"/>
          <w:szCs w:val="15"/>
          <w:color w:val="auto"/>
        </w:rPr>
        <w:t>its Affiliates in any capacity. The Company and its Affiliates reserve the right to terminate Grantee’s Service at any time and for any reason not prohibited by law.</w:t>
      </w:r>
    </w:p>
    <w:p>
      <w:pPr>
        <w:spacing w:after="0" w:line="50" w:lineRule="exact"/>
        <w:rPr>
          <w:rFonts w:ascii="Arial" w:cs="Arial" w:eastAsia="Arial" w:hAnsi="Arial"/>
          <w:sz w:val="15"/>
          <w:szCs w:val="15"/>
          <w:color w:val="auto"/>
        </w:rPr>
      </w:pPr>
    </w:p>
    <w:p>
      <w:pPr>
        <w:ind w:right="180" w:firstLine="464"/>
        <w:spacing w:after="0" w:line="262" w:lineRule="auto"/>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The validity and construction of this Agreement and the Plan shall be construed in accordance with and governed by the laws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State of Delaware other than any conflicts or choice of law rule or principle that might otherwise refer construction or interpretation of the Plan and this Agreement to the substantive laws of any other jurisdiction.</w:t>
      </w:r>
    </w:p>
    <w:p>
      <w:pPr>
        <w:spacing w:after="0" w:line="132" w:lineRule="exact"/>
        <w:rPr>
          <w:rFonts w:ascii="Arial" w:cs="Arial" w:eastAsia="Arial" w:hAnsi="Arial"/>
          <w:sz w:val="18"/>
          <w:szCs w:val="18"/>
          <w:color w:val="auto"/>
        </w:rPr>
      </w:pPr>
    </w:p>
    <w:p>
      <w:pPr>
        <w:ind w:right="460" w:firstLine="464"/>
        <w:spacing w:after="0" w:line="275" w:lineRule="auto"/>
        <w:tabs>
          <w:tab w:leader="none" w:pos="72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 xml:space="preserve">Binding Effect. </w:t>
      </w:r>
      <w:r>
        <w:rPr>
          <w:rFonts w:ascii="Arial" w:cs="Arial" w:eastAsia="Arial" w:hAnsi="Arial"/>
          <w:sz w:val="18"/>
          <w:szCs w:val="18"/>
          <w:color w:val="auto"/>
        </w:rPr>
        <w:t>This Agreement shall be binding upon and inure to the benefit of the Company and Grantee and their respective heirs, executors,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administrators, legal representatives, successors and assigns.</w:t>
      </w:r>
    </w:p>
    <w:p>
      <w:pPr>
        <w:spacing w:after="0" w:line="119" w:lineRule="exact"/>
        <w:rPr>
          <w:rFonts w:ascii="Arial" w:cs="Arial" w:eastAsia="Arial" w:hAnsi="Arial"/>
          <w:sz w:val="18"/>
          <w:szCs w:val="18"/>
          <w:color w:val="auto"/>
        </w:rPr>
      </w:pPr>
    </w:p>
    <w:p>
      <w:pPr>
        <w:ind w:right="240" w:firstLine="464"/>
        <w:spacing w:after="0" w:line="338" w:lineRule="auto"/>
        <w:tabs>
          <w:tab w:leader="none" w:pos="720"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Tax Treatment; Section 83(b); Section 409A</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Grantee may incur tax liability as a result of the vesting of shares of Restricted Stock, the issuance of</w:t>
      </w:r>
      <w:r>
        <w:rPr>
          <w:rFonts w:ascii="Arial" w:cs="Arial" w:eastAsia="Arial" w:hAnsi="Arial"/>
          <w:sz w:val="16"/>
          <w:szCs w:val="16"/>
          <w:b w:val="1"/>
          <w:bCs w:val="1"/>
          <w:color w:val="auto"/>
        </w:rPr>
        <w:t xml:space="preserve"> </w:t>
      </w:r>
      <w:r>
        <w:rPr>
          <w:rFonts w:ascii="Arial" w:cs="Arial" w:eastAsia="Arial" w:hAnsi="Arial"/>
          <w:sz w:val="16"/>
          <w:szCs w:val="16"/>
          <w:color w:val="auto"/>
        </w:rPr>
        <w:t>Additional Shares, the payment of dividends or the disposition of shares of Stock. Grantee should consult his or her own tax adviser for tax advice.</w:t>
      </w:r>
    </w:p>
    <w:p>
      <w:pPr>
        <w:spacing w:after="0" w:line="1" w:lineRule="exact"/>
        <w:rPr>
          <w:sz w:val="20"/>
          <w:szCs w:val="20"/>
          <w:color w:val="auto"/>
        </w:rPr>
      </w:pPr>
    </w:p>
    <w:p>
      <w:pPr>
        <w:ind w:left="460" w:right="100" w:firstLine="438"/>
        <w:spacing w:after="0" w:line="298" w:lineRule="auto"/>
        <w:rPr>
          <w:sz w:val="20"/>
          <w:szCs w:val="20"/>
          <w:color w:val="auto"/>
        </w:rPr>
      </w:pPr>
      <w:r>
        <w:rPr>
          <w:rFonts w:ascii="Arial" w:cs="Arial" w:eastAsia="Arial" w:hAnsi="Arial"/>
          <w:sz w:val="16"/>
          <w:szCs w:val="16"/>
          <w:color w:val="auto"/>
        </w:rPr>
        <w:t>Grantee hereby acknowledges that Grantee has been informed that he or she may file with the Internal Revenue Service, within 30 days of the Grant Date, an irrevocable election pursuant to Section 83(b) of the Code to be taxed as of the Grant Date on the amount by which the Fair Market Value of the Restricted Stock on that date exceeds the Purchase Price. If Grantee chooses to file an election under Section 83(b) of the Code, Grantee hereby agrees to promptly deliver a copy of any such election to the Chief Financial Officer of the Company (or his designee).</w:t>
      </w:r>
    </w:p>
    <w:p>
      <w:pPr>
        <w:spacing w:after="0" w:line="32" w:lineRule="exact"/>
        <w:rPr>
          <w:sz w:val="20"/>
          <w:szCs w:val="20"/>
          <w:color w:val="auto"/>
        </w:rPr>
      </w:pPr>
    </w:p>
    <w:p>
      <w:pPr>
        <w:ind w:left="460" w:right="20" w:firstLine="438"/>
        <w:spacing w:after="0" w:line="306" w:lineRule="auto"/>
        <w:rPr>
          <w:sz w:val="20"/>
          <w:szCs w:val="20"/>
          <w:color w:val="auto"/>
        </w:rPr>
      </w:pPr>
      <w:r>
        <w:rPr>
          <w:rFonts w:ascii="Arial" w:cs="Arial" w:eastAsia="Arial" w:hAnsi="Arial"/>
          <w:sz w:val="16"/>
          <w:szCs w:val="16"/>
          <w:color w:val="auto"/>
        </w:rPr>
        <w:t>Grantee acknowledges that the Committee, in the exercise of its sole discretion and without Grantee’s consent, may amend or modify this Agreement in any manner and delay the payment of any amounts payable pursuant to this Agreement to the minimum extent necessary to satisfy the requirements of Section 409A of the Code. The Company will provide Grantee with notice of any such amendment or modification.</w:t>
      </w:r>
    </w:p>
    <w:p>
      <w:pPr>
        <w:spacing w:after="0" w:line="101" w:lineRule="exact"/>
        <w:rPr>
          <w:sz w:val="20"/>
          <w:szCs w:val="20"/>
          <w:color w:val="auto"/>
        </w:rPr>
      </w:pPr>
    </w:p>
    <w:p>
      <w:pPr>
        <w:ind w:right="160" w:firstLine="464"/>
        <w:spacing w:after="0" w:line="275" w:lineRule="auto"/>
        <w:tabs>
          <w:tab w:leader="none" w:pos="72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The terms and conditions set forth in this Agreement may only be amended by the written consent of the Company and Grantee, except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extent set forth in Section 14 regarding Section 409A of the Code and any other provision set forth in the Plan.</w:t>
      </w:r>
    </w:p>
    <w:p>
      <w:pPr>
        <w:spacing w:after="0" w:line="119" w:lineRule="exact"/>
        <w:rPr>
          <w:rFonts w:ascii="Arial" w:cs="Arial" w:eastAsia="Arial" w:hAnsi="Arial"/>
          <w:sz w:val="18"/>
          <w:szCs w:val="18"/>
          <w:color w:val="auto"/>
        </w:rPr>
      </w:pPr>
    </w:p>
    <w:p>
      <w:pPr>
        <w:ind w:right="140" w:firstLine="464"/>
        <w:spacing w:after="0" w:line="339" w:lineRule="auto"/>
        <w:tabs>
          <w:tab w:leader="none" w:pos="72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 xml:space="preserve">2007 Equity Incentive Plan. </w:t>
      </w:r>
      <w:r>
        <w:rPr>
          <w:rFonts w:ascii="Arial" w:cs="Arial" w:eastAsia="Arial" w:hAnsi="Arial"/>
          <w:sz w:val="16"/>
          <w:szCs w:val="16"/>
          <w:color w:val="auto"/>
        </w:rPr>
        <w:t>The shares of Restricted Stock and payment of dividends (and Dividend Equivalents) granted hereunder shall be subject</w:t>
      </w:r>
      <w:r>
        <w:rPr>
          <w:rFonts w:ascii="Arial" w:cs="Arial" w:eastAsia="Arial" w:hAnsi="Arial"/>
          <w:sz w:val="16"/>
          <w:szCs w:val="16"/>
          <w:b w:val="1"/>
          <w:bCs w:val="1"/>
          <w:color w:val="auto"/>
        </w:rPr>
        <w:t xml:space="preserve"> </w:t>
      </w:r>
      <w:r>
        <w:rPr>
          <w:rFonts w:ascii="Arial" w:cs="Arial" w:eastAsia="Arial" w:hAnsi="Arial"/>
          <w:sz w:val="16"/>
          <w:szCs w:val="16"/>
          <w:color w:val="auto"/>
        </w:rPr>
        <w:t>to such additional terms and conditions as may be imposed under the terms of the Plan, a copy of which has been provided to Grantee.</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328" w:right="239" w:bottom="1440" w:gutter="0" w:footer="0" w:header="0"/>
        </w:sectPr>
      </w:pPr>
    </w:p>
    <w:bookmarkStart w:id="115" w:name="page116"/>
    <w:bookmarkEnd w:id="115"/>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NATIONAL CINEMEDIA, INC.</w:t>
      </w:r>
    </w:p>
    <w:p>
      <w:pPr>
        <w:spacing w:after="0" w:line="231" w:lineRule="exact"/>
        <w:rPr>
          <w:sz w:val="20"/>
          <w:szCs w:val="20"/>
          <w:color w:val="auto"/>
        </w:rPr>
      </w:pPr>
    </w:p>
    <w:p>
      <w:pPr>
        <w:ind w:left="5660"/>
        <w:spacing w:after="0"/>
        <w:tabs>
          <w:tab w:leader="none" w:pos="6140" w:val="left"/>
        </w:tabs>
        <w:rPr>
          <w:sz w:val="20"/>
          <w:szCs w:val="20"/>
          <w:color w:val="auto"/>
        </w:rPr>
      </w:pPr>
      <w:r>
        <w:rPr>
          <w:rFonts w:ascii="Arial" w:cs="Arial" w:eastAsia="Arial" w:hAnsi="Arial"/>
          <w:sz w:val="18"/>
          <w:szCs w:val="18"/>
          <w:color w:val="auto"/>
        </w:rPr>
        <w:t>By:</w:t>
        <w:tab/>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10795</wp:posOffset>
            </wp:positionV>
            <wp:extent cx="260731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jc w:val="right"/>
        <w:ind w:right="179"/>
        <w:spacing w:after="0"/>
        <w:rPr>
          <w:sz w:val="20"/>
          <w:szCs w:val="20"/>
          <w:color w:val="auto"/>
        </w:rPr>
      </w:pPr>
      <w:r>
        <w:rPr>
          <w:rFonts w:ascii="Arial" w:cs="Arial" w:eastAsia="Arial" w:hAnsi="Arial"/>
          <w:sz w:val="18"/>
          <w:szCs w:val="18"/>
          <w:color w:val="auto"/>
        </w:rPr>
        <w:t>President and Chief Executive Officer</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3882390</wp:posOffset>
            </wp:positionH>
            <wp:positionV relativeFrom="paragraph">
              <wp:posOffset>2540</wp:posOffset>
            </wp:positionV>
            <wp:extent cx="260731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9019"/>
          </w:cols>
          <w:pgMar w:left="1440" w:top="274"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SUBSIDIARIES OF NATIONAL CINEMEDIA, INC.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 a Delaware limited liability company (a wholly owned subsidiary of National CineMedia, Inc.)</w:t>
      </w:r>
    </w:p>
    <w:p>
      <w:pPr>
        <w:sectPr>
          <w:pgSz w:w="11900" w:h="16838" w:orient="portrait"/>
          <w:cols w:equalWidth="0" w:num="1">
            <w:col w:w="11420"/>
          </w:cols>
          <w:pgMar w:left="240" w:top="125"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consent to the incorporation by reference in Registration Statement No. 333-140652 on Form S-8 and in Registration Statement No. 333-162933 on Form S-3 of our reports dated February 24, 2011 relating to the consolidated financial statements of National CineMedia, Inc. and subsidiary and the financial statements of National CineMedia, LLC and our report dated February 24, 2011 on the effectiveness of National CineMedia, Inc. and subsidiary’s internal control over financial reporting appearing in the Annual Report on Form 10-K, of National CineMedia, Inc. for the year ended December 30, 2010.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2011</w:t>
      </w:r>
    </w:p>
    <w:p>
      <w:pPr>
        <w:sectPr>
          <w:pgSz w:w="11900" w:h="16838" w:orient="portrait"/>
          <w:cols w:equalWidth="0" w:num="1">
            <w:col w:w="11420"/>
          </w:cols>
          <w:pgMar w:left="240" w:top="125"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171" w:lineRule="exact"/>
        <w:rPr>
          <w:sz w:val="20"/>
          <w:szCs w:val="20"/>
          <w:color w:val="auto"/>
        </w:rPr>
      </w:pPr>
    </w:p>
    <w:p>
      <w:pPr>
        <w:ind w:left="640" w:hanging="17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6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6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6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6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Gary W. Ferrera, certify that:</w:t>
      </w:r>
    </w:p>
    <w:p>
      <w:pPr>
        <w:spacing w:after="0" w:line="171" w:lineRule="exact"/>
        <w:rPr>
          <w:sz w:val="20"/>
          <w:szCs w:val="20"/>
          <w:color w:val="auto"/>
        </w:rPr>
      </w:pPr>
    </w:p>
    <w:p>
      <w:pPr>
        <w:ind w:left="640" w:hanging="17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6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0" w:lineRule="exact"/>
        <w:rPr>
          <w:sz w:val="20"/>
          <w:szCs w:val="20"/>
          <w:color w:val="auto"/>
        </w:rPr>
      </w:pPr>
    </w:p>
    <w:p>
      <w:pPr>
        <w:ind w:right="80" w:firstLine="464"/>
        <w:spacing w:after="0" w:line="259"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00" w:firstLine="464"/>
        <w:spacing w:after="0" w:line="268" w:lineRule="auto"/>
        <w:tabs>
          <w:tab w:leader="none" w:pos="6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705"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280" w:firstLine="464"/>
        <w:spacing w:after="0" w:line="332" w:lineRule="auto"/>
        <w:tabs>
          <w:tab w:leader="none" w:pos="632"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5" w:lineRule="exact"/>
        <w:rPr>
          <w:sz w:val="20"/>
          <w:szCs w:val="20"/>
          <w:color w:val="auto"/>
        </w:rPr>
      </w:pPr>
    </w:p>
    <w:p>
      <w:pPr>
        <w:ind w:right="40" w:firstLine="464"/>
        <w:spacing w:after="0" w:line="268" w:lineRule="auto"/>
        <w:tabs>
          <w:tab w:leader="none" w:pos="69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260" w:firstLine="464"/>
        <w:spacing w:after="0" w:line="268" w:lineRule="auto"/>
        <w:tabs>
          <w:tab w:leader="none" w:pos="7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2011</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connection with the Annual Report on Form 10-K for the period ending December 30, 2010 (the “Report”) of National CineMedia, Inc.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107" w:lineRule="exact"/>
        <w:rPr>
          <w:sz w:val="20"/>
          <w:szCs w:val="20"/>
          <w:color w:val="auto"/>
        </w:rPr>
      </w:pPr>
    </w:p>
    <w:p>
      <w:pPr>
        <w:ind w:left="640" w:hanging="176"/>
        <w:spacing w:after="0"/>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February 25, 2011</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5"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In connection with the Annual Report on Form 10-K for the period ending December 30, 2010 (the “Report”) of National CineMedia, Inc. (the “Registrant”) as filed with the Securities and Exchange Commission on the date hereof, I, Gary W. Ferrera, the Executive Vice President and Chief Financial Officer of the Registrant, certify, pursuant to 18 U.S.C. § 1350, as adopted pursuant to § 906 of the Sarbanes-Oxley Act of 2002, that to the best of my knowledge:</w:t>
      </w:r>
    </w:p>
    <w:p>
      <w:pPr>
        <w:spacing w:after="0" w:line="143" w:lineRule="exact"/>
        <w:rPr>
          <w:sz w:val="20"/>
          <w:szCs w:val="20"/>
          <w:color w:val="auto"/>
        </w:rPr>
      </w:pPr>
    </w:p>
    <w:p>
      <w:pPr>
        <w:ind w:left="640" w:hanging="176"/>
        <w:spacing w:after="0"/>
        <w:tabs>
          <w:tab w:leader="none" w:pos="6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56" w:lineRule="auto"/>
        <w:tabs>
          <w:tab w:leader="none" w:pos="632"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February 25, 2011</w:t>
      </w:r>
    </w:p>
    <w:p>
      <w:pPr>
        <w:spacing w:after="0" w:line="1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5" w:right="2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28"/>
        </w:trPr>
        <w:tc>
          <w:tcPr>
            <w:tcW w:w="9780" w:type="dxa"/>
            <w:vAlign w:val="bottom"/>
          </w:tcPr>
          <w:p>
            <w:pPr>
              <w:spacing w:after="0"/>
              <w:rPr>
                <w:sz w:val="19"/>
                <w:szCs w:val="19"/>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b w:val="1"/>
                <w:bCs w:val="1"/>
                <w:color w:val="auto"/>
              </w:rPr>
              <w:t>Exhibit 99.1</w:t>
            </w:r>
          </w:p>
        </w:tc>
        <w:tc>
          <w:tcPr>
            <w:tcW w:w="0" w:type="dxa"/>
            <w:vAlign w:val="bottom"/>
          </w:tcPr>
          <w:p>
            <w:pPr>
              <w:spacing w:after="0"/>
              <w:rPr>
                <w:sz w:val="1"/>
                <w:szCs w:val="1"/>
                <w:color w:val="auto"/>
              </w:rPr>
            </w:pPr>
          </w:p>
        </w:tc>
      </w:tr>
      <w:tr>
        <w:trPr>
          <w:trHeight w:val="378"/>
        </w:trPr>
        <w:tc>
          <w:tcPr>
            <w:tcW w:w="9780" w:type="dxa"/>
            <w:vAlign w:val="bottom"/>
          </w:tcPr>
          <w:p>
            <w:pPr>
              <w:ind w:left="4160"/>
              <w:spacing w:after="0"/>
              <w:rPr>
                <w:sz w:val="20"/>
                <w:szCs w:val="20"/>
                <w:color w:val="auto"/>
              </w:rPr>
            </w:pPr>
            <w:r>
              <w:rPr>
                <w:rFonts w:ascii="Arial" w:cs="Arial" w:eastAsia="Arial" w:hAnsi="Arial"/>
                <w:sz w:val="18"/>
                <w:szCs w:val="18"/>
                <w:b w:val="1"/>
                <w:bCs w:val="1"/>
                <w:color w:val="auto"/>
              </w:rPr>
              <w:t>INDEX TO FINANCIAL STATEMENTS</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9780" w:type="dxa"/>
            <w:vAlign w:val="bottom"/>
            <w:vMerge w:val="restart"/>
          </w:tcPr>
          <w:p>
            <w:pPr>
              <w:spacing w:after="0"/>
              <w:rPr>
                <w:sz w:val="20"/>
                <w:szCs w:val="20"/>
                <w:color w:val="auto"/>
              </w:rPr>
            </w:pPr>
            <w:r>
              <w:rPr>
                <w:rFonts w:ascii="Arial" w:cs="Arial" w:eastAsia="Arial" w:hAnsi="Arial"/>
                <w:sz w:val="18"/>
                <w:szCs w:val="18"/>
                <w:b w:val="1"/>
                <w:bCs w:val="1"/>
                <w:color w:val="auto"/>
              </w:rPr>
              <w:t>NATIONAL CINEMEDIA, LLC</w:t>
            </w:r>
          </w:p>
        </w:tc>
        <w:tc>
          <w:tcPr>
            <w:tcW w:w="1260" w:type="dxa"/>
            <w:vAlign w:val="bottom"/>
          </w:tcPr>
          <w:p>
            <w:pPr>
              <w:spacing w:after="0"/>
              <w:rPr>
                <w:sz w:val="24"/>
                <w:szCs w:val="2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9780" w:type="dxa"/>
            <w:vAlign w:val="bottom"/>
            <w:vMerge w:val="continue"/>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780" w:type="dxa"/>
            <w:vAlign w:val="bottom"/>
          </w:tcPr>
          <w:p>
            <w:pPr>
              <w:ind w:left="440"/>
              <w:spacing w:after="0"/>
              <w:rPr>
                <w:sz w:val="20"/>
                <w:szCs w:val="20"/>
                <w:color w:val="auto"/>
              </w:rPr>
            </w:pPr>
            <w:r>
              <w:rPr>
                <w:rFonts w:ascii="Arial" w:cs="Arial" w:eastAsia="Arial" w:hAnsi="Arial"/>
                <w:sz w:val="18"/>
                <w:szCs w:val="18"/>
                <w:color w:val="auto"/>
              </w:rPr>
              <w:t>Report of Independent Registered Public Accounting Firm</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780" w:type="dxa"/>
            <w:vAlign w:val="bottom"/>
          </w:tcPr>
          <w:p>
            <w:pPr>
              <w:ind w:left="440"/>
              <w:spacing w:after="0"/>
              <w:rPr>
                <w:sz w:val="20"/>
                <w:szCs w:val="20"/>
                <w:color w:val="auto"/>
              </w:rPr>
            </w:pPr>
            <w:r>
              <w:rPr>
                <w:rFonts w:ascii="Arial" w:cs="Arial" w:eastAsia="Arial" w:hAnsi="Arial"/>
                <w:sz w:val="18"/>
                <w:szCs w:val="18"/>
                <w:color w:val="auto"/>
              </w:rPr>
              <w:t>Balance Sheets as of December 30, 2010 and December 31, 2009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780" w:type="dxa"/>
            <w:vAlign w:val="bottom"/>
          </w:tcPr>
          <w:p>
            <w:pPr>
              <w:ind w:left="440"/>
              <w:spacing w:after="0"/>
              <w:rPr>
                <w:sz w:val="20"/>
                <w:szCs w:val="20"/>
                <w:color w:val="auto"/>
              </w:rPr>
            </w:pPr>
            <w:r>
              <w:rPr>
                <w:rFonts w:ascii="Arial" w:cs="Arial" w:eastAsia="Arial" w:hAnsi="Arial"/>
                <w:sz w:val="18"/>
                <w:szCs w:val="18"/>
                <w:color w:val="auto"/>
              </w:rPr>
              <w:t>Statements of Operations for the years ended December 30, 2010, December 31, 2009 and January 1, 2009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780" w:type="dxa"/>
            <w:vAlign w:val="bottom"/>
          </w:tcPr>
          <w:p>
            <w:pPr>
              <w:ind w:left="440"/>
              <w:spacing w:after="0"/>
              <w:rPr>
                <w:sz w:val="20"/>
                <w:szCs w:val="20"/>
                <w:color w:val="auto"/>
              </w:rPr>
            </w:pPr>
            <w:r>
              <w:rPr>
                <w:rFonts w:ascii="Arial" w:cs="Arial" w:eastAsia="Arial" w:hAnsi="Arial"/>
                <w:sz w:val="18"/>
                <w:szCs w:val="18"/>
                <w:color w:val="auto"/>
                <w:w w:val="95"/>
              </w:rPr>
              <w:t>Statements of Members’ Equity/(Deficit) for the years ended December 30, 2010, December 31, 2009 and January 1, 2009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780" w:type="dxa"/>
            <w:vAlign w:val="bottom"/>
          </w:tcPr>
          <w:p>
            <w:pPr>
              <w:ind w:left="440"/>
              <w:spacing w:after="0"/>
              <w:rPr>
                <w:sz w:val="20"/>
                <w:szCs w:val="20"/>
                <w:color w:val="auto"/>
              </w:rPr>
            </w:pPr>
            <w:r>
              <w:rPr>
                <w:rFonts w:ascii="Arial" w:cs="Arial" w:eastAsia="Arial" w:hAnsi="Arial"/>
                <w:sz w:val="18"/>
                <w:szCs w:val="18"/>
                <w:color w:val="auto"/>
              </w:rPr>
              <w:t>Statements of Cash Flows for the years ended December 30, 2010, December 31, 2009 and January 1, 2009</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780" w:type="dxa"/>
            <w:vAlign w:val="bottom"/>
          </w:tcPr>
          <w:p>
            <w:pPr>
              <w:ind w:left="440"/>
              <w:spacing w:after="0"/>
              <w:rPr>
                <w:sz w:val="20"/>
                <w:szCs w:val="20"/>
                <w:color w:val="auto"/>
              </w:rPr>
            </w:pPr>
            <w:r>
              <w:rPr>
                <w:rFonts w:ascii="Arial" w:cs="Arial" w:eastAsia="Arial" w:hAnsi="Arial"/>
                <w:sz w:val="18"/>
                <w:szCs w:val="18"/>
                <w:color w:val="auto"/>
              </w:rPr>
              <w:t>Notes to Financial Statements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780" w:type="dxa"/>
            <w:vAlign w:val="bottom"/>
          </w:tcPr>
          <w:p>
            <w:pPr>
              <w:ind w:left="5680"/>
              <w:spacing w:after="0"/>
              <w:rPr>
                <w:sz w:val="20"/>
                <w:szCs w:val="20"/>
                <w:color w:val="auto"/>
              </w:rPr>
            </w:pPr>
            <w:r>
              <w:rPr>
                <w:rFonts w:ascii="Arial" w:cs="Arial" w:eastAsia="Arial" w:hAnsi="Arial"/>
                <w:sz w:val="18"/>
                <w:szCs w:val="18"/>
                <w:color w:val="auto"/>
              </w:rPr>
              <w:t>1</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Members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Centennial, Colorado</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audited the accompanying balance sheets of National CineMedia, LLC (the “Company”) as of December 30, 2010 and December 31, 2009, and the related statements of operations, members’ equity (deficit), and cash flows for the years ended December 30, 2010, December 31, 2009 and January 1, 2009.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w:t>
      </w:r>
      <w:r>
        <w:rPr>
          <w:rFonts w:ascii="Arial" w:cs="Arial" w:eastAsia="Arial" w:hAnsi="Arial"/>
          <w:sz w:val="16"/>
          <w:szCs w:val="16"/>
          <w:i w:val="1"/>
          <w:iCs w:val="1"/>
          <w:color w:val="auto"/>
        </w:rPr>
        <w:t>.</w:t>
      </w:r>
      <w:r>
        <w:rPr>
          <w:rFonts w:ascii="Arial" w:cs="Arial" w:eastAsia="Arial" w:hAnsi="Arial"/>
          <w:sz w:val="16"/>
          <w:szCs w:val="16"/>
          <w:color w:val="auto"/>
        </w:rPr>
        <w:t xml:space="preserve">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our opinion, such financial statements present fairly, in all material respects, the financial position of the Company as of December 30, 2010 and December 31, 2009, and the results of its operations and its cash flows for the years ended December 30, 2010, December 31, 2009 and January 1, 2009, in conformity with accounting principles generally accepted in the United States of America.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2011</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NATIONAL CINEMEDIA,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December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Receivables, net of allowance of $3.7 and $3.6 million, respectively</w:t>
            </w: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100.1</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Prepaid management fees to managing member</w:t>
            </w: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0.8</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116.4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$46.4 and $39.3 million, respectively</w:t>
            </w: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19.8</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 of accumulated amortization of $10.8 and $4.4 million, respectively</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275.2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issuance costs, net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Other investment</w:t>
            </w: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6.7</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long-term assets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vMerge w:val="restart"/>
          </w:tcPr>
          <w:p>
            <w:pPr>
              <w:ind w:left="860"/>
              <w:spacing w:after="0"/>
              <w:rPr>
                <w:sz w:val="20"/>
                <w:szCs w:val="20"/>
                <w:color w:val="auto"/>
              </w:rPr>
            </w:pPr>
            <w:r>
              <w:rPr>
                <w:rFonts w:ascii="Arial" w:cs="Arial" w:eastAsia="Arial" w:hAnsi="Arial"/>
                <w:sz w:val="18"/>
                <w:szCs w:val="18"/>
                <w:color w:val="auto"/>
              </w:rPr>
              <w:t>Total other assets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426.0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20"/>
        </w:trPr>
        <w:tc>
          <w:tcPr>
            <w:tcW w:w="9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MEMBERS’ EQUITY/(DEFICIT)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Amounts due to founding members</w:t>
            </w: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25.2</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due to managing member</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Current portion of interest rate swap agreements</w:t>
            </w: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25.3</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payroll and related expenses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10.5</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revenue and other current liabilities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0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112.1</w:t>
            </w:r>
          </w:p>
        </w:tc>
        <w:tc>
          <w:tcPr>
            <w:tcW w:w="1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Borrowings</w:t>
            </w: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775.0</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swap agreements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18"/>
                <w:szCs w:val="18"/>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0.0</w:t>
            </w: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non-current liabilities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820.5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vMerge w:val="restart"/>
          </w:tcPr>
          <w:p>
            <w:pPr>
              <w:ind w:left="86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0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640"/>
              <w:spacing w:after="0"/>
              <w:rPr>
                <w:sz w:val="20"/>
                <w:szCs w:val="20"/>
                <w:color w:val="auto"/>
              </w:rPr>
            </w:pPr>
            <w:r>
              <w:rPr>
                <w:rFonts w:ascii="Arial" w:cs="Arial" w:eastAsia="Arial" w:hAnsi="Arial"/>
                <w:sz w:val="18"/>
                <w:szCs w:val="18"/>
                <w:color w:val="auto"/>
              </w:rPr>
              <w:t>932.6</w:t>
            </w:r>
          </w:p>
        </w:tc>
        <w:tc>
          <w:tcPr>
            <w:tcW w:w="1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MEMBERS’ EQUITY/(DEFICIT)</w:t>
            </w:r>
          </w:p>
        </w:tc>
        <w:tc>
          <w:tcPr>
            <w:tcW w:w="18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(506.6)</w:t>
            </w: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426.0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NATIONAL CINEMEDIA,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Year Ended</w:t>
            </w:r>
          </w:p>
        </w:tc>
        <w:tc>
          <w:tcPr>
            <w:tcW w:w="600" w:type="dxa"/>
            <w:vAlign w:val="bottom"/>
          </w:tcPr>
          <w:p>
            <w:pPr>
              <w:spacing w:after="0"/>
              <w:rPr>
                <w:sz w:val="14"/>
                <w:szCs w:val="14"/>
                <w:color w:val="auto"/>
              </w:rPr>
            </w:pPr>
          </w:p>
        </w:tc>
        <w:tc>
          <w:tcPr>
            <w:tcW w:w="14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88"/>
              </w:rPr>
              <w:t>Year Ended</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20" w:type="dxa"/>
            <w:vAlign w:val="bottom"/>
          </w:tcPr>
          <w:p>
            <w:pPr>
              <w:spacing w:after="0"/>
              <w:rPr>
                <w:sz w:val="12"/>
                <w:szCs w:val="12"/>
                <w:color w:val="auto"/>
              </w:rPr>
            </w:pPr>
          </w:p>
        </w:tc>
        <w:tc>
          <w:tcPr>
            <w:tcW w:w="780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3"/>
              </w:rPr>
              <w:t>December 30,</w:t>
            </w:r>
          </w:p>
        </w:tc>
        <w:tc>
          <w:tcPr>
            <w:tcW w:w="600" w:type="dxa"/>
            <w:vAlign w:val="bottom"/>
          </w:tcPr>
          <w:p>
            <w:pPr>
              <w:spacing w:after="0"/>
              <w:rPr>
                <w:sz w:val="12"/>
                <w:szCs w:val="12"/>
                <w:color w:val="auto"/>
              </w:rPr>
            </w:pPr>
          </w:p>
        </w:tc>
        <w:tc>
          <w:tcPr>
            <w:tcW w:w="14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January 1,</w:t>
            </w:r>
          </w:p>
        </w:tc>
      </w:tr>
      <w:tr>
        <w:trPr>
          <w:trHeight w:val="16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2009</w:t>
            </w:r>
          </w:p>
        </w:tc>
        <w:tc>
          <w:tcPr>
            <w:tcW w:w="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Advertising (including revenue from founding members of $38.5, $38.2 and $45.6 million,</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379.4</w:t>
            </w:r>
          </w:p>
        </w:tc>
        <w:tc>
          <w:tcPr>
            <w:tcW w:w="78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335.1</w:t>
            </w:r>
          </w:p>
        </w:tc>
        <w:tc>
          <w:tcPr>
            <w:tcW w:w="6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330.3</w:t>
            </w:r>
          </w:p>
        </w:tc>
      </w:tr>
      <w:tr>
        <w:trPr>
          <w:trHeight w:val="217"/>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Fathom Events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r>
      <w:tr>
        <w:trPr>
          <w:trHeight w:val="223"/>
        </w:trPr>
        <w:tc>
          <w:tcPr>
            <w:tcW w:w="20" w:type="dxa"/>
            <w:vAlign w:val="bottom"/>
          </w:tcPr>
          <w:p>
            <w:pPr>
              <w:spacing w:after="0"/>
              <w:rPr>
                <w:sz w:val="19"/>
                <w:szCs w:val="19"/>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369.5</w:t>
            </w:r>
          </w:p>
        </w:tc>
      </w:tr>
      <w:tr>
        <w:trPr>
          <w:trHeight w:val="222"/>
        </w:trPr>
        <w:tc>
          <w:tcPr>
            <w:tcW w:w="78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Advertising operating costs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r>
      <w:tr>
        <w:trPr>
          <w:trHeight w:val="208"/>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w w:val="99"/>
              </w:rPr>
              <w:t>Fathom Events operating costs (including costs to founding members of $7.3, $6.7, and $6.0</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00" w:type="dxa"/>
            <w:vAlign w:val="bottom"/>
          </w:tcPr>
          <w:p>
            <w:pPr>
              <w:ind w:left="640"/>
              <w:spacing w:after="0"/>
              <w:rPr>
                <w:sz w:val="20"/>
                <w:szCs w:val="20"/>
                <w:color w:val="auto"/>
              </w:rPr>
            </w:pPr>
            <w:r>
              <w:rPr>
                <w:rFonts w:ascii="Arial" w:cs="Arial" w:eastAsia="Arial" w:hAnsi="Arial"/>
                <w:sz w:val="18"/>
                <w:szCs w:val="18"/>
                <w:color w:val="auto"/>
              </w:rPr>
              <w:t>million, respectively)</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32.4</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29.1</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r>
      <w:tr>
        <w:trPr>
          <w:trHeight w:val="217"/>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Network costs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Theatre access fees—founding members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52.6</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52.7</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49.8</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and marketing costs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w:t>
            </w: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Administrative costs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14.5</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fee—managing member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Severance plan costs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r>
      <w:tr>
        <w:trPr>
          <w:trHeight w:val="223"/>
        </w:trPr>
        <w:tc>
          <w:tcPr>
            <w:tcW w:w="20" w:type="dxa"/>
            <w:vAlign w:val="bottom"/>
          </w:tcPr>
          <w:p>
            <w:pPr>
              <w:spacing w:after="0"/>
              <w:rPr>
                <w:sz w:val="19"/>
                <w:szCs w:val="19"/>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Other costs</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196.3</w:t>
            </w:r>
          </w:p>
        </w:tc>
        <w:tc>
          <w:tcPr>
            <w:tcW w:w="100" w:type="dxa"/>
            <w:vAlign w:val="bottom"/>
            <w:shd w:val="clear" w:color="auto" w:fill="CCEEFF"/>
          </w:tcPr>
          <w:p>
            <w:pPr>
              <w:spacing w:after="0"/>
              <w:rPr>
                <w:sz w:val="18"/>
                <w:szCs w:val="18"/>
                <w:color w:val="auto"/>
              </w:rPr>
            </w:pPr>
          </w:p>
        </w:tc>
      </w:tr>
      <w:tr>
        <w:trPr>
          <w:trHeight w:val="221"/>
        </w:trPr>
        <w:tc>
          <w:tcPr>
            <w:tcW w:w="78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190.6</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168.2</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173.2</w:t>
            </w:r>
          </w:p>
        </w:tc>
      </w:tr>
      <w:tr>
        <w:trPr>
          <w:trHeight w:val="218"/>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and Other, Net:</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Borrowings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47.1</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derivative fair value</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r>
      <w:tr>
        <w:trPr>
          <w:trHeight w:val="223"/>
        </w:trPr>
        <w:tc>
          <w:tcPr>
            <w:tcW w:w="20" w:type="dxa"/>
            <w:vAlign w:val="bottom"/>
          </w:tcPr>
          <w:p>
            <w:pPr>
              <w:spacing w:after="0"/>
              <w:rPr>
                <w:sz w:val="19"/>
                <w:szCs w:val="19"/>
                <w:color w:val="auto"/>
              </w:rPr>
            </w:pPr>
          </w:p>
        </w:tc>
        <w:tc>
          <w:tcPr>
            <w:tcW w:w="7800" w:type="dxa"/>
            <w:vAlign w:val="bottom"/>
          </w:tcPr>
          <w:p>
            <w:pPr>
              <w:ind w:left="420"/>
              <w:spacing w:after="0"/>
              <w:rPr>
                <w:sz w:val="20"/>
                <w:szCs w:val="20"/>
                <w:color w:val="auto"/>
              </w:rPr>
            </w:pPr>
            <w:r>
              <w:rPr>
                <w:rFonts w:ascii="Arial" w:cs="Arial" w:eastAsia="Arial" w:hAnsi="Arial"/>
                <w:sz w:val="18"/>
                <w:szCs w:val="18"/>
                <w:color w:val="auto"/>
              </w:rPr>
              <w:t>Interest income and other</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6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6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Impairment and related loss</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6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18"/>
                <w:szCs w:val="18"/>
                <w:color w:val="auto"/>
              </w:rPr>
            </w:pPr>
          </w:p>
        </w:tc>
      </w:tr>
      <w:tr>
        <w:trPr>
          <w:trHeight w:val="221"/>
        </w:trPr>
        <w:tc>
          <w:tcPr>
            <w:tcW w:w="782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0.6</w:t>
            </w:r>
          </w:p>
        </w:tc>
      </w:tr>
      <w:tr>
        <w:trPr>
          <w:trHeight w:val="218"/>
        </w:trPr>
        <w:tc>
          <w:tcPr>
            <w:tcW w:w="20" w:type="dxa"/>
            <w:vAlign w:val="bottom"/>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Equity loss from investment, net</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22"/>
        </w:trPr>
        <w:tc>
          <w:tcPr>
            <w:tcW w:w="78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139.5</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128.5</w:t>
            </w:r>
          </w:p>
        </w:tc>
        <w:tc>
          <w:tcPr>
            <w:tcW w:w="6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r>
      <w:tr>
        <w:trPr>
          <w:trHeight w:val="20"/>
        </w:trPr>
        <w:tc>
          <w:tcPr>
            <w:tcW w:w="2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126" w:name="page127"/>
    <w:bookmarkEnd w:id="126"/>
    <w:p>
      <w:pPr>
        <w:jc w:val="center"/>
        <w:ind w:left="1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NATIONAL CINEMEDIA, LLC</w:t>
      </w:r>
    </w:p>
    <w:p>
      <w:pPr>
        <w:spacing w:after="0" w:line="21" w:lineRule="exact"/>
        <w:rPr>
          <w:sz w:val="20"/>
          <w:szCs w:val="20"/>
          <w:color w:val="auto"/>
        </w:rPr>
      </w:pPr>
    </w:p>
    <w:p>
      <w:pPr>
        <w:jc w:val="center"/>
        <w:ind w:left="1580"/>
        <w:spacing w:after="0"/>
        <w:rPr>
          <w:sz w:val="20"/>
          <w:szCs w:val="20"/>
          <w:color w:val="auto"/>
        </w:rPr>
      </w:pPr>
      <w:r>
        <w:rPr>
          <w:rFonts w:ascii="Arial" w:cs="Arial" w:eastAsia="Arial" w:hAnsi="Arial"/>
          <w:sz w:val="16"/>
          <w:szCs w:val="16"/>
          <w:b w:val="1"/>
          <w:bCs w:val="1"/>
          <w:color w:val="auto"/>
        </w:rPr>
        <w:t>STATEMENTS OF MEMBERS’ EQUITY/(DEFICIT)</w:t>
      </w:r>
    </w:p>
    <w:p>
      <w:pPr>
        <w:spacing w:after="0" w:line="32" w:lineRule="exact"/>
        <w:rPr>
          <w:sz w:val="20"/>
          <w:szCs w:val="20"/>
          <w:color w:val="auto"/>
        </w:rPr>
      </w:pPr>
    </w:p>
    <w:p>
      <w:pPr>
        <w:jc w:val="center"/>
        <w:ind w:left="1580"/>
        <w:spacing w:after="0"/>
        <w:rPr>
          <w:sz w:val="20"/>
          <w:szCs w:val="20"/>
          <w:color w:val="auto"/>
        </w:rPr>
      </w:pPr>
      <w:r>
        <w:rPr>
          <w:rFonts w:ascii="Arial" w:cs="Arial" w:eastAsia="Arial" w:hAnsi="Arial"/>
          <w:sz w:val="18"/>
          <w:szCs w:val="18"/>
          <w:b w:val="1"/>
          <w:bCs w:val="1"/>
          <w:color w:val="auto"/>
        </w:rPr>
        <w:t>(In millions)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Balance—December 27,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Contribution of severance plan payments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contribution from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Capital contribution from founding members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Distribution to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Distribution to founding members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Units issued for purchase of intangible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Comprehensive Income: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Unrealized (loss) on cash flow hedge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Net income</w:t>
      </w:r>
    </w:p>
    <w:p>
      <w:pPr>
        <w:spacing w:after="0" w:line="3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Share-based compensation expense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Balance—January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Capital contribution from founding members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Distribution to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Distribution to founding members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Units issued for purchase of intangible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Comprehensive Income: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Unrealized (loss) on cash flow hedge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Net income</w:t>
      </w:r>
    </w:p>
    <w:p>
      <w:pPr>
        <w:spacing w:after="0" w:line="3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Share-based compensation expense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Balance—December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Capital contribution from managing member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Distribution to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Distribution to founding members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Units issued for purchase of intangible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Comprehensive Income: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Unrealized (loss) on cash flow hedge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Net income</w:t>
      </w:r>
    </w:p>
    <w:p>
      <w:pPr>
        <w:spacing w:after="0" w:line="3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Total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Share-based compensation expense</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Balance—December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jc w:val="center"/>
        <w:ind w:left="1580"/>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ind w:left="1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hanging="132"/>
        <w:spacing w:after="0"/>
        <w:tabs>
          <w:tab w:leader="none" w:pos="2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(713.8)</w:t>
      </w:r>
    </w:p>
    <w:p>
      <w:pPr>
        <w:spacing w:after="0" w:line="15"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0.5</w:t>
      </w:r>
    </w:p>
    <w:p>
      <w:pPr>
        <w:spacing w:after="0" w:line="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0.6</w:t>
      </w:r>
    </w:p>
    <w:p>
      <w:pPr>
        <w:spacing w:after="0" w:line="9"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4.7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(75.5)</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116.1</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(59.1)</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47180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1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36.2</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47180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10" w:lineRule="exact"/>
        <w:rPr>
          <w:sz w:val="20"/>
          <w:szCs w:val="20"/>
          <w:color w:val="auto"/>
        </w:rPr>
      </w:pPr>
    </w:p>
    <w:p>
      <w:pPr>
        <w:ind w:left="300" w:hanging="291"/>
        <w:spacing w:after="0"/>
        <w:tabs>
          <w:tab w:leader="none" w:pos="300" w:val="left"/>
        </w:tabs>
        <w:numPr>
          <w:ilvl w:val="0"/>
          <w:numId w:val="76"/>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(685.6</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47180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0.1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(81.5)</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28.5</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26.1</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128.5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47180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1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154.6</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47180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10" w:lineRule="exact"/>
        <w:rPr>
          <w:sz w:val="20"/>
          <w:szCs w:val="20"/>
          <w:color w:val="auto"/>
        </w:rPr>
      </w:pPr>
    </w:p>
    <w:p>
      <w:pPr>
        <w:ind w:left="300" w:hanging="291"/>
        <w:spacing w:after="0"/>
        <w:tabs>
          <w:tab w:leader="none" w:pos="300" w:val="left"/>
        </w:tabs>
        <w:numPr>
          <w:ilvl w:val="0"/>
          <w:numId w:val="77"/>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(639.6</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47180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(85.1)</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151.3</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(10.9)</w:t>
      </w:r>
    </w:p>
    <w:p>
      <w:pPr>
        <w:spacing w:after="0" w:line="1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139.5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47180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1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128.6</w:t>
      </w:r>
    </w:p>
    <w:p>
      <w:pPr>
        <w:spacing w:after="0" w:line="1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47180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10" w:lineRule="exact"/>
        <w:rPr>
          <w:sz w:val="20"/>
          <w:szCs w:val="20"/>
          <w:color w:val="auto"/>
        </w:rPr>
      </w:pPr>
    </w:p>
    <w:p>
      <w:pPr>
        <w:ind w:left="300" w:hanging="291"/>
        <w:spacing w:after="0"/>
        <w:tabs>
          <w:tab w:leader="none" w:pos="300" w:val="left"/>
        </w:tabs>
        <w:numPr>
          <w:ilvl w:val="0"/>
          <w:numId w:val="78"/>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(506.6</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wp:posOffset>
            </wp:positionV>
            <wp:extent cx="47180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ectPr>
          <w:pgSz w:w="11900" w:h="16838" w:orient="portrait"/>
          <w:cols w:equalWidth="0" w:num="2">
            <w:col w:w="9840" w:space="720"/>
            <w:col w:w="820"/>
          </w:cols>
          <w:pgMar w:left="240" w:top="274" w:right="27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NATIONAL CINEMEDIA,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3"/>
              </w:rPr>
              <w:t>Year Ended</w:t>
            </w:r>
          </w:p>
        </w:tc>
        <w:tc>
          <w:tcPr>
            <w:tcW w:w="260" w:type="dxa"/>
            <w:vAlign w:val="bottom"/>
          </w:tcPr>
          <w:p>
            <w:pPr>
              <w:spacing w:after="0"/>
              <w:rPr>
                <w:sz w:val="14"/>
                <w:szCs w:val="14"/>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3"/>
              </w:rPr>
              <w:t>Year Ended</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30,</w:t>
            </w:r>
          </w:p>
        </w:tc>
        <w:tc>
          <w:tcPr>
            <w:tcW w:w="260" w:type="dxa"/>
            <w:vAlign w:val="bottom"/>
          </w:tcPr>
          <w:p>
            <w:pPr>
              <w:spacing w:after="0"/>
              <w:rPr>
                <w:sz w:val="12"/>
                <w:szCs w:val="12"/>
                <w:color w:val="auto"/>
              </w:rPr>
            </w:pPr>
          </w:p>
        </w:tc>
        <w:tc>
          <w:tcPr>
            <w:tcW w:w="13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80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2"/>
              </w:rPr>
              <w:t>January 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139.5</w:t>
            </w:r>
          </w:p>
        </w:tc>
        <w:tc>
          <w:tcPr>
            <w:tcW w:w="320" w:type="dxa"/>
            <w:vAlign w:val="bottom"/>
          </w:tcPr>
          <w:p>
            <w:pPr>
              <w:spacing w:after="0"/>
              <w:rPr>
                <w:sz w:val="18"/>
                <w:szCs w:val="18"/>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128.5</w:t>
            </w:r>
          </w:p>
        </w:tc>
        <w:tc>
          <w:tcPr>
            <w:tcW w:w="5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17.8</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severance and share-based compensation</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60"/>
              <w:spacing w:after="0"/>
              <w:rPr>
                <w:sz w:val="20"/>
                <w:szCs w:val="20"/>
                <w:color w:val="auto"/>
              </w:rPr>
            </w:pPr>
            <w:r>
              <w:rPr>
                <w:rFonts w:ascii="Arial" w:cs="Arial" w:eastAsia="Arial" w:hAnsi="Arial"/>
                <w:sz w:val="18"/>
                <w:szCs w:val="18"/>
                <w:color w:val="auto"/>
              </w:rPr>
              <w:t>Non-cash impairment and related loss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unrealized loss (gain) on hedging transactions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60"/>
              <w:spacing w:after="0"/>
              <w:rPr>
                <w:sz w:val="20"/>
                <w:szCs w:val="20"/>
                <w:color w:val="auto"/>
              </w:rPr>
            </w:pPr>
            <w:r>
              <w:rPr>
                <w:rFonts w:ascii="Arial" w:cs="Arial" w:eastAsia="Arial" w:hAnsi="Arial"/>
                <w:sz w:val="18"/>
                <w:szCs w:val="18"/>
                <w:color w:val="auto"/>
              </w:rPr>
              <w:t>Equity loss from investment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60"/>
              <w:spacing w:after="0"/>
              <w:rPr>
                <w:sz w:val="20"/>
                <w:szCs w:val="20"/>
                <w:color w:val="auto"/>
              </w:rPr>
            </w:pPr>
            <w:r>
              <w:rPr>
                <w:rFonts w:ascii="Arial" w:cs="Arial" w:eastAsia="Arial" w:hAnsi="Arial"/>
                <w:sz w:val="18"/>
                <w:szCs w:val="18"/>
                <w:color w:val="auto"/>
              </w:rPr>
              <w:t>Other non-cash operating activities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280"/>
              <w:spacing w:after="0"/>
              <w:rPr>
                <w:sz w:val="20"/>
                <w:szCs w:val="20"/>
                <w:color w:val="auto"/>
              </w:rPr>
            </w:pPr>
            <w:r>
              <w:rPr>
                <w:rFonts w:ascii="Arial" w:cs="Arial" w:eastAsia="Arial" w:hAnsi="Arial"/>
                <w:sz w:val="18"/>
                <w:szCs w:val="18"/>
                <w:color w:val="auto"/>
              </w:rPr>
              <w:t>Receivables—net</w:t>
            </w: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280"/>
              <w:spacing w:after="0"/>
              <w:rPr>
                <w:sz w:val="20"/>
                <w:szCs w:val="20"/>
                <w:color w:val="auto"/>
              </w:rPr>
            </w:pPr>
            <w:r>
              <w:rPr>
                <w:rFonts w:ascii="Arial" w:cs="Arial" w:eastAsia="Arial" w:hAnsi="Arial"/>
                <w:sz w:val="18"/>
                <w:szCs w:val="18"/>
                <w:color w:val="auto"/>
              </w:rPr>
              <w:t>Amounts due to founding members and managing member</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Other operating</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163.6</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w:t>
            </w:r>
          </w:p>
        </w:tc>
        <w:tc>
          <w:tcPr>
            <w:tcW w:w="5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property and equipment to founding member</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Increase in investment in affiliate</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2"/>
        </w:trPr>
        <w:tc>
          <w:tcPr>
            <w:tcW w:w="78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borrowings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Repayments of borrowings</w:t>
            </w: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(152.5)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Founding members and managing member integration payments</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420"/>
              <w:spacing w:after="0"/>
              <w:rPr>
                <w:sz w:val="20"/>
                <w:szCs w:val="20"/>
                <w:color w:val="auto"/>
              </w:rPr>
            </w:pPr>
            <w:r>
              <w:rPr>
                <w:rFonts w:ascii="Arial" w:cs="Arial" w:eastAsia="Arial" w:hAnsi="Arial"/>
                <w:sz w:val="18"/>
                <w:szCs w:val="18"/>
                <w:color w:val="auto"/>
              </w:rPr>
              <w:t>Distributions to founding members and managing member</w:t>
            </w:r>
          </w:p>
        </w:tc>
        <w:tc>
          <w:tcPr>
            <w:tcW w:w="1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(159.6)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(135.9)</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 settlement for share-based compensation</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172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Pr>
          <w:p>
            <w:pPr>
              <w:spacing w:after="0"/>
              <w:rPr>
                <w:sz w:val="19"/>
                <w:szCs w:val="19"/>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(180.5)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(135.3)</w:t>
            </w: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Beginning of period</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5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tcPr>
          <w:p>
            <w:pPr>
              <w:ind w:left="1720"/>
              <w:spacing w:after="0"/>
              <w:rPr>
                <w:sz w:val="20"/>
                <w:szCs w:val="20"/>
                <w:color w:val="auto"/>
              </w:rPr>
            </w:pPr>
            <w:r>
              <w:rPr>
                <w:rFonts w:ascii="Arial" w:cs="Arial" w:eastAsia="Arial" w:hAnsi="Arial"/>
                <w:sz w:val="18"/>
                <w:szCs w:val="18"/>
                <w:color w:val="auto"/>
              </w:rPr>
              <w:t>End of period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19"/>
                <w:szCs w:val="19"/>
                <w:color w:val="auto"/>
              </w:rPr>
            </w:pP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37.8</w:t>
            </w:r>
          </w:p>
        </w:tc>
        <w:tc>
          <w:tcPr>
            <w:tcW w:w="5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NATIONAL CINEMEDIA,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Year Ended</w:t>
            </w:r>
          </w:p>
        </w:tc>
        <w:tc>
          <w:tcPr>
            <w:tcW w:w="6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Year Ended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6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30,</w:t>
            </w:r>
          </w:p>
        </w:tc>
        <w:tc>
          <w:tcPr>
            <w:tcW w:w="66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Year Ended</w:t>
            </w:r>
          </w:p>
        </w:tc>
      </w:tr>
      <w:tr>
        <w:trPr>
          <w:trHeight w:val="161"/>
        </w:trPr>
        <w:tc>
          <w:tcPr>
            <w:tcW w:w="6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95"/>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5"/>
              </w:rPr>
              <w:t>January 1, 2009</w:t>
            </w: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12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Contribution for severance plan payments</w:t>
            </w:r>
          </w:p>
        </w:tc>
        <w:tc>
          <w:tcPr>
            <w:tcW w:w="146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Purchase of an intangible asset with subsidiary equity</w:t>
            </w:r>
          </w:p>
        </w:tc>
        <w:tc>
          <w:tcPr>
            <w:tcW w:w="14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440"/>
              <w:spacing w:after="0"/>
              <w:rPr>
                <w:sz w:val="20"/>
                <w:szCs w:val="20"/>
                <w:color w:val="auto"/>
              </w:rPr>
            </w:pPr>
            <w:r>
              <w:rPr>
                <w:rFonts w:ascii="Arial" w:cs="Arial" w:eastAsia="Arial" w:hAnsi="Arial"/>
                <w:sz w:val="18"/>
                <w:szCs w:val="18"/>
                <w:color w:val="auto"/>
              </w:rPr>
              <w:t>Settlement of put liability by issuance of debt</w:t>
            </w:r>
          </w:p>
        </w:tc>
        <w:tc>
          <w:tcPr>
            <w:tcW w:w="146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Assets acquired in settlement of put liability</w:t>
            </w:r>
          </w:p>
        </w:tc>
        <w:tc>
          <w:tcPr>
            <w:tcW w:w="14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interest</w:t>
            </w:r>
          </w:p>
        </w:tc>
        <w:tc>
          <w:tcPr>
            <w:tcW w:w="146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8"/>
                <w:szCs w:val="18"/>
                <w:color w:val="auto"/>
              </w:rPr>
            </w:pPr>
          </w:p>
        </w:tc>
      </w:tr>
      <w:tr>
        <w:trPr>
          <w:trHeight w:val="222"/>
        </w:trPr>
        <w:tc>
          <w:tcPr>
            <w:tcW w:w="6200" w:type="dxa"/>
            <w:vAlign w:val="bottom"/>
          </w:tcPr>
          <w:p>
            <w:pPr>
              <w:ind w:left="440"/>
              <w:spacing w:after="0"/>
              <w:rPr>
                <w:sz w:val="20"/>
                <w:szCs w:val="20"/>
                <w:color w:val="auto"/>
              </w:rPr>
            </w:pPr>
            <w:r>
              <w:rPr>
                <w:rFonts w:ascii="Arial" w:cs="Arial" w:eastAsia="Arial" w:hAnsi="Arial"/>
                <w:sz w:val="18"/>
                <w:szCs w:val="18"/>
                <w:color w:val="auto"/>
              </w:rPr>
              <w:t>Cash paid for income taxes</w:t>
            </w:r>
          </w:p>
        </w:tc>
        <w:tc>
          <w:tcPr>
            <w:tcW w:w="146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0.8</w:t>
            </w:r>
          </w:p>
        </w:tc>
        <w:tc>
          <w:tcPr>
            <w:tcW w:w="760" w:type="dxa"/>
            <w:vAlign w:val="bottom"/>
            <w:gridSpan w:val="2"/>
          </w:tcPr>
          <w:p>
            <w:pPr>
              <w:ind w:left="66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29" w:name="page130"/>
    <w:bookmarkEnd w:id="129"/>
    <w:p>
      <w:pPr>
        <w:ind w:left="460" w:right="9200" w:hanging="452"/>
        <w:spacing w:after="0" w:line="417" w:lineRule="auto"/>
        <w:tabs>
          <w:tab w:leader="none" w:pos="449" w:val="left"/>
        </w:tabs>
        <w:numPr>
          <w:ilvl w:val="0"/>
          <w:numId w:val="79"/>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w:t>
      </w:r>
      <w:r>
        <w:rPr>
          <w:rFonts w:ascii="Arial" w:cs="Arial" w:eastAsia="Arial" w:hAnsi="Arial"/>
          <w:sz w:val="15"/>
          <w:szCs w:val="15"/>
          <w:b w:val="1"/>
          <w:bCs w:val="1"/>
          <w:i w:val="1"/>
          <w:iCs w:val="1"/>
          <w:color w:val="auto"/>
        </w:rPr>
        <w:t>Description of Business</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National CineMedia, LLC (“NCM LLC” or “the Company”) commenced operations on April 1, 2005 and operates the largest digital in-theatre network in North America, allowing NCM LLC to distribute advertising, Fathom entertainment programming events and corporate events under long-term exhibitor services agreements (“ESAs”) with American Multi-Cinema, Inc. (“AMC”), a wholly owned subsidiary of AMC Entertainment, Inc. (“AMCE”), Regal Cinemas, Inc., a wholly owned subsidiary of Regal Entertainment Group (“Regal”), and Cinemark USA, Inc. (“Cinemark USA”), a wholly owned subsidiary of Cinemark Holdings, Inc. (“Cinemark”). AMC, Regal and Cinemark and their affiliates are referred to in this document as “founding members”. NCM LLC also provides such services to certain third-party theatre circuits under “network affiliate” agreements, which expire at various dates.</w:t>
      </w:r>
    </w:p>
    <w:p>
      <w:pPr>
        <w:spacing w:after="0" w:line="12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At December 30, 2010, NCM LLC had 110,752,192 common membership units outstanding, of which 53,549,477 (48.3%) were owned by NCM, Inc., 21,452,792 (19.4%) were owned by Regal, 18,803,420 (17.0%) were owned by AMC, and 16,946,503 (15.3%) were owned by Cinemark. The membership units held by the founding members are exchangeable into NCM, Inc. common stock on a one-for-one basis. During the third quarter of 2010, AMC and Regal completed a common unit membership redemption and an underwritten public offering of an aggregate 10,955,471 shares of National CineMedia, Inc.’s (“NCM, Inc.” or “managing member”), common stock (see Note 7).</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 has prepared its financial statements and related notes in accordance with accounting principles generally accepted in the United States of America (“GAAP”) and the rules and regulations of the Securities and Exchange Commission (“SEC”).</w:t>
      </w:r>
    </w:p>
    <w:p>
      <w:pPr>
        <w:spacing w:after="0" w:line="132"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On February 13, 2007, NCM, Inc., a Company formed by NCM LLC and incorporated in the State of Delaware with the sole purpose of becoming a member and sole manager of NCM LLC, completed its initial public offering (“IPO”). The Company’s business is seasonal and for this and other reasons operating results for interim periods may not be indicative of the Company’s full year results or future performance. As a result of the various related-party agreements discussed in Note 7, the operating results as presented are not necessarily indicative of the results that might have occurred if all agreements were with non-related third parties.</w:t>
      </w:r>
    </w:p>
    <w:p>
      <w:pPr>
        <w:spacing w:after="0" w:line="143"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b w:val="1"/>
          <w:bCs w:val="1"/>
          <w:i w:val="1"/>
          <w:iCs w:val="1"/>
          <w:color w:val="auto"/>
        </w:rPr>
        <w:t>Estimates</w:t>
      </w:r>
      <w:r>
        <w:rPr>
          <w:rFonts w:ascii="Arial" w:cs="Arial" w:eastAsia="Arial" w:hAnsi="Arial"/>
          <w:sz w:val="16"/>
          <w:szCs w:val="16"/>
          <w:color w:val="auto"/>
        </w:rPr>
        <w:t>—The preparation of financial statements in conformity with GAAP requires management to make estimates and assumptions that affect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and equity-based compensation. Actual results could differ from those estimates.</w:t>
      </w:r>
    </w:p>
    <w:p>
      <w:pPr>
        <w:spacing w:after="0" w:line="11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Reclassifications </w:t>
      </w:r>
      <w:r>
        <w:rPr>
          <w:rFonts w:ascii="Arial" w:cs="Arial" w:eastAsia="Arial" w:hAnsi="Arial"/>
          <w:sz w:val="18"/>
          <w:szCs w:val="18"/>
          <w:color w:val="auto"/>
        </w:rPr>
        <w:t>– Certain reclassifications of previously reported amounts within operating activities in the statement of cash flows have been made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conform to the current year presentation.</w:t>
      </w:r>
    </w:p>
    <w:p>
      <w:pPr>
        <w:spacing w:after="0" w:line="248"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b w:val="1"/>
          <w:bCs w:val="1"/>
          <w:i w:val="1"/>
          <w:iCs w:val="1"/>
          <w:color w:val="auto"/>
        </w:rPr>
        <w:t>Accounting Period</w:t>
      </w:r>
      <w:r>
        <w:rPr>
          <w:rFonts w:ascii="Arial" w:cs="Arial" w:eastAsia="Arial" w:hAnsi="Arial"/>
          <w:sz w:val="18"/>
          <w:szCs w:val="18"/>
          <w:color w:val="auto"/>
        </w:rPr>
        <w:t>—The Company operates on a 52-week fiscal year, with the fiscal year ending on the first Thursday after December 25, which,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years, results in a 53-week year, as was the case for fiscal year 2008.</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Segment Reporting</w:t>
      </w:r>
      <w:r>
        <w:rPr>
          <w:rFonts w:ascii="Arial" w:cs="Arial" w:eastAsia="Arial" w:hAnsi="Arial"/>
          <w:sz w:val="18"/>
          <w:szCs w:val="18"/>
          <w:color w:val="auto"/>
        </w:rPr>
        <w:t>— Segments are accounted for under ASC 280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Segment Reporting</w:t>
      </w:r>
      <w:r>
        <w:rPr>
          <w:rFonts w:ascii="Arial" w:cs="Arial" w:eastAsia="Arial" w:hAnsi="Arial"/>
          <w:sz w:val="18"/>
          <w:szCs w:val="18"/>
          <w:color w:val="auto"/>
        </w:rPr>
        <w:t>. Refer to Note 14.</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—Advertising revenue is recognized in the period in which an advertising contract is fulfilled against the contracted theatre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attendees. Advertising revenue is recorded net of make-good provisions to account for delivered attendance that is less than contracted attendance. When remaining delivered attendance is provided in subsequent periods, that portion of the revenue earned is recognized in that period. Deferred revenue refers to the unearned portion of advertising contracts. All deferred revenue is classified as a current liability. Fathom Events revenue is recognized in the period in which the event is held.</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Barter Transactions</w:t>
      </w:r>
      <w:r>
        <w:rPr>
          <w:rFonts w:ascii="Arial" w:cs="Arial" w:eastAsia="Arial" w:hAnsi="Arial"/>
          <w:sz w:val="16"/>
          <w:szCs w:val="16"/>
          <w:color w:val="auto"/>
        </w:rPr>
        <w:t>—The Company enters into barter transactions that exchange advertising program time for products and services used principally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selling and marketing activities. The Company records barter transactions at the estimated fair value of the advertising exchanged based on fair value received for similar advertising from cash paying customers. Revenues for advertising barter transactions are recognized when advertising is provided, and products and services received are charged to expense when used. The Company limits the use of such barter transactions to items and services for which it would otherwise have paid cash. Any timing differences between the delivery of the bartered revenue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130" w:name="page131"/>
    <w:bookmarkEnd w:id="13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the use of the bartered expense products and services are recorded through deferred revenue. Revenue and expense from barter transactions for the year ended December 30, 2010 were $1.5 million and $1.1 million, respectively and were not material to the Company’s statement of operations for the years ended December 31, 2009 and January 1, 2009.</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b w:val="1"/>
          <w:bCs w:val="1"/>
          <w:i w:val="1"/>
          <w:iCs w:val="1"/>
          <w:color w:val="auto"/>
        </w:rPr>
        <w:t>Operating Costs</w:t>
      </w:r>
      <w:r>
        <w:rPr>
          <w:rFonts w:ascii="Arial" w:cs="Arial" w:eastAsia="Arial" w:hAnsi="Arial"/>
          <w:sz w:val="16"/>
          <w:szCs w:val="16"/>
          <w:color w:val="auto"/>
        </w:rPr>
        <w:t>—Advertising related operating costs primarily include personnel and other costs related to advertising fulfillment, and to a lesser degree,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production costs of non-digital advertising, and payments due to unaffiliated theatre circuits under the network affiliate agreements.</w:t>
      </w:r>
    </w:p>
    <w:p>
      <w:pPr>
        <w:spacing w:after="0" w:line="85" w:lineRule="exact"/>
        <w:rPr>
          <w:sz w:val="20"/>
          <w:szCs w:val="20"/>
          <w:color w:val="auto"/>
        </w:rPr>
      </w:pPr>
    </w:p>
    <w:p>
      <w:pPr>
        <w:jc w:val="both"/>
        <w:ind w:right="200" w:firstLine="456"/>
        <w:spacing w:after="0" w:line="268" w:lineRule="auto"/>
        <w:rPr>
          <w:sz w:val="20"/>
          <w:szCs w:val="20"/>
          <w:color w:val="auto"/>
        </w:rPr>
      </w:pPr>
      <w:r>
        <w:rPr>
          <w:rFonts w:ascii="Arial" w:cs="Arial" w:eastAsia="Arial" w:hAnsi="Arial"/>
          <w:sz w:val="18"/>
          <w:szCs w:val="18"/>
          <w:color w:val="auto"/>
        </w:rPr>
        <w:t>Fathom Events operating costs include equipment rental, catering, movie tickets acquired primarily from the founding members, revenue share under the amended and restated ESAs and other direct costs of the meeting or event.</w:t>
      </w:r>
    </w:p>
    <w:p>
      <w:pPr>
        <w:spacing w:after="0" w:line="132"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Payment to the founding members of a theatre access fee is comprised of a payment per theatre attendee and a payment per digital screen, both of which escalate over time.</w:t>
      </w:r>
    </w:p>
    <w:p>
      <w:pPr>
        <w:spacing w:after="0" w:line="132"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Network costs include personnel, satellite bandwidth, repairs, and other costs of maintaining and operating the digital network and preparing advertising and other content for transmission across the digital network. These costs are not specifically allocable between the advertising business and the Fathom Events business.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Leases</w:t>
      </w:r>
      <w:r>
        <w:rPr>
          <w:rFonts w:ascii="Arial" w:cs="Arial" w:eastAsia="Arial" w:hAnsi="Arial"/>
          <w:sz w:val="18"/>
          <w:szCs w:val="18"/>
          <w:color w:val="auto"/>
        </w:rPr>
        <w:t>—The Company leases various office facilities under operating leases with terms ranging from 3 to 15 years. The Company calculates straight-line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rent expense over the initial lease term and renewals that are reasonably assured.</w:t>
      </w:r>
    </w:p>
    <w:p>
      <w:pPr>
        <w:spacing w:after="0" w:line="132"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b w:val="1"/>
          <w:bCs w:val="1"/>
          <w:i w:val="1"/>
          <w:iCs w:val="1"/>
          <w:color w:val="auto"/>
        </w:rPr>
        <w:t>Advertising Costs</w:t>
      </w:r>
      <w:r>
        <w:rPr>
          <w:rFonts w:ascii="Arial" w:cs="Arial" w:eastAsia="Arial" w:hAnsi="Arial"/>
          <w:sz w:val="16"/>
          <w:szCs w:val="16"/>
          <w:color w:val="auto"/>
        </w:rPr>
        <w:t>—Costs related to advertising and other promotional expenditures are expensed as incurred. Due to the nature of the business,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has an insignificant amount of advertising costs included in selling and marketing costs on the statement of operations.</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—All highly liquid debt instruments and investments purchased with an original maturity of three months or less are classified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cash equivalents and are considered available for sale securities. There are cash balances in a bank in excess of the federally insured limits or in the form of a money market demand account with a major financial institution.</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t>Restricted Cash</w:t>
      </w:r>
      <w:r>
        <w:rPr>
          <w:rFonts w:ascii="Arial" w:cs="Arial" w:eastAsia="Arial" w:hAnsi="Arial"/>
          <w:sz w:val="18"/>
          <w:szCs w:val="18"/>
          <w:color w:val="auto"/>
        </w:rPr>
        <w:t>—At December 30, 2010 and December 31, 2009, other non-current assets included restricted cash of $0.3 million, which secures a letter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credit used as a lease deposit on NCM LLC’s New York office.</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t>Receivables</w:t>
      </w:r>
      <w:r>
        <w:rPr>
          <w:rFonts w:ascii="Arial" w:cs="Arial" w:eastAsia="Arial" w:hAnsi="Arial"/>
          <w:sz w:val="16"/>
          <w:szCs w:val="16"/>
          <w:color w:val="auto"/>
        </w:rPr>
        <w:t>—Bad debts are provided for using the allowance for doubtful accounts method based on historical experience and management’s evaluation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receivables at the end of the period. Receivables are written off when management determines amounts are uncollectible. Trade accounts receivable are uncollateralized and represent a large number of geographically dispersed debtors. At December 30, 2010, there was two advertising agency groups through which the Company sources national advertising revenue representing approximately 17% and 21%, of the Company’s outstanding gross receivable balance, respectively; however, none of the individual contracts related to the advertising agencies were more than 10% of advertising revenue. At December 31, 2009 there was one advertising agency group through which the Company sources national advertising revenue representing approximately 19% of the Company’s outstanding gross receivable balance; however, none of the individual contracts related to the advertising agency were more than 10% of advertising revenue. The collectability risk is reduced by dealing with large, national advertising agencies who have strong reputations in the advertising industry and clients with stable financial positions.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consisted of the following,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460" w:type="dxa"/>
            <w:vAlign w:val="bottom"/>
          </w:tcPr>
          <w:p>
            <w:pPr>
              <w:spacing w:after="0"/>
              <w:rPr>
                <w:sz w:val="14"/>
                <w:szCs w:val="14"/>
                <w:color w:val="auto"/>
              </w:rPr>
            </w:pPr>
          </w:p>
        </w:tc>
        <w:tc>
          <w:tcPr>
            <w:tcW w:w="3460" w:type="dxa"/>
            <w:vAlign w:val="bottom"/>
            <w:gridSpan w:val="4"/>
          </w:tcPr>
          <w:p>
            <w:pPr>
              <w:ind w:left="1780"/>
              <w:spacing w:after="0"/>
              <w:rPr>
                <w:sz w:val="20"/>
                <w:szCs w:val="20"/>
                <w:color w:val="auto"/>
              </w:rPr>
            </w:pPr>
            <w:r>
              <w:rPr>
                <w:rFonts w:ascii="Arial" w:cs="Arial" w:eastAsia="Arial" w:hAnsi="Arial"/>
                <w:sz w:val="14"/>
                <w:szCs w:val="14"/>
                <w:b w:val="1"/>
                <w:bCs w:val="1"/>
                <w:color w:val="auto"/>
              </w:rPr>
              <w:t>As of December 30,</w:t>
            </w:r>
          </w:p>
        </w:tc>
        <w:tc>
          <w:tcPr>
            <w:tcW w:w="1760" w:type="dxa"/>
            <w:vAlign w:val="bottom"/>
            <w:gridSpan w:val="4"/>
          </w:tcPr>
          <w:p>
            <w:pPr>
              <w:ind w:left="520"/>
              <w:spacing w:after="0"/>
              <w:rPr>
                <w:sz w:val="20"/>
                <w:szCs w:val="20"/>
                <w:color w:val="auto"/>
              </w:rPr>
            </w:pPr>
            <w:r>
              <w:rPr>
                <w:rFonts w:ascii="Arial" w:cs="Arial" w:eastAsia="Arial" w:hAnsi="Arial"/>
                <w:sz w:val="14"/>
                <w:szCs w:val="14"/>
                <w:b w:val="1"/>
                <w:bCs w:val="1"/>
                <w:color w:val="auto"/>
                <w:w w:val="93"/>
              </w:rPr>
              <w:t>As of December 31,</w:t>
            </w:r>
          </w:p>
        </w:tc>
        <w:tc>
          <w:tcPr>
            <w:tcW w:w="0" w:type="dxa"/>
            <w:vAlign w:val="bottom"/>
          </w:tcPr>
          <w:p>
            <w:pPr>
              <w:spacing w:after="0"/>
              <w:rPr>
                <w:sz w:val="1"/>
                <w:szCs w:val="1"/>
                <w:color w:val="auto"/>
              </w:rPr>
            </w:pPr>
          </w:p>
        </w:tc>
      </w:tr>
      <w:tr>
        <w:trPr>
          <w:trHeight w:val="161"/>
        </w:trPr>
        <w:tc>
          <w:tcPr>
            <w:tcW w:w="34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Trade accounts</w:t>
            </w:r>
          </w:p>
        </w:tc>
        <w:tc>
          <w:tcPr>
            <w:tcW w:w="204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5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Other</w:t>
            </w:r>
          </w:p>
        </w:tc>
        <w:tc>
          <w:tcPr>
            <w:tcW w:w="1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w:t>
            </w: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46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7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460" w:type="dxa"/>
            <w:vAlign w:val="bottom"/>
            <w:vMerge w:val="continue"/>
          </w:tcPr>
          <w:p>
            <w:pPr>
              <w:spacing w:after="0"/>
              <w:rPr>
                <w:sz w:val="19"/>
                <w:szCs w:val="19"/>
                <w:color w:val="auto"/>
              </w:rPr>
            </w:pPr>
          </w:p>
        </w:tc>
        <w:tc>
          <w:tcPr>
            <w:tcW w:w="204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100.1</w:t>
            </w:r>
          </w:p>
        </w:tc>
        <w:tc>
          <w:tcPr>
            <w:tcW w:w="560" w:type="dxa"/>
            <w:vAlign w:val="bottom"/>
          </w:tcPr>
          <w:p>
            <w:pPr>
              <w:spacing w:after="0"/>
              <w:rPr>
                <w:sz w:val="19"/>
                <w:szCs w:val="19"/>
                <w:color w:val="auto"/>
              </w:rPr>
            </w:pPr>
          </w:p>
        </w:tc>
        <w:tc>
          <w:tcPr>
            <w:tcW w:w="7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1780" w:type="dxa"/>
            <w:vAlign w:val="bottom"/>
            <w:vMerge w:val="restart"/>
          </w:tcPr>
          <w:p>
            <w:pPr>
              <w:jc w:val="right"/>
              <w:ind w:right="777"/>
              <w:spacing w:after="0"/>
              <w:rPr>
                <w:sz w:val="20"/>
                <w:szCs w:val="20"/>
                <w:color w:val="auto"/>
              </w:rPr>
            </w:pPr>
            <w:r>
              <w:rPr>
                <w:rFonts w:ascii="Arial" w:cs="Arial" w:eastAsia="Arial" w:hAnsi="Arial"/>
                <w:sz w:val="18"/>
                <w:szCs w:val="18"/>
                <w:color w:val="auto"/>
              </w:rPr>
              <w:t>9</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6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31" w:name="page132"/>
    <w:bookmarkEnd w:id="13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Allowance for doubtful accounts consisted of the following,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rPr>
              <w:t>Years Ended</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72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30,</w:t>
            </w:r>
          </w:p>
        </w:tc>
        <w:tc>
          <w:tcPr>
            <w:tcW w:w="380" w:type="dxa"/>
            <w:vAlign w:val="bottom"/>
          </w:tcPr>
          <w:p>
            <w:pPr>
              <w:spacing w:after="0"/>
              <w:rPr>
                <w:sz w:val="11"/>
                <w:szCs w:val="11"/>
                <w:color w:val="auto"/>
              </w:rPr>
            </w:pPr>
          </w:p>
        </w:tc>
        <w:tc>
          <w:tcPr>
            <w:tcW w:w="158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7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Provision for bad debt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78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Write-offs, net</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Balance at end of period</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72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8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6</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b w:val="1"/>
          <w:bCs w:val="1"/>
          <w:i w:val="1"/>
          <w:iCs w:val="1"/>
          <w:color w:val="auto"/>
        </w:rPr>
        <w:t>Long-lived Assets</w:t>
      </w:r>
      <w:r>
        <w:rPr>
          <w:rFonts w:ascii="Arial" w:cs="Arial" w:eastAsia="Arial" w:hAnsi="Arial"/>
          <w:sz w:val="18"/>
          <w:szCs w:val="18"/>
          <w:color w:val="auto"/>
        </w:rPr>
        <w:t>—Property and equipment is stated at cost, net of accumulated depreciation or amortization. Refer to Note 4. Major renewals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improvements are capitalized, while replacements, maintenance, and repairs that do not improve or extend the lives of the respective assets are expensed currently. In general, the equipment associated with the digital network that is located within the theatre is owned by the founding members, while equipment outside the theatre is owned by the Company. The Company records depreciation and amortization using the straight-line method over the following estimated useful lives:</w:t>
      </w:r>
    </w:p>
    <w:p>
      <w:pPr>
        <w:sectPr>
          <w:pgSz w:w="11900" w:h="16838" w:orient="portrait"/>
          <w:cols w:equalWidth="0" w:num="1">
            <w:col w:w="11400"/>
          </w:cols>
          <w:pgMar w:left="240" w:top="280" w:right="259" w:bottom="1440" w:gutter="0" w:footer="0" w:header="0"/>
        </w:sectPr>
      </w:pPr>
    </w:p>
    <w:p>
      <w:pPr>
        <w:spacing w:after="0" w:line="18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Equipment</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Computer hardware and software</w:t>
      </w:r>
    </w:p>
    <w:p>
      <w:pPr>
        <w:spacing w:after="0" w:line="4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4-10 years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3-5 years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Lesser of lease term or asset life</w:t>
      </w:r>
    </w:p>
    <w:p>
      <w:pPr>
        <w:spacing w:after="0" w:line="199" w:lineRule="exact"/>
        <w:rPr>
          <w:sz w:val="20"/>
          <w:szCs w:val="20"/>
          <w:color w:val="auto"/>
        </w:rPr>
      </w:pPr>
    </w:p>
    <w:p>
      <w:pPr>
        <w:sectPr>
          <w:pgSz w:w="11900" w:h="16838" w:orient="portrait"/>
          <w:cols w:equalWidth="0" w:num="2">
            <w:col w:w="5300" w:space="720"/>
            <w:col w:w="5380"/>
          </w:cols>
          <w:pgMar w:left="240" w:top="280" w:right="259" w:bottom="1440" w:gutter="0" w:footer="0" w:header="0"/>
          <w:type w:val="continuous"/>
        </w:sectPr>
      </w:pPr>
    </w:p>
    <w:p>
      <w:pPr>
        <w:ind w:right="180" w:firstLine="456"/>
        <w:spacing w:after="0" w:line="302" w:lineRule="auto"/>
        <w:rPr>
          <w:sz w:val="20"/>
          <w:szCs w:val="20"/>
          <w:color w:val="auto"/>
        </w:rPr>
      </w:pPr>
      <w:r>
        <w:rPr>
          <w:rFonts w:ascii="Arial" w:cs="Arial" w:eastAsia="Arial" w:hAnsi="Arial"/>
          <w:sz w:val="15"/>
          <w:szCs w:val="15"/>
          <w:color w:val="auto"/>
        </w:rPr>
        <w:t xml:space="preserve">Software and web site development costs developed or obtained for internal use are accounted for in accordance with ASC Subtopic 350-40 </w:t>
      </w:r>
      <w:r>
        <w:rPr>
          <w:rFonts w:ascii="Arial" w:cs="Arial" w:eastAsia="Arial" w:hAnsi="Arial"/>
          <w:sz w:val="15"/>
          <w:szCs w:val="15"/>
          <w:i w:val="1"/>
          <w:iCs w:val="1"/>
          <w:color w:val="auto"/>
        </w:rPr>
        <w:t>Internal Use</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Software </w:t>
      </w:r>
      <w:r>
        <w:rPr>
          <w:rFonts w:ascii="Arial" w:cs="Arial" w:eastAsia="Arial" w:hAnsi="Arial"/>
          <w:sz w:val="15"/>
          <w:szCs w:val="15"/>
          <w:color w:val="auto"/>
        </w:rPr>
        <w:t>and ASC Subtopic 350-50</w:t>
      </w:r>
      <w:r>
        <w:rPr>
          <w:rFonts w:ascii="Arial" w:cs="Arial" w:eastAsia="Arial" w:hAnsi="Arial"/>
          <w:sz w:val="15"/>
          <w:szCs w:val="15"/>
          <w:i w:val="1"/>
          <w:iCs w:val="1"/>
          <w:color w:val="auto"/>
        </w:rPr>
        <w:t xml:space="preserve"> Website Development Costs</w:t>
      </w:r>
      <w:r>
        <w:rPr>
          <w:rFonts w:ascii="Arial" w:cs="Arial" w:eastAsia="Arial" w:hAnsi="Arial"/>
          <w:sz w:val="15"/>
          <w:szCs w:val="15"/>
          <w:color w:val="auto"/>
        </w:rPr>
        <w:t>. The subtopics require the capitalization of certain costs incurred in developing or obtaining</w:t>
      </w:r>
      <w:r>
        <w:rPr>
          <w:rFonts w:ascii="Arial" w:cs="Arial" w:eastAsia="Arial" w:hAnsi="Arial"/>
          <w:sz w:val="15"/>
          <w:szCs w:val="15"/>
          <w:i w:val="1"/>
          <w:iCs w:val="1"/>
          <w:color w:val="auto"/>
        </w:rPr>
        <w:t xml:space="preserve"> </w:t>
      </w:r>
      <w:r>
        <w:rPr>
          <w:rFonts w:ascii="Arial" w:cs="Arial" w:eastAsia="Arial" w:hAnsi="Arial"/>
          <w:sz w:val="15"/>
          <w:szCs w:val="15"/>
          <w:color w:val="auto"/>
        </w:rPr>
        <w:t>software for internal use. The majority of software costs and web site development costs, which are included in equipment, are depreciated over three to five years. As of December 30, 2010 and December 31, 2009, the Company had a net book value of $9.2 million and $11.0 million, respectively, of capitalized software and web site development costs. Approximately $6.5 million, $6.7 million and $4.9 million was recorded for the years ended December 30,</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2010, December 31, 2009 and January 1, 2009, respectively, in depreciation expense. For the years ended December 30, 2010, December 31, 2009 and January 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2009 the Company recorded $1.2 million, $1.6 million and $1.2 million in research and development expense, respectively.</w:t>
      </w:r>
    </w:p>
    <w:p>
      <w:pPr>
        <w:spacing w:after="0" w:line="165"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Construction in progress includes costs relating to installations of equipment into affiliate theatres. Assets under construction are not depreciated until placed into service.</w:t>
      </w:r>
    </w:p>
    <w:p>
      <w:pPr>
        <w:spacing w:after="0" w:line="132" w:lineRule="exact"/>
        <w:rPr>
          <w:sz w:val="20"/>
          <w:szCs w:val="20"/>
          <w:color w:val="auto"/>
        </w:rPr>
      </w:pPr>
    </w:p>
    <w:p>
      <w:pPr>
        <w:jc w:val="both"/>
        <w:ind w:right="400" w:firstLine="456"/>
        <w:spacing w:after="0" w:line="370" w:lineRule="auto"/>
        <w:rPr>
          <w:sz w:val="20"/>
          <w:szCs w:val="20"/>
          <w:color w:val="auto"/>
        </w:rPr>
      </w:pPr>
      <w:r>
        <w:rPr>
          <w:rFonts w:ascii="Arial" w:cs="Arial" w:eastAsia="Arial" w:hAnsi="Arial"/>
          <w:sz w:val="15"/>
          <w:szCs w:val="15"/>
          <w:color w:val="auto"/>
        </w:rPr>
        <w:t xml:space="preserve">The Company assesses impairment of long-lived assets pursuant with ASC 360 </w:t>
      </w:r>
      <w:r>
        <w:rPr>
          <w:rFonts w:ascii="Arial" w:cs="Arial" w:eastAsia="Arial" w:hAnsi="Arial"/>
          <w:sz w:val="15"/>
          <w:szCs w:val="15"/>
          <w:i w:val="1"/>
          <w:iCs w:val="1"/>
          <w:color w:val="auto"/>
        </w:rPr>
        <w:t>Property, Plant and Equipment</w:t>
      </w:r>
      <w:r>
        <w:rPr>
          <w:rFonts w:ascii="Arial" w:cs="Arial" w:eastAsia="Arial" w:hAnsi="Arial"/>
          <w:sz w:val="15"/>
          <w:szCs w:val="15"/>
          <w:color w:val="auto"/>
        </w:rPr>
        <w:t xml:space="preserve"> annually</w:t>
      </w:r>
      <w:r>
        <w:rPr>
          <w:rFonts w:ascii="Arial" w:cs="Arial" w:eastAsia="Arial" w:hAnsi="Arial"/>
          <w:sz w:val="15"/>
          <w:szCs w:val="15"/>
          <w:i w:val="1"/>
          <w:iCs w:val="1"/>
          <w:color w:val="auto"/>
        </w:rPr>
        <w:t>.</w:t>
      </w:r>
      <w:r>
        <w:rPr>
          <w:rFonts w:ascii="Arial" w:cs="Arial" w:eastAsia="Arial" w:hAnsi="Arial"/>
          <w:sz w:val="15"/>
          <w:szCs w:val="15"/>
          <w:color w:val="auto"/>
        </w:rPr>
        <w:t xml:space="preserve"> This includes determining if certain triggering events have occurred that could affect the value of an asset. Thus far, we have recorded no impairment charges related to long-lived assets.</w:t>
      </w:r>
    </w:p>
    <w:p>
      <w:pPr>
        <w:spacing w:after="0" w:line="6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Intangible assets</w:t>
      </w:r>
      <w:r>
        <w:rPr>
          <w:rFonts w:ascii="Arial" w:cs="Arial" w:eastAsia="Arial" w:hAnsi="Arial"/>
          <w:sz w:val="16"/>
          <w:szCs w:val="16"/>
          <w:color w:val="auto"/>
        </w:rPr>
        <w:t>—Intangible assets consist of contractual rights and are stated at cost, net of accumulated amortization. Refer to Note 5.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records amortization using the straight-line method over the estimated useful life of the intangibles, corresponding to the term of the ESAs. During the year ended December 30, 2010, NCM LLC recorded an intangible asset of $111.5 million, which is amortized over a weighted average amortization period of 26.7 years, and a second addition of $39.8 million, which is amortized over a weighted average amortization period of 27.0 years. As of December 30, 2010, the gross carrying amount of the intangible assets is $286.0 million, with a remaining weighted average amortization period of 27.0 years.</w:t>
      </w:r>
    </w:p>
    <w:p>
      <w:pPr>
        <w:spacing w:after="0" w:line="116"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b w:val="1"/>
          <w:bCs w:val="1"/>
          <w:i w:val="1"/>
          <w:iCs w:val="1"/>
          <w:color w:val="auto"/>
        </w:rPr>
        <w:t>Amounts Due to Founding Members</w:t>
      </w:r>
      <w:r>
        <w:rPr>
          <w:rFonts w:ascii="Arial" w:cs="Arial" w:eastAsia="Arial" w:hAnsi="Arial"/>
          <w:sz w:val="15"/>
          <w:szCs w:val="15"/>
          <w:color w:val="auto"/>
        </w:rPr>
        <w:t>—Amounts due to founding members in the 2010 and 2009 periods include amounts due for the theatre access fee,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offset by a receivable for advertising time purchased by the founding members, as well as revenue share earned for Fathom Events plus any amounts outstanding under other contractually obligated payments. Payments to or received from the founding members against outstanding balances are made monthly.</w:t>
      </w:r>
    </w:p>
    <w:p>
      <w:pPr>
        <w:spacing w:after="0" w:line="88"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b w:val="1"/>
          <w:bCs w:val="1"/>
          <w:i w:val="1"/>
          <w:iCs w:val="1"/>
          <w:color w:val="auto"/>
        </w:rPr>
        <w:t>Amounts Due to Managing Member</w:t>
      </w:r>
      <w:r>
        <w:rPr>
          <w:rFonts w:ascii="Arial" w:cs="Arial" w:eastAsia="Arial" w:hAnsi="Arial"/>
          <w:sz w:val="16"/>
          <w:szCs w:val="16"/>
          <w:color w:val="auto"/>
        </w:rPr>
        <w:t>—Amounts due to the managing member include amounts due under the NCM LLC Operating Agreement and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contractually obligated payments. Payments to or received from the managing member against outstanding balances are made periodically.</w:t>
      </w:r>
    </w:p>
    <w:p>
      <w:pPr>
        <w:spacing w:after="0" w:line="85"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As a limited liability company, NCM LLC’s taxable income or loss is allocated to the founding members and managing member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therefore, the only provision for income taxes included in the financial statements is for income-based state and local taxes.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type w:val="continuous"/>
        </w:sectPr>
      </w:pPr>
    </w:p>
    <w:bookmarkStart w:id="132" w:name="page133"/>
    <w:bookmarkEnd w:id="132"/>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Accumulated Other Comprehensive Loss</w:t>
      </w:r>
      <w:r>
        <w:rPr>
          <w:rFonts w:ascii="Arial" w:cs="Arial" w:eastAsia="Arial" w:hAnsi="Arial"/>
          <w:sz w:val="18"/>
          <w:szCs w:val="18"/>
          <w:color w:val="auto"/>
        </w:rPr>
        <w:t>—Accumulated other comprehensive loss is composed of the following (in millions):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340" w:type="dxa"/>
            <w:vAlign w:val="bottom"/>
          </w:tcPr>
          <w:p>
            <w:pPr>
              <w:spacing w:after="0"/>
              <w:rPr>
                <w:sz w:val="14"/>
                <w:szCs w:val="14"/>
                <w:color w:val="auto"/>
              </w:rPr>
            </w:pPr>
          </w:p>
        </w:tc>
        <w:tc>
          <w:tcPr>
            <w:tcW w:w="150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93"/>
              </w:rPr>
              <w:t>Year Ended</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Year Ended</w:t>
            </w:r>
          </w:p>
        </w:tc>
      </w:tr>
      <w:tr>
        <w:trPr>
          <w:trHeight w:val="149"/>
        </w:trPr>
        <w:tc>
          <w:tcPr>
            <w:tcW w:w="576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30,</w:t>
            </w:r>
          </w:p>
        </w:tc>
        <w:tc>
          <w:tcPr>
            <w:tcW w:w="34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80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January 1,</w:t>
            </w:r>
          </w:p>
        </w:tc>
      </w:tr>
      <w:tr>
        <w:trPr>
          <w:trHeight w:val="161"/>
        </w:trPr>
        <w:tc>
          <w:tcPr>
            <w:tcW w:w="5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(47.4)</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(73.5)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r>
      <w:tr>
        <w:trPr>
          <w:trHeight w:val="216"/>
        </w:trPr>
        <w:tc>
          <w:tcPr>
            <w:tcW w:w="5760" w:type="dxa"/>
            <w:vAlign w:val="bottom"/>
          </w:tcPr>
          <w:p>
            <w:pPr>
              <w:ind w:left="440"/>
              <w:spacing w:after="0"/>
              <w:rPr>
                <w:sz w:val="20"/>
                <w:szCs w:val="20"/>
                <w:color w:val="auto"/>
              </w:rPr>
            </w:pPr>
            <w:r>
              <w:rPr>
                <w:rFonts w:ascii="Arial" w:cs="Arial" w:eastAsia="Arial" w:hAnsi="Arial"/>
                <w:sz w:val="18"/>
                <w:szCs w:val="18"/>
                <w:color w:val="auto"/>
              </w:rPr>
              <w:t>Change in fair value on cash flow hedge</w:t>
            </w:r>
          </w:p>
        </w:tc>
        <w:tc>
          <w:tcPr>
            <w:tcW w:w="18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(12.2)</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24.8</w:t>
            </w: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(59.5)</w:t>
            </w:r>
          </w:p>
        </w:tc>
      </w:tr>
      <w:tr>
        <w:trPr>
          <w:trHeight w:val="216"/>
        </w:trPr>
        <w:tc>
          <w:tcPr>
            <w:tcW w:w="5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Reclassifications into earnings</w:t>
            </w: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7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r>
      <w:tr>
        <w:trPr>
          <w:trHeight w:val="222"/>
        </w:trPr>
        <w:tc>
          <w:tcPr>
            <w:tcW w:w="5760" w:type="dxa"/>
            <w:vAlign w:val="bottom"/>
          </w:tcPr>
          <w:p>
            <w:pPr>
              <w:spacing w:after="0"/>
              <w:rPr>
                <w:sz w:val="20"/>
                <w:szCs w:val="20"/>
                <w:color w:val="auto"/>
              </w:rPr>
            </w:pPr>
            <w:r>
              <w:rPr>
                <w:rFonts w:ascii="Arial" w:cs="Arial" w:eastAsia="Arial" w:hAnsi="Arial"/>
                <w:sz w:val="18"/>
                <w:szCs w:val="18"/>
                <w:color w:val="auto"/>
              </w:rPr>
              <w:t>Ending Balance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(58.3)</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(73.5)</w:t>
            </w:r>
          </w:p>
        </w:tc>
      </w:tr>
      <w:tr>
        <w:trPr>
          <w:trHeight w:val="20"/>
        </w:trPr>
        <w:tc>
          <w:tcPr>
            <w:tcW w:w="5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b w:val="1"/>
          <w:bCs w:val="1"/>
          <w:i w:val="1"/>
          <w:iCs w:val="1"/>
          <w:color w:val="auto"/>
        </w:rPr>
        <w:t>Debt Issuance Costs</w:t>
      </w:r>
      <w:r>
        <w:rPr>
          <w:rFonts w:ascii="Arial" w:cs="Arial" w:eastAsia="Arial" w:hAnsi="Arial"/>
          <w:sz w:val="18"/>
          <w:szCs w:val="18"/>
          <w:color w:val="auto"/>
        </w:rPr>
        <w:t>—In relation to the issuance of long-term debt discussed in Note 8, there is a balance of $7.3 million and $9.2 million in deferred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financing costs as of December 30, 2010 and December 31, 2009, respectively. These debt issuance costs are being amortized over the terms of the underlying obligation and are included in interest expense. For each of the years ended December 30, 2010, December 31, 2009, and January 1, 2009 we amortized $1.9 million.</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Other Investment</w:t>
      </w:r>
      <w:r>
        <w:rPr>
          <w:rFonts w:ascii="Arial" w:cs="Arial" w:eastAsia="Arial" w:hAnsi="Arial"/>
          <w:sz w:val="16"/>
          <w:szCs w:val="16"/>
          <w:color w:val="auto"/>
        </w:rPr>
        <w:t>— Through March 15, 2010, the Company accounted for its investment in RMG Networks, Inc., (“RMG”) (formerly Danoo, Inc.)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the equity method of accounting as required by ASC 323-10 </w:t>
      </w:r>
      <w:r>
        <w:rPr>
          <w:rFonts w:ascii="Arial" w:cs="Arial" w:eastAsia="Arial" w:hAnsi="Arial"/>
          <w:sz w:val="16"/>
          <w:szCs w:val="16"/>
          <w:i w:val="1"/>
          <w:iCs w:val="1"/>
          <w:color w:val="auto"/>
        </w:rPr>
        <w:t>Investments – Equity Method and Joint Ventures</w:t>
      </w:r>
      <w:r>
        <w:rPr>
          <w:rFonts w:ascii="Arial" w:cs="Arial" w:eastAsia="Arial" w:hAnsi="Arial"/>
          <w:sz w:val="16"/>
          <w:szCs w:val="16"/>
          <w:color w:val="auto"/>
        </w:rPr>
        <w:t xml:space="preserve"> (“ASC 323-10”) because we exerted “significant influence” over, but did not control, the policy and decisions of RMG, due to ownership of approximately 24% of the issued and outstanding preferred and common stock of RMG. During the first quarter of 2010, RMG sold additional common stock to other third party investors for cash, which reduced the Company’s ownership in RMG resulting in cost method accounting. At December 30, 2010, the Company’s ownership in RMG was approximately 19% of the issued and outstanding preferred and common stock of RMG. The investment in RMG and the Company’s share of its operating results through December 30, 2010 are not material to the Company’s financial position or results of operations and as a result summarized financial information is not presented. Refer to Note 11 and 12 for additional discussion ..</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Share-Based Compensation</w:t>
      </w:r>
      <w:r>
        <w:rPr>
          <w:rFonts w:ascii="Arial" w:cs="Arial" w:eastAsia="Arial" w:hAnsi="Arial"/>
          <w:sz w:val="15"/>
          <w:szCs w:val="15"/>
          <w:color w:val="auto"/>
        </w:rPr>
        <w:t>—Stock-based employee compensation is accounted for at fair value under ASC 718</w:t>
      </w:r>
      <w:r>
        <w:rPr>
          <w:rFonts w:ascii="Arial" w:cs="Arial" w:eastAsia="Arial" w:hAnsi="Arial"/>
          <w:sz w:val="15"/>
          <w:szCs w:val="15"/>
          <w:b w:val="1"/>
          <w:bCs w:val="1"/>
          <w:i w:val="1"/>
          <w:iCs w:val="1"/>
          <w:color w:val="auto"/>
        </w:rPr>
        <w:t xml:space="preserve"> </w:t>
      </w:r>
      <w:r>
        <w:rPr>
          <w:rFonts w:ascii="Arial" w:cs="Arial" w:eastAsia="Arial" w:hAnsi="Arial"/>
          <w:sz w:val="15"/>
          <w:szCs w:val="15"/>
          <w:i w:val="1"/>
          <w:iCs w:val="1"/>
          <w:color w:val="auto"/>
        </w:rPr>
        <w:t>Compensation – Stock Compensation</w:t>
      </w:r>
      <w:r>
        <w:rPr>
          <w:rFonts w:ascii="Arial" w:cs="Arial" w:eastAsia="Arial" w:hAnsi="Arial"/>
          <w:sz w:val="15"/>
          <w:szCs w:val="15"/>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Refer to Note 9.</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Derivative Instruments</w:t>
      </w:r>
      <w:r>
        <w:rPr>
          <w:rFonts w:ascii="Arial" w:cs="Arial" w:eastAsia="Arial" w:hAnsi="Arial"/>
          <w:sz w:val="18"/>
          <w:szCs w:val="18"/>
          <w:color w:val="auto"/>
        </w:rPr>
        <w:t>— Derivative Instruments are accounted for under ASC 815</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Derivatives and Hedging</w:t>
      </w:r>
      <w:r>
        <w:rPr>
          <w:rFonts w:ascii="Arial" w:cs="Arial" w:eastAsia="Arial" w:hAnsi="Arial"/>
          <w:sz w:val="18"/>
          <w:szCs w:val="18"/>
          <w:color w:val="auto"/>
        </w:rPr>
        <w:t>. Refer to Note 13.</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Current Liabilities</w:t>
      </w:r>
      <w:r>
        <w:rPr>
          <w:rFonts w:ascii="Arial" w:cs="Arial" w:eastAsia="Arial" w:hAnsi="Arial"/>
          <w:sz w:val="16"/>
          <w:szCs w:val="16"/>
          <w:color w:val="auto"/>
        </w:rPr>
        <w:t>—For the year ended December 31, 2009, the Company presented the liability for interest rate swap agreements in a single line on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Balance Sheet in other non-current liabilities. However, after further review, the Company determined that the current portion of the liability should be reclassified and presented with total current liabilities. As a result, the Company has restated its Balance Sheet to reflect this classification. The correction has no effect on total assets, total liabilities, total equity/(deficit), the Statements of Operations, or the Cash Flows from Operations.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effects of the restatement on our Balance Sheet as of December 31, 2009:</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5"/>
              </w:rPr>
              <w:t>BALANCE SHEET</w:t>
            </w:r>
          </w:p>
        </w:tc>
      </w:tr>
      <w:tr>
        <w:trPr>
          <w:trHeight w:val="149"/>
        </w:trPr>
        <w:tc>
          <w:tcPr>
            <w:tcW w:w="5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gridSpan w:val="2"/>
          </w:tcPr>
          <w:p>
            <w:pPr>
              <w:jc w:val="center"/>
              <w:ind w:right="152"/>
              <w:spacing w:after="0" w:line="149" w:lineRule="exact"/>
              <w:rPr>
                <w:sz w:val="20"/>
                <w:szCs w:val="20"/>
                <w:color w:val="auto"/>
              </w:rPr>
            </w:pPr>
            <w:r>
              <w:rPr>
                <w:rFonts w:ascii="Arial" w:cs="Arial" w:eastAsia="Arial" w:hAnsi="Arial"/>
                <w:sz w:val="14"/>
                <w:szCs w:val="14"/>
                <w:b w:val="1"/>
                <w:bCs w:val="1"/>
                <w:color w:val="auto"/>
                <w:w w:val="85"/>
              </w:rPr>
              <w:t>As of</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5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5"/>
              </w:rPr>
              <w:t>December 31, 2009</w:t>
            </w:r>
          </w:p>
        </w:tc>
      </w:tr>
      <w:tr>
        <w:trPr>
          <w:trHeight w:val="129"/>
        </w:trPr>
        <w:tc>
          <w:tcPr>
            <w:tcW w:w="5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161"/>
              <w:spacing w:after="0" w:line="129" w:lineRule="exact"/>
              <w:rPr>
                <w:sz w:val="20"/>
                <w:szCs w:val="20"/>
                <w:color w:val="auto"/>
              </w:rPr>
            </w:pPr>
            <w:r>
              <w:rPr>
                <w:rFonts w:ascii="Arial" w:cs="Arial" w:eastAsia="Arial" w:hAnsi="Arial"/>
                <w:sz w:val="14"/>
                <w:szCs w:val="14"/>
                <w:b w:val="1"/>
                <w:bCs w:val="1"/>
                <w:color w:val="auto"/>
              </w:rPr>
              <w:t>As</w:t>
            </w: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5160" w:type="dxa"/>
            <w:vAlign w:val="bottom"/>
          </w:tcPr>
          <w:p>
            <w:pPr>
              <w:spacing w:after="0"/>
              <w:rPr>
                <w:sz w:val="12"/>
                <w:szCs w:val="12"/>
                <w:color w:val="auto"/>
              </w:rPr>
            </w:pPr>
          </w:p>
        </w:tc>
        <w:tc>
          <w:tcPr>
            <w:tcW w:w="2400" w:type="dxa"/>
            <w:vAlign w:val="bottom"/>
            <w:gridSpan w:val="3"/>
          </w:tcPr>
          <w:p>
            <w:pPr>
              <w:ind w:left="1780"/>
              <w:spacing w:after="0" w:line="149" w:lineRule="exact"/>
              <w:rPr>
                <w:sz w:val="20"/>
                <w:szCs w:val="20"/>
                <w:color w:val="auto"/>
              </w:rPr>
            </w:pPr>
            <w:r>
              <w:rPr>
                <w:rFonts w:ascii="Arial" w:cs="Arial" w:eastAsia="Arial" w:hAnsi="Arial"/>
                <w:sz w:val="14"/>
                <w:szCs w:val="14"/>
                <w:b w:val="1"/>
                <w:bCs w:val="1"/>
                <w:color w:val="auto"/>
                <w:w w:val="84"/>
              </w:rPr>
              <w:t>Previously</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As</w:t>
            </w:r>
          </w:p>
        </w:tc>
      </w:tr>
      <w:tr>
        <w:trPr>
          <w:trHeight w:val="161"/>
        </w:trPr>
        <w:tc>
          <w:tcPr>
            <w:tcW w:w="5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Reported</w:t>
            </w:r>
          </w:p>
        </w:tc>
        <w:tc>
          <w:tcPr>
            <w:tcW w:w="500" w:type="dxa"/>
            <w:vAlign w:val="bottom"/>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Restated</w:t>
            </w:r>
          </w:p>
        </w:tc>
        <w:tc>
          <w:tcPr>
            <w:tcW w:w="100" w:type="dxa"/>
            <w:vAlign w:val="bottom"/>
          </w:tcPr>
          <w:p>
            <w:pPr>
              <w:spacing w:after="0"/>
              <w:rPr>
                <w:sz w:val="14"/>
                <w:szCs w:val="14"/>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interest rate swap agreements</w:t>
            </w:r>
          </w:p>
        </w:tc>
        <w:tc>
          <w:tcPr>
            <w:tcW w:w="1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ind w:left="440"/>
              <w:spacing w:after="0"/>
              <w:rPr>
                <w:sz w:val="20"/>
                <w:szCs w:val="20"/>
                <w:color w:val="auto"/>
              </w:rPr>
            </w:pPr>
            <w:r>
              <w:rPr>
                <w:rFonts w:ascii="Arial" w:cs="Arial" w:eastAsia="Arial" w:hAnsi="Arial"/>
                <w:sz w:val="18"/>
                <w:szCs w:val="18"/>
                <w:color w:val="auto"/>
              </w:rPr>
              <w:t>Total current liabilities</w:t>
            </w:r>
          </w:p>
        </w:tc>
        <w:tc>
          <w:tcPr>
            <w:tcW w:w="194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90.1</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114.5</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agreements</w:t>
            </w:r>
          </w:p>
        </w:tc>
        <w:tc>
          <w:tcPr>
            <w:tcW w:w="1940" w:type="dxa"/>
            <w:vAlign w:val="bottom"/>
            <w:gridSpan w:val="2"/>
            <w:shd w:val="clear" w:color="auto" w:fill="CCEEFF"/>
          </w:tcPr>
          <w:p>
            <w:pPr>
              <w:ind w:left="17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8"/>
                <w:szCs w:val="18"/>
                <w:color w:val="auto"/>
              </w:rPr>
            </w:pPr>
          </w:p>
        </w:tc>
      </w:tr>
      <w:tr>
        <w:trPr>
          <w:trHeight w:val="222"/>
        </w:trPr>
        <w:tc>
          <w:tcPr>
            <w:tcW w:w="5160" w:type="dxa"/>
            <w:vAlign w:val="bottom"/>
          </w:tcPr>
          <w:p>
            <w:pPr>
              <w:ind w:left="440"/>
              <w:spacing w:after="0"/>
              <w:rPr>
                <w:sz w:val="20"/>
                <w:szCs w:val="20"/>
                <w:color w:val="auto"/>
              </w:rPr>
            </w:pPr>
            <w:r>
              <w:rPr>
                <w:rFonts w:ascii="Arial" w:cs="Arial" w:eastAsia="Arial" w:hAnsi="Arial"/>
                <w:sz w:val="18"/>
                <w:szCs w:val="18"/>
                <w:color w:val="auto"/>
              </w:rPr>
              <w:t>Total non-current liabilities</w:t>
            </w:r>
          </w:p>
        </w:tc>
        <w:tc>
          <w:tcPr>
            <w:tcW w:w="1940" w:type="dxa"/>
            <w:vAlign w:val="bottom"/>
            <w:gridSpan w:val="2"/>
          </w:tcPr>
          <w:p>
            <w:pPr>
              <w:ind w:left="17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853.9</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829.5</w:t>
            </w:r>
          </w:p>
        </w:tc>
        <w:tc>
          <w:tcPr>
            <w:tcW w:w="100" w:type="dxa"/>
            <w:vAlign w:val="bottom"/>
          </w:tcPr>
          <w:p>
            <w:pPr>
              <w:spacing w:after="0"/>
              <w:rPr>
                <w:sz w:val="19"/>
                <w:szCs w:val="19"/>
                <w:color w:val="auto"/>
              </w:rPr>
            </w:pPr>
          </w:p>
        </w:tc>
      </w:tr>
    </w:tbl>
    <w:p>
      <w:pPr>
        <w:spacing w:after="0" w:line="263"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 xml:space="preserve">In October 2009, the FASB issued ASU 2009-13, </w:t>
      </w:r>
      <w:r>
        <w:rPr>
          <w:rFonts w:ascii="Arial" w:cs="Arial" w:eastAsia="Arial" w:hAnsi="Arial"/>
          <w:sz w:val="15"/>
          <w:szCs w:val="15"/>
          <w:i w:val="1"/>
          <w:iCs w:val="1"/>
          <w:color w:val="auto"/>
        </w:rPr>
        <w:t>Multiple-Deliverable Revenue Arrangements,</w:t>
      </w:r>
      <w:r>
        <w:rPr>
          <w:rFonts w:ascii="Arial" w:cs="Arial" w:eastAsia="Arial" w:hAnsi="Arial"/>
          <w:sz w:val="15"/>
          <w:szCs w:val="15"/>
          <w:color w:val="auto"/>
        </w:rPr>
        <w:t xml:space="preserve"> which revises the existing multiple-element revenue arrangements guidance and changes the determination of when the individual deliverables included in a multiple-element revenue arrangement may be treated as separate units of accounting, modifies the manner in which the transaction consideration is allocated across the separately identified deliverables and expands the disclosures required for multiple-element revenue arrangements. The pronouncement is effective for revenue arrangements entered into or materially modified in fiscal years beginning after June 15, 2010. The Company does not expect the pronouncement to have a material effect on its financial statements.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133" w:name="page134"/>
    <w:bookmarkEnd w:id="133"/>
    <w:p>
      <w:pPr>
        <w:jc w:val="center"/>
        <w:ind w:right="-3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January 2010, the FASB issued ASU 2010-06, </w:t>
      </w:r>
      <w:r>
        <w:rPr>
          <w:rFonts w:ascii="Arial" w:cs="Arial" w:eastAsia="Arial" w:hAnsi="Arial"/>
          <w:sz w:val="16"/>
          <w:szCs w:val="16"/>
          <w:i w:val="1"/>
          <w:iCs w:val="1"/>
          <w:color w:val="auto"/>
        </w:rPr>
        <w:t>Improving Disclosures about Fair Value Measurements</w:t>
      </w:r>
      <w:r>
        <w:rPr>
          <w:rFonts w:ascii="Arial" w:cs="Arial" w:eastAsia="Arial" w:hAnsi="Arial"/>
          <w:sz w:val="16"/>
          <w:szCs w:val="16"/>
          <w:color w:val="auto"/>
        </w:rPr>
        <w:t>, which requires additional disclosures about</w:t>
      </w:r>
    </w:p>
    <w:p>
      <w:pPr>
        <w:spacing w:after="0" w:line="38" w:lineRule="exact"/>
        <w:rPr>
          <w:sz w:val="20"/>
          <w:szCs w:val="20"/>
          <w:color w:val="auto"/>
        </w:rPr>
      </w:pPr>
    </w:p>
    <w:p>
      <w:pPr>
        <w:ind w:right="560" w:firstLine="8"/>
        <w:spacing w:after="0" w:line="255" w:lineRule="auto"/>
        <w:tabs>
          <w:tab w:leader="none" w:pos="249"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different classes of assets and liabilities measured at fair value, (2) the valuation techniques and inputs used, (3) the activity in Level 3 fair value measurements, and (4) the transfers between Levels 1, 2 and 3</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adopted this pronouncement effective January 1, 2010 with no impact on its financial statements.</w:t>
      </w:r>
    </w:p>
    <w:p>
      <w:pPr>
        <w:spacing w:after="0" w:line="14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4.</w:t>
            </w:r>
          </w:p>
        </w:tc>
        <w:tc>
          <w:tcPr>
            <w:tcW w:w="716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PROPERTY AND EQUIPMENT</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December 30,</w:t>
            </w:r>
          </w:p>
        </w:tc>
        <w:tc>
          <w:tcPr>
            <w:tcW w:w="1720" w:type="dxa"/>
            <w:vAlign w:val="bottom"/>
            <w:gridSpan w:val="4"/>
          </w:tcPr>
          <w:p>
            <w:pPr>
              <w:ind w:left="820"/>
              <w:spacing w:after="0" w:line="149"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2010</w:t>
            </w:r>
          </w:p>
        </w:tc>
        <w:tc>
          <w:tcPr>
            <w:tcW w:w="80" w:type="dxa"/>
            <w:vAlign w:val="bottom"/>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Equipment, computer hardware and software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(46.4)</w:t>
            </w: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21"/>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80" w:type="dxa"/>
            <w:vAlign w:val="bottom"/>
          </w:tcPr>
          <w:p>
            <w:pPr>
              <w:ind w:left="440"/>
              <w:spacing w:after="0"/>
              <w:rPr>
                <w:sz w:val="20"/>
                <w:szCs w:val="20"/>
                <w:color w:val="auto"/>
              </w:rPr>
            </w:pPr>
            <w:r>
              <w:rPr>
                <w:rFonts w:ascii="Arial" w:cs="Arial" w:eastAsia="Arial" w:hAnsi="Arial"/>
                <w:sz w:val="18"/>
                <w:szCs w:val="18"/>
                <w:color w:val="auto"/>
              </w:rPr>
              <w:t>Subtotal</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80" w:type="dxa"/>
            <w:vAlign w:val="bottom"/>
          </w:tcPr>
          <w:p>
            <w:pPr>
              <w:ind w:left="440"/>
              <w:spacing w:after="0"/>
              <w:rPr>
                <w:sz w:val="20"/>
                <w:szCs w:val="20"/>
                <w:color w:val="auto"/>
              </w:rPr>
            </w:pPr>
            <w:r>
              <w:rPr>
                <w:rFonts w:ascii="Arial" w:cs="Arial" w:eastAsia="Arial" w:hAnsi="Arial"/>
                <w:sz w:val="18"/>
                <w:szCs w:val="18"/>
                <w:color w:val="auto"/>
              </w:rPr>
              <w:t>Total property and equipment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19"/>
                <w:szCs w:val="19"/>
                <w:color w:val="auto"/>
              </w:rPr>
            </w:pPr>
          </w:p>
        </w:tc>
        <w:tc>
          <w:tcPr>
            <w:tcW w:w="98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For the years ended December 30, 2010, December 31, 2009, and January 1, 2009, the Company recorded depreciation of $11.4 million, $12.5 million, and $10.2 million, respectively.</w:t>
      </w:r>
    </w:p>
    <w:p>
      <w:pPr>
        <w:spacing w:after="0" w:line="248"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During the second quarter of 2010, NCM LLC issued 6,510,209 common membership units to a subsidiary of AMCE as a result of that subsidiary’s acquisition of Kerasotes Showplace Theatres, LLC (the “AMC Kerasotes Acquisition”). Such issuance provided NCM LLC with exclusive access, in accordance with the ESA, to the net new theatre screens and attendees added by AMCE to NCM LLC’s network since the date of the last annual common unit adjustment through the date of the AMC Kerasotes Acquisition. As a result, NCM LLC recorded an intangible asset at the market value of the common membership units equal to $111.5 million. During the first quarter of 2010, NCM LLC issued 2,212,219 common membership units to its founding members in exchange for the rights to exclusive access, in accordance with the ESA, to net new theatre screens and projected attendees added by the founding members to NCM LLC’s network during 2009. As a result, NCM LLC recorded an intangible asset at the market value of the common membership units equal to $39.8 million. During the first quarter of 2009, NCM LLC issued 2,126,104 common membership units to its founding members in exchange for the rights to exclusive access to net new theatre screens and projected attendees added by the founding members to NCM LLC’s network. The Company recorded an intangible asset at the market value of the common membership units equal to $28.5 million. The Company based the fair value of the intangible assets on the market value of the common membership units issued on the date of grants, which are freely convertible into the Company’s common stock.</w:t>
      </w:r>
    </w:p>
    <w:p>
      <w:pPr>
        <w:spacing w:after="0" w:line="127" w:lineRule="exact"/>
        <w:rPr>
          <w:sz w:val="20"/>
          <w:szCs w:val="20"/>
          <w:color w:val="auto"/>
        </w:rPr>
      </w:pPr>
    </w:p>
    <w:p>
      <w:pPr>
        <w:ind w:right="280" w:firstLine="456"/>
        <w:spacing w:after="0" w:line="335" w:lineRule="auto"/>
        <w:rPr>
          <w:sz w:val="20"/>
          <w:szCs w:val="20"/>
          <w:color w:val="auto"/>
        </w:rPr>
      </w:pPr>
      <w:r>
        <w:rPr>
          <w:rFonts w:ascii="Arial" w:cs="Arial" w:eastAsia="Arial" w:hAnsi="Arial"/>
          <w:sz w:val="15"/>
          <w:szCs w:val="15"/>
          <w:color w:val="auto"/>
        </w:rPr>
        <w:t xml:space="preserve">Pursuant to ASC 350-10 </w:t>
      </w:r>
      <w:r>
        <w:rPr>
          <w:rFonts w:ascii="Arial" w:cs="Arial" w:eastAsia="Arial" w:hAnsi="Arial"/>
          <w:sz w:val="15"/>
          <w:szCs w:val="15"/>
          <w:i w:val="1"/>
          <w:iCs w:val="1"/>
          <w:color w:val="auto"/>
        </w:rPr>
        <w:t>Intangibles – Goodwill and Other</w:t>
      </w:r>
      <w:r>
        <w:rPr>
          <w:rFonts w:ascii="Arial" w:cs="Arial" w:eastAsia="Arial" w:hAnsi="Arial"/>
          <w:sz w:val="15"/>
          <w:szCs w:val="15"/>
          <w:color w:val="auto"/>
        </w:rPr>
        <w:t>, the intangible assets have a finite useful life and the Company amortizes the assets over the remaining useful life corresponding with the ESAs. Amortization of the asset related to Regal Consolidated Theatres will not begin until after 2011 since the Company will not have access to on-screen advertising in the Regal Consolidated Theatres until the run-out of their existing on–screen advertising agreement.</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4"/>
                <w:szCs w:val="14"/>
                <w:b w:val="1"/>
                <w:bCs w:val="1"/>
                <w:color w:val="auto"/>
              </w:rPr>
              <w:t>As of</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5"/>
          </w:tcPr>
          <w:p>
            <w:pPr>
              <w:jc w:val="center"/>
              <w:ind w:right="126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8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w w:val="90"/>
              </w:rPr>
              <w:t>December 30,</w:t>
            </w:r>
          </w:p>
        </w:tc>
        <w:tc>
          <w:tcPr>
            <w:tcW w:w="2740" w:type="dxa"/>
            <w:vAlign w:val="bottom"/>
            <w:gridSpan w:val="7"/>
          </w:tcPr>
          <w:p>
            <w:pPr>
              <w:ind w:left="80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6"/>
              </w:rPr>
              <w:t>(in millions)</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Purchase of intangible asset subject to amortization</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151.3</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Less integration payments </w:t>
            </w:r>
            <w:r>
              <w:rPr>
                <w:rFonts w:ascii="Arial" w:cs="Arial" w:eastAsia="Arial" w:hAnsi="Arial"/>
                <w:sz w:val="18"/>
                <w:szCs w:val="18"/>
                <w:i w:val="1"/>
                <w:iCs w:val="1"/>
                <w:color w:val="auto"/>
              </w:rPr>
              <w:t>(1)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Less amortization expense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(2.9)</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intangible assets</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r>
              <w:rPr>
                <w:rFonts w:ascii="Arial" w:cs="Arial" w:eastAsia="Arial" w:hAnsi="Arial"/>
                <w:sz w:val="18"/>
                <w:szCs w:val="18"/>
                <w:u w:val="single" w:color="auto"/>
                <w:color w:val="auto"/>
              </w:rPr>
              <w:t>2</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r>
              <w:rPr>
                <w:rFonts w:ascii="Arial" w:cs="Arial" w:eastAsia="Arial" w:hAnsi="Arial"/>
                <w:sz w:val="18"/>
                <w:szCs w:val="18"/>
                <w:u w:val="single" w:color="auto"/>
                <w:color w:val="auto"/>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gridSpan w:val="2"/>
          </w:tcPr>
          <w:p>
            <w:pPr>
              <w:spacing w:after="0"/>
              <w:rPr>
                <w:sz w:val="8"/>
                <w:szCs w:val="8"/>
                <w:color w:val="auto"/>
              </w:rPr>
            </w:pPr>
          </w:p>
        </w:tc>
        <w:tc>
          <w:tcPr>
            <w:tcW w:w="680" w:type="dxa"/>
            <w:vAlign w:val="bottom"/>
            <w:gridSpan w:val="2"/>
          </w:tcPr>
          <w:p>
            <w:pPr>
              <w:spacing w:after="0"/>
              <w:rPr>
                <w:sz w:val="8"/>
                <w:szCs w:val="8"/>
                <w:color w:val="auto"/>
              </w:rPr>
            </w:pPr>
          </w:p>
        </w:tc>
        <w:tc>
          <w:tcPr>
            <w:tcW w:w="56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7480" w:type="dxa"/>
            <w:vAlign w:val="bottom"/>
            <w:gridSpan w:val="5"/>
          </w:tcPr>
          <w:p>
            <w:pPr>
              <w:spacing w:after="0"/>
              <w:rPr>
                <w:sz w:val="20"/>
                <w:szCs w:val="20"/>
                <w:color w:val="auto"/>
              </w:rPr>
            </w:pPr>
            <w:r>
              <w:rPr>
                <w:rFonts w:ascii="Arial" w:cs="Arial" w:eastAsia="Arial" w:hAnsi="Arial"/>
                <w:sz w:val="18"/>
                <w:szCs w:val="18"/>
                <w:i w:val="1"/>
                <w:iCs w:val="1"/>
                <w:color w:val="auto"/>
              </w:rPr>
              <w:t xml:space="preserve">(1)   </w:t>
            </w:r>
            <w:r>
              <w:rPr>
                <w:rFonts w:ascii="Arial" w:cs="Arial" w:eastAsia="Arial" w:hAnsi="Arial"/>
                <w:sz w:val="18"/>
                <w:szCs w:val="18"/>
                <w:color w:val="auto"/>
              </w:rPr>
              <w:t>See Note 7 for further information on integration payments.</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300" w:type="dxa"/>
            <w:vAlign w:val="bottom"/>
          </w:tcPr>
          <w:p>
            <w:pPr>
              <w:spacing w:after="0"/>
              <w:rPr>
                <w:sz w:val="24"/>
                <w:szCs w:val="24"/>
                <w:color w:val="auto"/>
              </w:rPr>
            </w:pPr>
          </w:p>
        </w:tc>
        <w:tc>
          <w:tcPr>
            <w:tcW w:w="10800" w:type="dxa"/>
            <w:vAlign w:val="bottom"/>
            <w:gridSpan w:val="15"/>
          </w:tcPr>
          <w:p>
            <w:pPr>
              <w:ind w:left="160"/>
              <w:spacing w:after="0"/>
              <w:rPr>
                <w:sz w:val="20"/>
                <w:szCs w:val="20"/>
                <w:color w:val="auto"/>
              </w:rPr>
            </w:pPr>
            <w:r>
              <w:rPr>
                <w:rFonts w:ascii="Arial" w:cs="Arial" w:eastAsia="Arial" w:hAnsi="Arial"/>
                <w:sz w:val="18"/>
                <w:szCs w:val="18"/>
                <w:color w:val="auto"/>
                <w:w w:val="88"/>
              </w:rPr>
              <w:t>For the years ended December 30, 2010, December 31, 2009 and January 1, 2009 the Company recorded amortization of $6.4 million, $2.9 million and</w:t>
            </w:r>
          </w:p>
        </w:tc>
        <w:tc>
          <w:tcPr>
            <w:tcW w:w="0" w:type="dxa"/>
            <w:vAlign w:val="bottom"/>
          </w:tcPr>
          <w:p>
            <w:pPr>
              <w:spacing w:after="0"/>
              <w:rPr>
                <w:sz w:val="1"/>
                <w:szCs w:val="1"/>
                <w:color w:val="auto"/>
              </w:rPr>
            </w:pPr>
          </w:p>
        </w:tc>
      </w:tr>
      <w:tr>
        <w:trPr>
          <w:trHeight w:val="222"/>
        </w:trPr>
        <w:tc>
          <w:tcPr>
            <w:tcW w:w="7480" w:type="dxa"/>
            <w:vAlign w:val="bottom"/>
            <w:gridSpan w:val="5"/>
          </w:tcPr>
          <w:p>
            <w:pPr>
              <w:spacing w:after="0"/>
              <w:rPr>
                <w:sz w:val="20"/>
                <w:szCs w:val="20"/>
                <w:color w:val="auto"/>
              </w:rPr>
            </w:pPr>
            <w:r>
              <w:rPr>
                <w:rFonts w:ascii="Arial" w:cs="Arial" w:eastAsia="Arial" w:hAnsi="Arial"/>
                <w:sz w:val="18"/>
                <w:szCs w:val="18"/>
                <w:color w:val="auto"/>
              </w:rPr>
              <w:t>$1.5 million, respectively.</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8060" w:type="dxa"/>
            <w:vAlign w:val="bottom"/>
            <w:gridSpan w:val="8"/>
          </w:tcPr>
          <w:p>
            <w:pPr>
              <w:ind w:left="160"/>
              <w:spacing w:after="0"/>
              <w:rPr>
                <w:sz w:val="20"/>
                <w:szCs w:val="20"/>
                <w:color w:val="auto"/>
              </w:rPr>
            </w:pPr>
            <w:r>
              <w:rPr>
                <w:rFonts w:ascii="Arial" w:cs="Arial" w:eastAsia="Arial" w:hAnsi="Arial"/>
                <w:sz w:val="18"/>
                <w:szCs w:val="18"/>
                <w:color w:val="auto"/>
                <w:w w:val="89"/>
              </w:rPr>
              <w:t>The estimated aggregate amortization expense for each of the five succeeding years is as follows (in millions):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00" w:type="dxa"/>
            <w:vAlign w:val="bottom"/>
          </w:tcPr>
          <w:p>
            <w:pPr>
              <w:spacing w:after="0"/>
              <w:rPr>
                <w:sz w:val="17"/>
                <w:szCs w:val="17"/>
                <w:color w:val="auto"/>
              </w:rPr>
            </w:pPr>
          </w:p>
        </w:tc>
        <w:tc>
          <w:tcPr>
            <w:tcW w:w="1540" w:type="dxa"/>
            <w:vAlign w:val="bottom"/>
            <w:gridSpan w:val="3"/>
            <w:vMerge w:val="restart"/>
          </w:tcPr>
          <w:p>
            <w:pPr>
              <w:spacing w:after="0"/>
              <w:rPr>
                <w:sz w:val="17"/>
                <w:szCs w:val="17"/>
                <w:color w:val="auto"/>
              </w:rPr>
            </w:pPr>
          </w:p>
        </w:tc>
        <w:tc>
          <w:tcPr>
            <w:tcW w:w="5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5640" w:type="dxa"/>
            <w:vAlign w:val="bottom"/>
            <w:shd w:val="clear" w:color="auto" w:fill="CCEEFF"/>
          </w:tcPr>
          <w:p>
            <w:pPr>
              <w:jc w:val="right"/>
              <w:ind w:right="5212"/>
              <w:spacing w:after="0"/>
              <w:rPr>
                <w:sz w:val="20"/>
                <w:szCs w:val="20"/>
                <w:color w:val="auto"/>
              </w:rPr>
            </w:pPr>
            <w:r>
              <w:rPr>
                <w:rFonts w:ascii="Arial" w:cs="Arial" w:eastAsia="Arial" w:hAnsi="Arial"/>
                <w:sz w:val="18"/>
                <w:szCs w:val="18"/>
                <w:color w:val="auto"/>
                <w:w w:val="79"/>
              </w:rPr>
              <w:t>2011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87"/>
              </w:rPr>
              <w:t>9.9</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540" w:type="dxa"/>
            <w:vAlign w:val="bottom"/>
            <w:gridSpan w:val="3"/>
          </w:tcPr>
          <w:p>
            <w:pPr>
              <w:spacing w:after="0"/>
              <w:rPr>
                <w:sz w:val="18"/>
                <w:szCs w:val="18"/>
                <w:color w:val="auto"/>
              </w:rPr>
            </w:pPr>
          </w:p>
        </w:tc>
        <w:tc>
          <w:tcPr>
            <w:tcW w:w="5640" w:type="dxa"/>
            <w:vAlign w:val="bottom"/>
          </w:tcPr>
          <w:p>
            <w:pPr>
              <w:jc w:val="right"/>
              <w:ind w:right="5212"/>
              <w:spacing w:after="0"/>
              <w:rPr>
                <w:sz w:val="20"/>
                <w:szCs w:val="20"/>
                <w:color w:val="auto"/>
              </w:rPr>
            </w:pPr>
            <w:r>
              <w:rPr>
                <w:rFonts w:ascii="Arial" w:cs="Arial" w:eastAsia="Arial" w:hAnsi="Arial"/>
                <w:sz w:val="18"/>
                <w:szCs w:val="18"/>
                <w:color w:val="auto"/>
                <w:w w:val="79"/>
              </w:rPr>
              <w:t>2012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tcPr>
          <w:p>
            <w:pPr>
              <w:jc w:val="right"/>
              <w:ind w:right="18"/>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540" w:type="dxa"/>
            <w:vAlign w:val="bottom"/>
            <w:gridSpan w:val="3"/>
          </w:tcPr>
          <w:p>
            <w:pPr>
              <w:spacing w:after="0"/>
              <w:rPr>
                <w:sz w:val="18"/>
                <w:szCs w:val="18"/>
                <w:color w:val="auto"/>
              </w:rPr>
            </w:pPr>
          </w:p>
        </w:tc>
        <w:tc>
          <w:tcPr>
            <w:tcW w:w="5640" w:type="dxa"/>
            <w:vAlign w:val="bottom"/>
            <w:shd w:val="clear" w:color="auto" w:fill="CCEEFF"/>
          </w:tcPr>
          <w:p>
            <w:pPr>
              <w:jc w:val="right"/>
              <w:ind w:right="5212"/>
              <w:spacing w:after="0"/>
              <w:rPr>
                <w:sz w:val="20"/>
                <w:szCs w:val="20"/>
                <w:color w:val="auto"/>
              </w:rPr>
            </w:pPr>
            <w:r>
              <w:rPr>
                <w:rFonts w:ascii="Arial" w:cs="Arial" w:eastAsia="Arial" w:hAnsi="Arial"/>
                <w:sz w:val="18"/>
                <w:szCs w:val="18"/>
                <w:color w:val="auto"/>
                <w:w w:val="79"/>
              </w:rPr>
              <w:t>2013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540" w:type="dxa"/>
            <w:vAlign w:val="bottom"/>
            <w:gridSpan w:val="3"/>
          </w:tcPr>
          <w:p>
            <w:pPr>
              <w:spacing w:after="0"/>
              <w:rPr>
                <w:sz w:val="18"/>
                <w:szCs w:val="18"/>
                <w:color w:val="auto"/>
              </w:rPr>
            </w:pPr>
          </w:p>
        </w:tc>
        <w:tc>
          <w:tcPr>
            <w:tcW w:w="5640" w:type="dxa"/>
            <w:vAlign w:val="bottom"/>
          </w:tcPr>
          <w:p>
            <w:pPr>
              <w:jc w:val="right"/>
              <w:ind w:right="5212"/>
              <w:spacing w:after="0"/>
              <w:rPr>
                <w:sz w:val="20"/>
                <w:szCs w:val="20"/>
                <w:color w:val="auto"/>
              </w:rPr>
            </w:pPr>
            <w:r>
              <w:rPr>
                <w:rFonts w:ascii="Arial" w:cs="Arial" w:eastAsia="Arial" w:hAnsi="Arial"/>
                <w:sz w:val="18"/>
                <w:szCs w:val="18"/>
                <w:color w:val="auto"/>
                <w:w w:val="79"/>
              </w:rPr>
              <w:t>2014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gridSpan w:val="3"/>
          </w:tcPr>
          <w:p>
            <w:pPr>
              <w:jc w:val="right"/>
              <w:ind w:right="18"/>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540" w:type="dxa"/>
            <w:vAlign w:val="bottom"/>
            <w:gridSpan w:val="3"/>
          </w:tcPr>
          <w:p>
            <w:pPr>
              <w:spacing w:after="0"/>
              <w:rPr>
                <w:sz w:val="18"/>
                <w:szCs w:val="18"/>
                <w:color w:val="auto"/>
              </w:rPr>
            </w:pPr>
          </w:p>
        </w:tc>
        <w:tc>
          <w:tcPr>
            <w:tcW w:w="5640" w:type="dxa"/>
            <w:vAlign w:val="bottom"/>
            <w:shd w:val="clear" w:color="auto" w:fill="CCEEFF"/>
          </w:tcPr>
          <w:p>
            <w:pPr>
              <w:jc w:val="right"/>
              <w:ind w:right="5212"/>
              <w:spacing w:after="0"/>
              <w:rPr>
                <w:sz w:val="20"/>
                <w:szCs w:val="20"/>
                <w:color w:val="auto"/>
              </w:rPr>
            </w:pPr>
            <w:r>
              <w:rPr>
                <w:rFonts w:ascii="Arial" w:cs="Arial" w:eastAsia="Arial" w:hAnsi="Arial"/>
                <w:sz w:val="18"/>
                <w:szCs w:val="18"/>
                <w:color w:val="auto"/>
                <w:w w:val="79"/>
              </w:rPr>
              <w:t>2015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8"/>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8"/>
        </w:trPr>
        <w:tc>
          <w:tcPr>
            <w:tcW w:w="300" w:type="dxa"/>
            <w:vAlign w:val="bottom"/>
          </w:tcPr>
          <w:p>
            <w:pPr>
              <w:spacing w:after="0"/>
              <w:rPr>
                <w:sz w:val="20"/>
                <w:szCs w:val="20"/>
                <w:color w:val="auto"/>
              </w:rPr>
            </w:pPr>
            <w:r>
              <w:rPr>
                <w:rFonts w:ascii="Arial" w:cs="Arial" w:eastAsia="Arial" w:hAnsi="Arial"/>
                <w:sz w:val="18"/>
                <w:szCs w:val="18"/>
                <w:b w:val="1"/>
                <w:bCs w:val="1"/>
                <w:color w:val="auto"/>
              </w:rPr>
              <w:t>6.</w:t>
            </w:r>
          </w:p>
        </w:tc>
        <w:tc>
          <w:tcPr>
            <w:tcW w:w="7180" w:type="dxa"/>
            <w:vAlign w:val="bottom"/>
            <w:gridSpan w:val="4"/>
          </w:tcPr>
          <w:p>
            <w:pPr>
              <w:ind w:left="160"/>
              <w:spacing w:after="0"/>
              <w:rPr>
                <w:sz w:val="20"/>
                <w:szCs w:val="20"/>
                <w:color w:val="auto"/>
              </w:rPr>
            </w:pPr>
            <w:r>
              <w:rPr>
                <w:rFonts w:ascii="Arial" w:cs="Arial" w:eastAsia="Arial" w:hAnsi="Arial"/>
                <w:sz w:val="18"/>
                <w:szCs w:val="18"/>
                <w:b w:val="1"/>
                <w:bCs w:val="1"/>
                <w:color w:val="auto"/>
              </w:rPr>
              <w:t>ACCRUED EXPENSES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gridSpan w:val="5"/>
          </w:tcPr>
          <w:p>
            <w:pPr>
              <w:jc w:val="center"/>
              <w:ind w:right="126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4"/>
              </w:rPr>
              <w:t>December 30,</w:t>
            </w:r>
          </w:p>
        </w:tc>
        <w:tc>
          <w:tcPr>
            <w:tcW w:w="820" w:type="dxa"/>
            <w:vAlign w:val="bottom"/>
          </w:tcPr>
          <w:p>
            <w:pPr>
              <w:spacing w:after="0"/>
              <w:rPr>
                <w:sz w:val="12"/>
                <w:szCs w:val="12"/>
                <w:color w:val="auto"/>
              </w:rPr>
            </w:pPr>
          </w:p>
        </w:tc>
        <w:tc>
          <w:tcPr>
            <w:tcW w:w="1920" w:type="dxa"/>
            <w:vAlign w:val="bottom"/>
            <w:gridSpan w:val="6"/>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2010</w:t>
            </w:r>
          </w:p>
        </w:tc>
        <w:tc>
          <w:tcPr>
            <w:tcW w:w="40" w:type="dxa"/>
            <w:vAlign w:val="bottom"/>
          </w:tcPr>
          <w:p>
            <w:pPr>
              <w:spacing w:after="0"/>
              <w:rPr>
                <w:sz w:val="14"/>
                <w:szCs w:val="14"/>
                <w:color w:val="auto"/>
              </w:rPr>
            </w:pPr>
          </w:p>
        </w:tc>
        <w:tc>
          <w:tcPr>
            <w:tcW w:w="82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6"/>
              </w:rPr>
              <w:t>(in millions)</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Make-good reserve</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00" w:type="dxa"/>
            <w:vAlign w:val="bottom"/>
            <w:gridSpan w:val="2"/>
          </w:tcPr>
          <w:p>
            <w:pPr>
              <w:spacing w:after="0"/>
              <w:rPr>
                <w:sz w:val="20"/>
                <w:szCs w:val="20"/>
                <w:color w:val="auto"/>
              </w:rPr>
            </w:pPr>
            <w:r>
              <w:rPr>
                <w:rFonts w:ascii="Arial" w:cs="Arial" w:eastAsia="Arial" w:hAnsi="Arial"/>
                <w:sz w:val="18"/>
                <w:szCs w:val="18"/>
                <w:color w:val="auto"/>
              </w:rPr>
              <w:t>Accrued interest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100" w:type="dxa"/>
            <w:vAlign w:val="bottom"/>
            <w:gridSpan w:val="2"/>
          </w:tcPr>
          <w:p>
            <w:pPr>
              <w:ind w:left="440"/>
              <w:spacing w:after="0"/>
              <w:rPr>
                <w:sz w:val="20"/>
                <w:szCs w:val="20"/>
                <w:color w:val="auto"/>
              </w:rPr>
            </w:pPr>
            <w:r>
              <w:rPr>
                <w:rFonts w:ascii="Arial" w:cs="Arial" w:eastAsia="Arial" w:hAnsi="Arial"/>
                <w:sz w:val="18"/>
                <w:szCs w:val="18"/>
                <w:color w:val="auto"/>
              </w:rPr>
              <w:t>Total accrued expenses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9"/>
                <w:szCs w:val="19"/>
                <w:color w:val="auto"/>
              </w:rPr>
            </w:pPr>
          </w:p>
        </w:tc>
        <w:tc>
          <w:tcPr>
            <w:tcW w:w="900" w:type="dxa"/>
            <w:vAlign w:val="bottom"/>
            <w:gridSpan w:val="2"/>
          </w:tcPr>
          <w:p>
            <w:pPr>
              <w:ind w:left="800"/>
              <w:spacing w:after="0"/>
              <w:rPr>
                <w:sz w:val="20"/>
                <w:szCs w:val="20"/>
                <w:color w:val="auto"/>
              </w:rPr>
            </w:pPr>
            <w:r>
              <w:rPr>
                <w:rFonts w:ascii="Arial" w:cs="Arial" w:eastAsia="Arial" w:hAnsi="Arial"/>
                <w:sz w:val="18"/>
                <w:szCs w:val="18"/>
                <w:color w:val="auto"/>
                <w:w w:val="79"/>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hanging="452"/>
        <w:spacing w:after="0"/>
        <w:tabs>
          <w:tab w:leader="none" w:pos="4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Pursuant to the ESAs, the Company makes monthly theatre access fee payments to the founding members, comprised of a payment per theatre attendee and a payment per digital screen with respect to the founding member theatres included in our network. The total theatre access fee to the founding members for the years ended December 30, 2010, December 31, 2009 and January 1, 2009 was $52.6 million, $52.7 million and $49.8 million, respectively.</w:t>
      </w:r>
    </w:p>
    <w:p>
      <w:pPr>
        <w:spacing w:after="0" w:line="107"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Under the ESAs, for the years ended December 30, 2010 and December 31, 2009, the founding members purchased 60 seconds of on-screen advertising time (with a right to purchase up to 90 seconds) from NCM LLC to satisfy their obligations under their beverage concessionaire agreements at a specified 30 second equivalent cost per thousand (“CPM”) impressions. For the year ended January 1, 2009, two of the founding members purchased 90 seconds and one purchased 60 seconds of on-screen advertising time under their beverage concessionaire agreement. The total revenue related to the beverage concessionaire agreements for the years ended December 30, 2010, December 31, 2009 and January 1, 2009 was $37.2 million, $36.3 million and $43.3 million, respectively. In addition, the Company made payments to the founding members for use of their screens and theatres for its Fathom Events businesses. These payments are at rates (percentage of event revenue) included in the ESAs based on the nature of the event. Payments to the founding members for these events totaled $7.3 million, $6.7 million, and $6.0 million for the years ended December 30, 2010, December 31, 2009 and January 1, 2009, respectively.</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63" w:right="259" w:bottom="1440" w:gutter="0" w:footer="0" w:header="0"/>
        </w:sectPr>
      </w:pPr>
    </w:p>
    <w:bookmarkStart w:id="135" w:name="page136"/>
    <w:bookmarkEnd w:id="135"/>
    <w:p>
      <w:pPr>
        <w:ind w:right="30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Also, pursuant to the terms of the NCM LLC Operating Agreement in place since the completion of the IPO, NCM LLC is required to make mandatory distributions on a proportionate basis to its members of available cash, as defined in the NCM LLC Operating Agreement, on a quarterly basis in arrears. Distributions for the years ended December 30, 2010, December 31, 2009, and January 1, 2009 are as follows (in millions):</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2010</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2009</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AMC</w:t>
            </w:r>
          </w:p>
        </w:tc>
        <w:tc>
          <w:tcPr>
            <w:tcW w:w="3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Cinemark</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NCM, Inc.</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18"/>
                <w:szCs w:val="18"/>
                <w:color w:val="auto"/>
              </w:rPr>
            </w:pP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8"/>
                <w:szCs w:val="18"/>
                <w:color w:val="auto"/>
              </w:rPr>
            </w:pPr>
          </w:p>
        </w:tc>
      </w:tr>
      <w:tr>
        <w:trPr>
          <w:trHeight w:val="27"/>
        </w:trPr>
        <w:tc>
          <w:tcPr>
            <w:tcW w:w="39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156.1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4"/>
              </w:rPr>
              <w:t>139.3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131.1</w:t>
            </w:r>
          </w:p>
        </w:tc>
        <w:tc>
          <w:tcPr>
            <w:tcW w:w="100" w:type="dxa"/>
            <w:vAlign w:val="bottom"/>
            <w:shd w:val="clear" w:color="auto" w:fill="CCEEFF"/>
          </w:tcPr>
          <w:p>
            <w:pPr>
              <w:spacing w:after="0"/>
              <w:rPr>
                <w:sz w:val="18"/>
                <w:szCs w:val="18"/>
                <w:color w:val="auto"/>
              </w:rPr>
            </w:pPr>
          </w:p>
        </w:tc>
      </w:tr>
      <w:tr>
        <w:trPr>
          <w:trHeight w:val="20"/>
        </w:trPr>
        <w:tc>
          <w:tcPr>
            <w:tcW w:w="39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available cash payment by NCM LLC to its founding members for the quarter ended December 30, 2010 of $25.7 million was included in amounts due to founding members at December 30, 2010 and will be made in the first quarter of 2011. The available cash payment by NCM LLC to its managing member for the quarter ended December 30, 2010 of $24.1 million was included in amounts due to managing member as of December 30, 2010 and will be made in the first quarter of 2011.</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January 26, 2006, AMC acquired the Loews Cineplex Entertainment Inc. (“AMC Loews”) theatre circuit. The Loews screen integration agreement, effective as of January 5, 2007 and amended and restated as of February 13, 2007, between NCM LLC and AMC, committed AMC to cause substantially all of the theatres it acquired as part of the Loews theatre circuit to be included in the NCM digital network in accordance with the ESAs on June 1, 2008. In accordance with the Loews screen integration agreement, prior to June 1, 2008 AMC paid the Company amounts based on an agreed-upon calculation to reflect cash amounts that approximated what NCM LLC would have generated if the Company sold on-screen advertising in the Loews theatre chain on an exclusive basis. These AMC Loews payments were made on a quarterly basis in arrears through May 31, 2008, with the exception of Star Theatres, which were paid through February 2009 in accordance with certain run-out provisions. For the years ended December 31, 2009 and January 1, 2009, the AMC Loews payment was $0.1 million and $4.7 million, respectively. The AMC Loews payment was recorded directly to NCM LLC’s members’ equity account.</w:t>
      </w:r>
    </w:p>
    <w:p>
      <w:pPr>
        <w:spacing w:after="0" w:line="118"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On April 30, 2008, Regal acquired Consolidated Theatres and NCM issued common membership units to Regal upon the closing of its acquisition in exchange for the right to exclusive access to the theatres. The Consolidated Theatres had a pre-existing advertising agreement and, as a result, Regal must make “integration” payments pursuant to the ESAs on a quarterly basis in arrears through mid-2011 in accordance with certain run-out provisions. For the years ended December 30, 2010, December 31, 2009 and January 1, 2009, the Consolidated Theatres payment was $3.9 million, $3.2 million and $2.8 million, respectively and represents a cash element of the consideration received for the common membership units issued. The Consolidated Theatres payment of $1.2 million for the quarter ended December 30, 2010 was included in amounts due from founding members at December 30, 2010 and will be received in the first quarter of 2011.</w:t>
      </w:r>
    </w:p>
    <w:p>
      <w:pPr>
        <w:spacing w:after="0" w:line="10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connection with AMC’s acquisition of Kerasotes, AMC reimbursed NCM LLC approximately $3.0 million for the net book value of NCM LLC capital expenditures invested in digital network technology within the acquired Kerasotes theatres prior to the acquisition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136" w:name="page137"/>
    <w:bookmarkEnd w:id="13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Amounts due to founding members at December 30, 2010 were comprised of the following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AMC</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Cinemark</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Regal</w:t>
            </w:r>
          </w:p>
        </w:tc>
        <w:tc>
          <w:tcPr>
            <w:tcW w:w="480" w:type="dxa"/>
            <w:vAlign w:val="bottom"/>
            <w:gridSpan w:val="2"/>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64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w w:val="94"/>
              </w:rPr>
              <w:t>$ 0.5</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$ 1.4</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640" w:type="dxa"/>
            <w:vAlign w:val="bottom"/>
            <w:gridSpan w:val="4"/>
          </w:tcPr>
          <w:p>
            <w:pPr>
              <w:jc w:val="right"/>
              <w:ind w:right="18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(0.5)</w:t>
            </w:r>
          </w:p>
        </w:tc>
        <w:tc>
          <w:tcPr>
            <w:tcW w:w="880" w:type="dxa"/>
            <w:vAlign w:val="bottom"/>
            <w:gridSpan w:val="4"/>
          </w:tcPr>
          <w:p>
            <w:pPr>
              <w:jc w:val="right"/>
              <w:ind w:right="420"/>
              <w:spacing w:after="0"/>
              <w:rPr>
                <w:sz w:val="20"/>
                <w:szCs w:val="20"/>
                <w:color w:val="auto"/>
              </w:rPr>
            </w:pPr>
            <w:r>
              <w:rPr>
                <w:rFonts w:ascii="Arial" w:cs="Arial" w:eastAsia="Arial" w:hAnsi="Arial"/>
                <w:sz w:val="18"/>
                <w:szCs w:val="18"/>
                <w:color w:val="auto"/>
              </w:rPr>
              <w:t>(0.0)</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40" w:type="dxa"/>
            <w:vAlign w:val="bottom"/>
            <w:gridSpan w:val="2"/>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vMerge w:val="continue"/>
          </w:tcPr>
          <w:p>
            <w:pPr>
              <w:spacing w:after="0"/>
              <w:rPr>
                <w:sz w:val="19"/>
                <w:szCs w:val="19"/>
                <w:color w:val="auto"/>
              </w:rPr>
            </w:pPr>
          </w:p>
        </w:tc>
        <w:tc>
          <w:tcPr>
            <w:tcW w:w="640" w:type="dxa"/>
            <w:vAlign w:val="bottom"/>
            <w:gridSpan w:val="4"/>
          </w:tcPr>
          <w:p>
            <w:pPr>
              <w:jc w:val="right"/>
              <w:ind w:right="240"/>
              <w:spacing w:after="0"/>
              <w:rPr>
                <w:sz w:val="20"/>
                <w:szCs w:val="20"/>
                <w:color w:val="auto"/>
              </w:rPr>
            </w:pPr>
            <w:r>
              <w:rPr>
                <w:rFonts w:ascii="Arial" w:cs="Arial" w:eastAsia="Arial" w:hAnsi="Arial"/>
                <w:sz w:val="18"/>
                <w:szCs w:val="18"/>
                <w:color w:val="auto"/>
                <w:w w:val="94"/>
              </w:rPr>
              <w:t>$ 8.8</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7.5</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8.9</w:t>
            </w:r>
          </w:p>
        </w:tc>
        <w:tc>
          <w:tcPr>
            <w:tcW w:w="46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25.2</w:t>
            </w:r>
          </w:p>
        </w:tc>
        <w:tc>
          <w:tcPr>
            <w:tcW w:w="0" w:type="dxa"/>
            <w:vAlign w:val="bottom"/>
          </w:tcPr>
          <w:p>
            <w:pPr>
              <w:spacing w:after="0"/>
              <w:rPr>
                <w:sz w:val="1"/>
                <w:szCs w:val="1"/>
                <w:color w:val="auto"/>
              </w:rPr>
            </w:pPr>
          </w:p>
        </w:tc>
      </w:tr>
      <w:tr>
        <w:trPr>
          <w:trHeight w:val="20"/>
        </w:trPr>
        <w:tc>
          <w:tcPr>
            <w:tcW w:w="722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840" w:type="dxa"/>
            <w:vAlign w:val="bottom"/>
            <w:gridSpan w:val="5"/>
          </w:tcPr>
          <w:p>
            <w:pPr>
              <w:spacing w:after="0"/>
              <w:rPr>
                <w:sz w:val="20"/>
                <w:szCs w:val="20"/>
                <w:color w:val="auto"/>
              </w:rPr>
            </w:pPr>
            <w:r>
              <w:rPr>
                <w:rFonts w:ascii="Arial" w:cs="Arial" w:eastAsia="Arial" w:hAnsi="Arial"/>
                <w:sz w:val="18"/>
                <w:szCs w:val="18"/>
                <w:color w:val="auto"/>
                <w:w w:val="95"/>
              </w:rPr>
              <w:t>Amounts due to founding members at December 31, 2009 were comprised of the following (in millions):</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2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AMC</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3"/>
              </w:rPr>
              <w:t>Cinemark</w:t>
            </w:r>
          </w:p>
        </w:tc>
        <w:tc>
          <w:tcPr>
            <w:tcW w:w="420" w:type="dxa"/>
            <w:vAlign w:val="bottom"/>
          </w:tcPr>
          <w:p>
            <w:pPr>
              <w:spacing w:after="0"/>
              <w:rPr>
                <w:sz w:val="24"/>
                <w:szCs w:val="24"/>
                <w:color w:val="auto"/>
              </w:rPr>
            </w:pPr>
          </w:p>
        </w:tc>
        <w:tc>
          <w:tcPr>
            <w:tcW w:w="42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4"/>
              </w:rPr>
              <w:t>Regal</w:t>
            </w:r>
          </w:p>
        </w:tc>
        <w:tc>
          <w:tcPr>
            <w:tcW w:w="46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4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$ 0.5</w:t>
            </w:r>
          </w:p>
        </w:tc>
        <w:tc>
          <w:tcPr>
            <w:tcW w:w="240" w:type="dxa"/>
            <w:vAlign w:val="bottom"/>
            <w:shd w:val="clear" w:color="auto" w:fill="CCEEFF"/>
          </w:tcPr>
          <w:p>
            <w:pPr>
              <w:spacing w:after="0"/>
              <w:rPr>
                <w:sz w:val="18"/>
                <w:szCs w:val="18"/>
                <w:color w:val="auto"/>
              </w:rPr>
            </w:pPr>
          </w:p>
        </w:tc>
        <w:tc>
          <w:tcPr>
            <w:tcW w:w="4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2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$ 0.5</w:t>
            </w:r>
          </w:p>
        </w:tc>
        <w:tc>
          <w:tcPr>
            <w:tcW w:w="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$ 1.4</w:t>
            </w: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640" w:type="dxa"/>
            <w:vAlign w:val="bottom"/>
            <w:gridSpan w:val="4"/>
          </w:tcPr>
          <w:p>
            <w:pPr>
              <w:jc w:val="right"/>
              <w:ind w:right="22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(0.5)</w:t>
            </w:r>
          </w:p>
        </w:tc>
        <w:tc>
          <w:tcPr>
            <w:tcW w:w="880" w:type="dxa"/>
            <w:vAlign w:val="bottom"/>
            <w:gridSpan w:val="4"/>
          </w:tcPr>
          <w:p>
            <w:pPr>
              <w:jc w:val="right"/>
              <w:ind w:right="400"/>
              <w:spacing w:after="0"/>
              <w:rPr>
                <w:sz w:val="20"/>
                <w:szCs w:val="20"/>
                <w:color w:val="auto"/>
              </w:rPr>
            </w:pPr>
            <w:r>
              <w:rPr>
                <w:rFonts w:ascii="Arial" w:cs="Arial" w:eastAsia="Arial" w:hAnsi="Arial"/>
                <w:sz w:val="18"/>
                <w:szCs w:val="18"/>
                <w:color w:val="auto"/>
              </w:rPr>
              <w:t>(0.5)</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40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420" w:type="dxa"/>
            <w:vAlign w:val="bottom"/>
            <w:shd w:val="clear" w:color="auto" w:fill="CCEEFF"/>
          </w:tcPr>
          <w:p>
            <w:pPr>
              <w:spacing w:after="0"/>
              <w:rPr>
                <w:sz w:val="18"/>
                <w:szCs w:val="18"/>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4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0" w:type="dxa"/>
            <w:vAlign w:val="bottom"/>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9"/>
              </w:rPr>
              <w:t>$ 9.9</w:t>
            </w:r>
          </w:p>
        </w:tc>
        <w:tc>
          <w:tcPr>
            <w:tcW w:w="240" w:type="dxa"/>
            <w:vAlign w:val="bottom"/>
          </w:tcPr>
          <w:p>
            <w:pPr>
              <w:spacing w:after="0"/>
              <w:rPr>
                <w:sz w:val="19"/>
                <w:szCs w:val="19"/>
                <w:color w:val="auto"/>
              </w:rPr>
            </w:pPr>
          </w:p>
        </w:tc>
        <w:tc>
          <w:tcPr>
            <w:tcW w:w="400" w:type="dxa"/>
            <w:vAlign w:val="bottom"/>
            <w:gridSpan w:val="3"/>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w:t>
            </w:r>
            <w:r>
              <w:rPr>
                <w:rFonts w:ascii="Arial" w:cs="Arial" w:eastAsia="Arial" w:hAnsi="Arial"/>
                <w:sz w:val="18"/>
                <w:szCs w:val="18"/>
                <w:u w:val="single" w:color="auto"/>
                <w:color w:val="auto"/>
              </w:rPr>
              <w:t>8</w:t>
            </w:r>
          </w:p>
        </w:tc>
        <w:tc>
          <w:tcPr>
            <w:tcW w:w="42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12.1</w:t>
            </w:r>
          </w:p>
        </w:tc>
        <w:tc>
          <w:tcPr>
            <w:tcW w:w="46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29.8</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years ended December 30, 2010, December 31, 2009 and January 1, 2009, AMC, Cinemark and Regal purchased $1.3 million, $1.9 million and $2.3 million respectively, of NCM LLC’s advertising inventory for their own use. The value of such purchases are calculated by reference to NCM LLC’s advertising rate card and included in advertising revenue.</w:t>
      </w:r>
    </w:p>
    <w:p>
      <w:pPr>
        <w:spacing w:after="0" w:line="140"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Included in selling and marketing costs and Fathom Events operating costs is $2.5 million, $2.1 million and $2.7 million for the years ended December 30, 2010, December 31, 2009 and January 1, 2009 respectively, related to purchases of movie tickets and concession products from the founding members primarily for marketing to NCM LLC’s advertising clients and marketing resale to Fathom Business customers.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 Party Affiliates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2009, NCM LLC entered into a digital content agreement and a Fathom agreement with LA Live Cinemas LLC (“LA Live”), an affiliate of Regal, for NCM LLC to provide in-theatre advertising and Fathom Events services to LA Live in its theatre complex. The affiliate agreement was entered into at terms that are similar to those of our other advertising affiliates. LA Live joined the NCM LLC advertising network during the fourth quarter of 2009. Included in advertising operating costs and Fathom Events operating costs is $0.1 million for the year ended December 30, 2010, for payments made to the affiliate under the agreement. As of December 30, 2010 approximately $0.1 million is included in accounts payable for amounts due to LA Live under the agreement.</w:t>
      </w:r>
    </w:p>
    <w:p>
      <w:pPr>
        <w:spacing w:after="0" w:line="1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During 2009, NCM LLC entered into a network affiliate agreement with Starplex Operating L.P. (“Starplex”), an affiliate of Cinemark, for NCM LLC to provide in-theatre advertising services to Starplex in its theatre locations. The affiliate agreement was entered into at terms that are similar to those of our other advertising affiliates. Starplex joined the NCM LLC advertising network in the first quarter of 2010. Included in advertising operating costs is $1.3 million for the year ended December 30, 2010, for payments made to the affiliate under the agreement. As of December 30, 2010, approximately $0.5 million is included in accounts payable for amounts due to Starplex under the agreement.</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Unit Membership Redemption</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NCM LLC Operating Agreement provides a redemption right of the founding members to exchange common membership units of NCM LLC for shares of the Company’s common stock on a one-for-one basis, or at the Company’s option, a cash payment equal to the market price of one share of NCM, Inc. common stock. During the third quarter of 2010, AMC and Regal exercised the redemption right of an aggregate 10,955,471 common membership units, whereby AMC and Regal surrendered 6,655,193 and 4,300,278 common membership units to NCM LLC for cancellation, respectively. The Company contributed an aggregate 10,955,471 shares of its common stock to NCM LLC in exchange for a like number of newly issued common membership units. NCM LLC then distributed the shares of common stock to AMC and Regal to complete the redemptions. Such redemptions took place immediately prior to the closing of the underwritten public offering and the subsequent closing of the overallotment option; in each case the NCM, Inc. common stock was sold at a price to the public of $16.00 per share by AMC and Regal. NCM, Inc. did not receive any proceeds from the sale of its common stock by AMC and Regal. Pursuant to ASC 810-10-45, the Company accounted for the change in its ownership interest in NCM LLC as an equity transaction and no gain or loss was recognized in net income.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37" w:name="page138"/>
    <w:bookmarkEnd w:id="137"/>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National CineMedia, Inc.</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Pursuant to the NCM LLC Operating Agreement, as the sole manager of NCM LLC, NCM, Inc. provides certain specific management services to NCM LLC, including those services of the positions of president and chief executive officer, president of sales and chief marketing officer, executive vice president and chief financial officer, executive vice president and chief operations officer and executive vice president and general counsel. In exchange for the services, NCM LLC reimburses NCM, Inc. for compensation and other expenses of the officers and for certain out-of-pocket costs. During the years ended December 30, 2010, December 31, 2009 and January 1, 2009, NCM LLC paid NCM, Inc. $16.6 million, $10.8 million and $9.7 million, respectively, for these services and expenses. The payments for estimated management services related to employment are made one month in advance. At December 30, 2010 and December 31, 2009, $0.8 million and $0.6 million, respectively, has been paid in advance and is reflected as prepaid management fees to managing member in the accompanying financial statements. NCM LLC also provides administrative and support services to NCM, Inc. such as office facilities, equipment, supplies, payroll and accounting and financial reporting at no charge. Based on the limited activities of NCM, Inc. as a standalone entity, the Company does not believe such unreimbursed costs are significant. The management services agreement also provides that NCM LLC employees may participate in the NCM, Inc. equity incentive plan (see Note 9).</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to/from managing member were comprised of the following (in millions):</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80"/>
              <w:spacing w:after="0"/>
              <w:rPr>
                <w:sz w:val="20"/>
                <w:szCs w:val="20"/>
                <w:color w:val="auto"/>
              </w:rPr>
            </w:pPr>
            <w:r>
              <w:rPr>
                <w:rFonts w:ascii="Arial" w:cs="Arial" w:eastAsia="Arial" w:hAnsi="Arial"/>
                <w:sz w:val="14"/>
                <w:szCs w:val="14"/>
                <w:b w:val="1"/>
                <w:bCs w:val="1"/>
                <w:color w:val="auto"/>
                <w:w w:val="97"/>
              </w:rPr>
              <w:t>As of</w:t>
            </w: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w:t>
            </w:r>
          </w:p>
        </w:tc>
      </w:tr>
      <w:tr>
        <w:trPr>
          <w:trHeight w:val="149"/>
        </w:trPr>
        <w:tc>
          <w:tcPr>
            <w:tcW w:w="4120" w:type="dxa"/>
            <w:vAlign w:val="bottom"/>
          </w:tcPr>
          <w:p>
            <w:pPr>
              <w:spacing w:after="0"/>
              <w:rPr>
                <w:sz w:val="12"/>
                <w:szCs w:val="12"/>
                <w:color w:val="auto"/>
              </w:rPr>
            </w:pPr>
          </w:p>
        </w:tc>
        <w:tc>
          <w:tcPr>
            <w:tcW w:w="2780" w:type="dxa"/>
            <w:vAlign w:val="bottom"/>
            <w:gridSpan w:val="3"/>
          </w:tcPr>
          <w:p>
            <w:pPr>
              <w:ind w:left="1980"/>
              <w:spacing w:after="0" w:line="149" w:lineRule="exact"/>
              <w:rPr>
                <w:sz w:val="20"/>
                <w:szCs w:val="20"/>
                <w:color w:val="auto"/>
              </w:rPr>
            </w:pPr>
            <w:r>
              <w:rPr>
                <w:rFonts w:ascii="Arial" w:cs="Arial" w:eastAsia="Arial" w:hAnsi="Arial"/>
                <w:sz w:val="14"/>
                <w:szCs w:val="14"/>
                <w:b w:val="1"/>
                <w:bCs w:val="1"/>
                <w:color w:val="auto"/>
                <w:w w:val="85"/>
              </w:rPr>
              <w:t>December 30,</w:t>
            </w:r>
          </w:p>
        </w:tc>
        <w:tc>
          <w:tcPr>
            <w:tcW w:w="1780" w:type="dxa"/>
            <w:vAlign w:val="bottom"/>
            <w:gridSpan w:val="4"/>
          </w:tcPr>
          <w:p>
            <w:pPr>
              <w:ind w:left="880"/>
              <w:spacing w:after="0" w:line="149" w:lineRule="exact"/>
              <w:rPr>
                <w:sz w:val="20"/>
                <w:szCs w:val="20"/>
                <w:color w:val="auto"/>
              </w:rPr>
            </w:pPr>
            <w:r>
              <w:rPr>
                <w:rFonts w:ascii="Arial" w:cs="Arial" w:eastAsia="Arial" w:hAnsi="Arial"/>
                <w:sz w:val="14"/>
                <w:szCs w:val="14"/>
                <w:b w:val="1"/>
                <w:bCs w:val="1"/>
                <w:color w:val="auto"/>
                <w:w w:val="96"/>
              </w:rPr>
              <w:t>December 31,</w:t>
            </w:r>
          </w:p>
        </w:tc>
      </w:tr>
      <w:tr>
        <w:trPr>
          <w:trHeight w:val="161"/>
        </w:trPr>
        <w:tc>
          <w:tcPr>
            <w:tcW w:w="41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2010</w:t>
            </w:r>
          </w:p>
        </w:tc>
        <w:tc>
          <w:tcPr>
            <w:tcW w:w="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216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18"/>
                <w:szCs w:val="18"/>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19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8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r>
      <w:tr>
        <w:trPr>
          <w:trHeight w:val="216"/>
        </w:trPr>
        <w:tc>
          <w:tcPr>
            <w:tcW w:w="41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160" w:type="dxa"/>
            <w:vAlign w:val="bottom"/>
            <w:gridSpan w:val="2"/>
            <w:shd w:val="clear" w:color="auto" w:fill="CCEEFF"/>
          </w:tcPr>
          <w:p>
            <w:pPr>
              <w:ind w:left="19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18"/>
                <w:szCs w:val="18"/>
                <w:color w:val="auto"/>
              </w:rPr>
            </w:pPr>
          </w:p>
        </w:tc>
      </w:tr>
      <w:tr>
        <w:trPr>
          <w:trHeight w:val="20"/>
        </w:trPr>
        <w:tc>
          <w:tcPr>
            <w:tcW w:w="4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BORROWINGS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On February 13, 2007, concurrently with the closing of the IPO of NCM, Inc., NCM LLC entered into a senior secured credit facility with a group of lenders. The facility consists of a six-year $80.0 million revolving credit facility and an eight-year, $725.0 million term loan facility. The revolving credit facility portion is available, subject to certain conditions, for general corporate purposes of the Company in the ordinary course of business and for other transactions permitted under the credit agreement, and a portion is available for letters of credit.</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outstanding balance of the term loan facility at December 30, 2010 and December 31, 2009 was $725.0 million. The outstanding balance under the revolving credit facility at December 30, 2010 and December 31, 2009 was $50.0 million and $74.0 million, respectively. As of December 30, 2010, the effective rate on the term loan was 5.61% including the effect of the interest rate swaps (both those accounted for as hedges and those that are not). The interest rate swaps hedged $550.0 million of the $725.0 million term loan at a fixed interest rate of 6.734% while the unhedged portion was at an interest rate of 2.06%. The weighted-average interest rate on the unhedged revolver was 2.01%. Commencing with the fourth fiscal quarter in fiscal year 2009, the applicable margin for the revolving credit facility is determined quarterly and is subject to adjustment based upon a net senior secured leverage ratio for NCM LLC and its subsidiaries (the ratio of secured funded debt less unrestricted cash and cash equivalents, over a non-GAAP measure defined in the credit agreement). The senior secured credit facility also contains a number of covenants and financial ratio requirements, with which the Company was in compliance at December 30, 2010, including the net senior secured leverage ratio. There are no distribution restrictions as long as the Company is in compliance with its debt covenants. As of December 30, 2010, its net senior secured leverage ratio was 3.5 times the covenant. The debt covenants also require 50% of the term loan, or $362.5 million to be hedged at a fixed rate. As of December 30, 2010, the Company had approximately $550 million or 76% hedged. Of the $550.0 million that is hedged, $137.5 million was transferred from Lehman Brothers Special Financing (“LBSF”) to Barclays Bank PLC (“Barclays”) in February 2010. See Note 13 for an additional discussion of the interest rate swaps.</w:t>
      </w:r>
    </w:p>
    <w:p>
      <w:pPr>
        <w:spacing w:after="0" w:line="12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NCM LLC, Lehman Brothers Holdings Inc. (“Lehman”) and Barclays entered into an agreement in March 2010 whereby Lehman resigned its agency function and restructured its outstanding $14.0 million revolving credit loan. NCM LLC and the remaining revolving credit lenders consented to the appointment of Barclays as successor administrative agent and swing line lender under the credit agreement. Additionally, the revolving credit commitments of Lehman were reduced to zero and the aggregate revolving credit commitments were reduced to $66.0 million. The $14.0 million outstanding principal</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80" w:right="279" w:bottom="1440" w:gutter="0" w:footer="0" w:header="0"/>
        </w:sectPr>
      </w:pPr>
    </w:p>
    <w:bookmarkStart w:id="138" w:name="page139"/>
    <w:bookmarkEnd w:id="138"/>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the revolving credit loans held by Lehman will not be repaid in connection with any future prepayments of revolving credit loans, but rather Lehman’s share of the revolving credit facility will be paid in full by NCM LLC, along with any accrued and unpaid fees and interest, on the revolving credit termination date, February 13, 2013.</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On March 19, 2009, the Company gave an $8.5 million note payable to Credit Suisse, Cayman Islands Branch (“Credit Suisse”) with no stated interest to settle the $10.0 million contingent put obligation and to acquire the $20.7 million outstanding principal balance of debt of IdeaCast, Inc. (“IdeaCast”) (together with all accrued interest and other lender costs required to be reimbursed by IdeaCast). Quarterly payments to Credit Suisse began on April 15, 2009 and will continue through January 15, 2011. At issuance the Company recorded the note at a present value of $7.0 million. At December 30, 2010 and December 31, 2009, $1.2 million and $4.3 million, respectively, of the balance was recorded in current liabilities. Interest on the note is accreted at the Company’s estimated incremental cost of debt based on then current market indicators over the term of the loan to interest expense. The amount of interest expense recognized on the note for the years ended December 30, 2010 and December 31, 2009 was $0.5 million and $0.7 million, respectively.</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Future Maturities of Borrowings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scheduled annual maturities on the credit facility for the next five years as of December 30, 2010 are as follows (in millions);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725.0</w:t>
            </w:r>
          </w:p>
        </w:tc>
        <w:tc>
          <w:tcPr>
            <w:tcW w:w="100" w:type="dxa"/>
            <w:vAlign w:val="bottom"/>
            <w:shd w:val="clear" w:color="auto" w:fill="CCEEFF"/>
          </w:tcPr>
          <w:p>
            <w:pPr>
              <w:spacing w:after="0"/>
              <w:rPr>
                <w:sz w:val="18"/>
                <w:szCs w:val="18"/>
                <w:color w:val="auto"/>
              </w:rPr>
            </w:pPr>
          </w:p>
        </w:tc>
      </w:tr>
      <w:tr>
        <w:trPr>
          <w:trHeight w:val="222"/>
        </w:trPr>
        <w:tc>
          <w:tcPr>
            <w:tcW w:w="71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776.2</w:t>
            </w:r>
          </w:p>
        </w:tc>
        <w:tc>
          <w:tcPr>
            <w:tcW w:w="10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96" w:lineRule="exact"/>
        <w:rPr>
          <w:sz w:val="20"/>
          <w:szCs w:val="20"/>
          <w:color w:val="auto"/>
        </w:rPr>
      </w:pPr>
    </w:p>
    <w:p>
      <w:pPr>
        <w:ind w:right="240" w:firstLine="456"/>
        <w:spacing w:after="0" w:line="289" w:lineRule="auto"/>
        <w:rPr>
          <w:sz w:val="20"/>
          <w:szCs w:val="20"/>
          <w:color w:val="auto"/>
        </w:rPr>
      </w:pPr>
      <w:r>
        <w:rPr>
          <w:rFonts w:ascii="Arial" w:cs="Arial" w:eastAsia="Arial" w:hAnsi="Arial"/>
          <w:sz w:val="16"/>
          <w:szCs w:val="16"/>
          <w:color w:val="auto"/>
        </w:rPr>
        <w:t>At the date of the IPO, the Company adopted the NCM, Inc. 2007 Equity Incentive Plan. As of December 30, 2010, there were 7,076,000 shares of common stock available for issuance or delivery under the Equity Incentive Plan of which 1,690,186 remain available for grants as of December 30, 2010. Options awarded under the Equity Incentive Plan are granted with an exercise price equal to the market price of NCM, Inc. common stock on the date of the grant. Upon vesting of the awards, NCM LLC will issue common membership units to the Company equal to the number of shares of the Company’s common stock represented by such awards. Under the fair value recognition provisions of ASC 718, the Company recognizes stock-based compensation net of an estimated forfeiture rate, and therefore only recognizes stock-based compensation cost for those shares expected to vest over the requisite service period of the award. Options and non-vested restricted stock vest annually over a three or five-year period and options have either 10-year or 15-year contractual terms. A forfeiture rate of 5% was estimated to reflect the potential separation of employees.</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recognized expense, including equity based compensation costs of NCM, Inc. employees, is included in the operating results of NCM LLC. The Company recognized $7.0 million, $3.1 million and $2.1 million for the years ended December 30, 2010, December 31, 2009 and January 1, 2009, respectively, of share-based compensation expense for these options and $0.1 million were capitalized during each of the years ended December 30, 2010, December 31, 2009 and January 1, 2009, respectively. As of December 30, 2010, unrecognized compensation cost related to nonvested options was approximately $9.1 million, which will be recognized over a weighted average remaining period of 1.70 years.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weighted average grant date fair value of granted options was $4.84, $2.17 and $3.77 for the years ended December 30, 2010, December 31, 2009 and January 1, 2009, respectively. The intrinsic value of options exercised during the year was $2.2 million, $0.2 million and $0.2 million for the years ended December 30, 2010, December 31, 2009, and January 1, 2009, respectively. During the year ended December 30, 2010 there was $4.9 million of cash received on options exercised and an immaterial amount for the year December 31, 2009. The total fair value of awards vested during the years ended December 30, 2010 and December 31, 2009 was $3.2 million and $0.3 million, respectively.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39" w:name="page140"/>
    <w:bookmarkEnd w:id="139"/>
    <w:p>
      <w:pPr>
        <w:ind w:right="1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fair value of each option grant is estimated on the date of grant using the Black-Scholes option pricing model, which requires that the Company make estimates of various factors. The following assumptions were used in the valuation of the options: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5"/>
              </w:rPr>
              <w:t>Fiscal 2010</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4"/>
                <w:szCs w:val="14"/>
                <w:b w:val="1"/>
                <w:bCs w:val="1"/>
                <w:color w:val="auto"/>
                <w:w w:val="85"/>
              </w:rPr>
              <w:t>Fiscal 2009</w:t>
            </w:r>
          </w:p>
        </w:tc>
        <w:tc>
          <w:tcPr>
            <w:tcW w:w="12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Borders>
              <w:bottom w:val="single" w:sz="8" w:color="auto"/>
            </w:tcBorders>
            <w:gridSpan w:val="2"/>
          </w:tcPr>
          <w:p>
            <w:pPr>
              <w:jc w:val="center"/>
              <w:ind w:left="179"/>
              <w:spacing w:after="0"/>
              <w:rPr>
                <w:sz w:val="20"/>
                <w:szCs w:val="20"/>
                <w:color w:val="auto"/>
              </w:rPr>
            </w:pPr>
            <w:r>
              <w:rPr>
                <w:rFonts w:ascii="Arial" w:cs="Arial" w:eastAsia="Arial" w:hAnsi="Arial"/>
                <w:sz w:val="14"/>
                <w:szCs w:val="14"/>
                <w:b w:val="1"/>
                <w:bCs w:val="1"/>
                <w:color w:val="auto"/>
                <w:w w:val="85"/>
              </w:rPr>
              <w:t>Fiscal 2008</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6"/>
              </w:rPr>
              <w:t>6.0 years</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left="19"/>
              <w:spacing w:after="0"/>
              <w:rPr>
                <w:sz w:val="20"/>
                <w:szCs w:val="20"/>
                <w:color w:val="auto"/>
              </w:rPr>
            </w:pPr>
            <w:r>
              <w:rPr>
                <w:rFonts w:ascii="Arial" w:cs="Arial" w:eastAsia="Arial" w:hAnsi="Arial"/>
                <w:sz w:val="18"/>
                <w:szCs w:val="18"/>
                <w:color w:val="auto"/>
                <w:w w:val="86"/>
              </w:rPr>
              <w:t>6.5 years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left="179"/>
              <w:spacing w:after="0"/>
              <w:rPr>
                <w:sz w:val="20"/>
                <w:szCs w:val="20"/>
                <w:color w:val="auto"/>
              </w:rPr>
            </w:pPr>
            <w:r>
              <w:rPr>
                <w:rFonts w:ascii="Arial" w:cs="Arial" w:eastAsia="Arial" w:hAnsi="Arial"/>
                <w:sz w:val="18"/>
                <w:szCs w:val="18"/>
                <w:color w:val="auto"/>
                <w:w w:val="86"/>
              </w:rPr>
              <w:t>6.5 years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88"/>
              </w:rPr>
              <w:t>1.38% to 3.76%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color w:val="auto"/>
                <w:w w:val="89"/>
              </w:rPr>
              <w:t>2.23% to 3.70%</w:t>
            </w:r>
          </w:p>
        </w:tc>
        <w:tc>
          <w:tcPr>
            <w:tcW w:w="540" w:type="dxa"/>
            <w:vAlign w:val="bottom"/>
          </w:tcPr>
          <w:p>
            <w:pPr>
              <w:spacing w:after="0"/>
              <w:rPr>
                <w:sz w:val="18"/>
                <w:szCs w:val="18"/>
                <w:color w:val="auto"/>
              </w:rPr>
            </w:pPr>
          </w:p>
        </w:tc>
        <w:tc>
          <w:tcPr>
            <w:tcW w:w="1140" w:type="dxa"/>
            <w:vAlign w:val="bottom"/>
            <w:gridSpan w:val="5"/>
          </w:tcPr>
          <w:p>
            <w:pPr>
              <w:jc w:val="center"/>
              <w:spacing w:after="0"/>
              <w:rPr>
                <w:sz w:val="20"/>
                <w:szCs w:val="20"/>
                <w:color w:val="auto"/>
              </w:rPr>
            </w:pPr>
            <w:r>
              <w:rPr>
                <w:rFonts w:ascii="Arial" w:cs="Arial" w:eastAsia="Arial" w:hAnsi="Arial"/>
                <w:sz w:val="18"/>
                <w:szCs w:val="18"/>
                <w:color w:val="auto"/>
                <w:w w:val="89"/>
              </w:rPr>
              <w:t>3.74% to 4.09%</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2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8"/>
              </w:rPr>
              <w:t>39%</w:t>
            </w:r>
          </w:p>
        </w:tc>
        <w:tc>
          <w:tcPr>
            <w:tcW w:w="20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Dividend yield</w:t>
            </w: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89"/>
              </w:rPr>
              <w:t>3.8% to 4.0%</w:t>
            </w:r>
          </w:p>
        </w:tc>
        <w:tc>
          <w:tcPr>
            <w:tcW w:w="1580" w:type="dxa"/>
            <w:vAlign w:val="bottom"/>
            <w:gridSpan w:val="4"/>
          </w:tcPr>
          <w:p>
            <w:pPr>
              <w:jc w:val="right"/>
              <w:ind w:right="3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5540" w:type="dxa"/>
            <w:vAlign w:val="bottom"/>
            <w:gridSpan w:val="3"/>
          </w:tcPr>
          <w:p>
            <w:pPr>
              <w:spacing w:after="0"/>
              <w:rPr>
                <w:sz w:val="20"/>
                <w:szCs w:val="20"/>
                <w:color w:val="auto"/>
              </w:rPr>
            </w:pPr>
            <w:r>
              <w:rPr>
                <w:rFonts w:ascii="Arial" w:cs="Arial" w:eastAsia="Arial" w:hAnsi="Arial"/>
                <w:sz w:val="18"/>
                <w:szCs w:val="18"/>
                <w:color w:val="auto"/>
              </w:rPr>
              <w:t>Activity in the Equity Incentive Plan, as converted, is as follows: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center"/>
              <w:ind w:right="720"/>
              <w:spacing w:after="0"/>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24"/>
                <w:szCs w:val="24"/>
                <w:color w:val="auto"/>
              </w:rPr>
            </w:pPr>
          </w:p>
        </w:tc>
        <w:tc>
          <w:tcPr>
            <w:tcW w:w="680" w:type="dxa"/>
            <w:vAlign w:val="bottom"/>
            <w:gridSpan w:val="4"/>
          </w:tcPr>
          <w:p>
            <w:pPr>
              <w:spacing w:after="0"/>
              <w:rPr>
                <w:sz w:val="20"/>
                <w:szCs w:val="20"/>
                <w:color w:val="auto"/>
              </w:rPr>
            </w:pPr>
            <w:r>
              <w:rPr>
                <w:rFonts w:ascii="Arial" w:cs="Arial" w:eastAsia="Arial" w:hAnsi="Arial"/>
                <w:sz w:val="14"/>
                <w:szCs w:val="14"/>
                <w:b w:val="1"/>
                <w:bCs w:val="1"/>
                <w:color w:val="auto"/>
                <w:w w:val="95"/>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12"/>
                <w:szCs w:val="12"/>
                <w:color w:val="auto"/>
              </w:rPr>
            </w:pPr>
          </w:p>
        </w:tc>
        <w:tc>
          <w:tcPr>
            <w:tcW w:w="144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Average</w:t>
            </w:r>
          </w:p>
        </w:tc>
        <w:tc>
          <w:tcPr>
            <w:tcW w:w="20" w:type="dxa"/>
            <w:vAlign w:val="bottom"/>
          </w:tcPr>
          <w:p>
            <w:pPr>
              <w:spacing w:after="0"/>
              <w:rPr>
                <w:sz w:val="12"/>
                <w:szCs w:val="12"/>
                <w:color w:val="auto"/>
              </w:rPr>
            </w:pPr>
          </w:p>
        </w:tc>
        <w:tc>
          <w:tcPr>
            <w:tcW w:w="68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2"/>
                <w:szCs w:val="12"/>
                <w:color w:val="auto"/>
              </w:rPr>
            </w:pPr>
          </w:p>
        </w:tc>
        <w:tc>
          <w:tcPr>
            <w:tcW w:w="144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Remaining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Exercise</w:t>
            </w:r>
          </w:p>
        </w:tc>
        <w:tc>
          <w:tcPr>
            <w:tcW w:w="1560" w:type="dxa"/>
            <w:vAlign w:val="bottom"/>
            <w:gridSpan w:val="4"/>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Contractual Life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Shares</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Price</w:t>
            </w: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39"/>
              <w:spacing w:after="0"/>
              <w:rPr>
                <w:sz w:val="20"/>
                <w:szCs w:val="20"/>
                <w:color w:val="auto"/>
              </w:rPr>
            </w:pPr>
            <w:r>
              <w:rPr>
                <w:rFonts w:ascii="Arial" w:cs="Arial" w:eastAsia="Arial" w:hAnsi="Arial"/>
                <w:sz w:val="14"/>
                <w:szCs w:val="14"/>
                <w:b w:val="1"/>
                <w:bCs w:val="1"/>
                <w:color w:val="auto"/>
                <w:w w:val="89"/>
              </w:rPr>
              <w:t>(in years)</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6"/>
              </w:rPr>
              <w:t>millions)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3,126,560</w:t>
            </w:r>
          </w:p>
        </w:tc>
        <w:tc>
          <w:tcPr>
            <w:tcW w:w="15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$ 14.51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1,186,507</w:t>
            </w:r>
          </w:p>
        </w:tc>
        <w:tc>
          <w:tcPr>
            <w:tcW w:w="1580" w:type="dxa"/>
            <w:vAlign w:val="bottom"/>
            <w:gridSpan w:val="4"/>
          </w:tcPr>
          <w:p>
            <w:pPr>
              <w:jc w:val="right"/>
              <w:ind w:right="620"/>
              <w:spacing w:after="0"/>
              <w:rPr>
                <w:sz w:val="20"/>
                <w:szCs w:val="20"/>
                <w:color w:val="auto"/>
              </w:rPr>
            </w:pPr>
            <w:r>
              <w:rPr>
                <w:rFonts w:ascii="Arial" w:cs="Arial" w:eastAsia="Arial" w:hAnsi="Arial"/>
                <w:sz w:val="18"/>
                <w:szCs w:val="18"/>
                <w:color w:val="auto"/>
              </w:rPr>
              <w:t>17.62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(388,302)</w:t>
            </w:r>
          </w:p>
        </w:tc>
        <w:tc>
          <w:tcPr>
            <w:tcW w:w="15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12.64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(48,541)</w:t>
            </w:r>
          </w:p>
        </w:tc>
        <w:tc>
          <w:tcPr>
            <w:tcW w:w="1580" w:type="dxa"/>
            <w:vAlign w:val="bottom"/>
            <w:gridSpan w:val="4"/>
          </w:tcPr>
          <w:p>
            <w:pPr>
              <w:jc w:val="right"/>
              <w:ind w:right="620"/>
              <w:spacing w:after="0"/>
              <w:rPr>
                <w:sz w:val="20"/>
                <w:szCs w:val="20"/>
                <w:color w:val="auto"/>
              </w:rPr>
            </w:pPr>
            <w:r>
              <w:rPr>
                <w:rFonts w:ascii="Arial" w:cs="Arial" w:eastAsia="Arial" w:hAnsi="Arial"/>
                <w:sz w:val="18"/>
                <w:szCs w:val="18"/>
                <w:color w:val="auto"/>
              </w:rPr>
              <w:t>13.36</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December 30, 2010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3,876,224</w:t>
            </w:r>
          </w:p>
        </w:tc>
        <w:tc>
          <w:tcPr>
            <w:tcW w:w="15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$ 15.55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spacing w:after="0"/>
              <w:rPr>
                <w:sz w:val="20"/>
                <w:szCs w:val="20"/>
                <w:color w:val="auto"/>
              </w:rPr>
            </w:pPr>
            <w:r>
              <w:rPr>
                <w:rFonts w:ascii="Arial" w:cs="Arial" w:eastAsia="Arial" w:hAnsi="Arial"/>
                <w:sz w:val="18"/>
                <w:szCs w:val="18"/>
                <w:color w:val="auto"/>
              </w:rPr>
              <w:t>Exercisable at December 30, 2010</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1,030,120</w:t>
            </w:r>
          </w:p>
        </w:tc>
        <w:tc>
          <w:tcPr>
            <w:tcW w:w="1580" w:type="dxa"/>
            <w:vAlign w:val="bottom"/>
            <w:gridSpan w:val="4"/>
          </w:tcPr>
          <w:p>
            <w:pPr>
              <w:jc w:val="right"/>
              <w:ind w:right="620"/>
              <w:spacing w:after="0"/>
              <w:rPr>
                <w:sz w:val="20"/>
                <w:szCs w:val="20"/>
                <w:color w:val="auto"/>
              </w:rPr>
            </w:pPr>
            <w:r>
              <w:rPr>
                <w:rFonts w:ascii="Arial" w:cs="Arial" w:eastAsia="Arial" w:hAnsi="Arial"/>
                <w:sz w:val="18"/>
                <w:szCs w:val="18"/>
                <w:color w:val="auto"/>
              </w:rPr>
              <w:t>16.45</w:t>
            </w:r>
          </w:p>
        </w:tc>
        <w:tc>
          <w:tcPr>
            <w:tcW w:w="1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600" w:type="dxa"/>
            <w:vAlign w:val="bottom"/>
          </w:tcPr>
          <w:p>
            <w:pPr>
              <w:spacing w:after="0"/>
              <w:rPr>
                <w:sz w:val="18"/>
                <w:szCs w:val="18"/>
                <w:color w:val="auto"/>
              </w:rPr>
            </w:pPr>
          </w:p>
        </w:tc>
        <w:tc>
          <w:tcPr>
            <w:tcW w:w="120" w:type="dxa"/>
            <w:vAlign w:val="bottom"/>
            <w:gridSpan w:val="2"/>
          </w:tcPr>
          <w:p>
            <w:pPr>
              <w:ind w:left="2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 and Expected to Vest at December 30, 2010</w:t>
            </w: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3,839,382</w:t>
            </w:r>
          </w:p>
        </w:tc>
        <w:tc>
          <w:tcPr>
            <w:tcW w:w="158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15.55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summarizes information about the stock options at December 30, 2010, including the weighted average remaining contractual life and weighted average exercise price: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940" w:type="dxa"/>
            <w:vAlign w:val="bottom"/>
            <w:gridSpan w:val="4"/>
          </w:tcPr>
          <w:p>
            <w:pPr>
              <w:ind w:left="660"/>
              <w:spacing w:after="0"/>
              <w:rPr>
                <w:sz w:val="20"/>
                <w:szCs w:val="20"/>
                <w:color w:val="auto"/>
              </w:rPr>
            </w:pPr>
            <w:r>
              <w:rPr>
                <w:rFonts w:ascii="Arial" w:cs="Arial" w:eastAsia="Arial" w:hAnsi="Arial"/>
                <w:sz w:val="14"/>
                <w:szCs w:val="14"/>
                <w:b w:val="1"/>
                <w:bCs w:val="1"/>
                <w:color w:val="auto"/>
                <w:w w:val="90"/>
              </w:rPr>
              <w:t>Options Outstanding</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gridSpan w:val="5"/>
          </w:tcPr>
          <w:p>
            <w:pPr>
              <w:ind w:left="22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Number</w:t>
            </w:r>
          </w:p>
        </w:tc>
        <w:tc>
          <w:tcPr>
            <w:tcW w:w="3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5"/>
              </w:rPr>
              <w:t>Weighted</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0"/>
              </w:rPr>
              <w:t>Number</w:t>
            </w: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3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40" w:type="dxa"/>
            <w:vAlign w:val="bottom"/>
          </w:tcPr>
          <w:p>
            <w:pPr>
              <w:spacing w:after="0"/>
              <w:rPr>
                <w:sz w:val="12"/>
                <w:szCs w:val="12"/>
                <w:color w:val="auto"/>
              </w:rPr>
            </w:pPr>
          </w:p>
        </w:tc>
        <w:tc>
          <w:tcPr>
            <w:tcW w:w="8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Weighted</w:t>
            </w: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Exercisable</w:t>
            </w:r>
          </w:p>
        </w:tc>
        <w:tc>
          <w:tcPr>
            <w:tcW w:w="6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as of</w:t>
            </w:r>
          </w:p>
        </w:tc>
        <w:tc>
          <w:tcPr>
            <w:tcW w:w="3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Remaining</w:t>
            </w:r>
          </w:p>
        </w:tc>
        <w:tc>
          <w:tcPr>
            <w:tcW w:w="40" w:type="dxa"/>
            <w:vAlign w:val="bottom"/>
          </w:tcPr>
          <w:p>
            <w:pPr>
              <w:spacing w:after="0"/>
              <w:rPr>
                <w:sz w:val="12"/>
                <w:szCs w:val="12"/>
                <w:color w:val="auto"/>
              </w:rPr>
            </w:pPr>
          </w:p>
        </w:tc>
        <w:tc>
          <w:tcPr>
            <w:tcW w:w="8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Average</w:t>
            </w: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79"/>
              </w:rPr>
              <w:t>as of</w:t>
            </w:r>
          </w:p>
        </w:tc>
        <w:tc>
          <w:tcPr>
            <w:tcW w:w="6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Dec.</w:t>
            </w:r>
          </w:p>
        </w:tc>
        <w:tc>
          <w:tcPr>
            <w:tcW w:w="3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Life</w:t>
            </w:r>
          </w:p>
        </w:tc>
        <w:tc>
          <w:tcPr>
            <w:tcW w:w="40" w:type="dxa"/>
            <w:vAlign w:val="bottom"/>
          </w:tcPr>
          <w:p>
            <w:pPr>
              <w:spacing w:after="0"/>
              <w:rPr>
                <w:sz w:val="12"/>
                <w:szCs w:val="12"/>
                <w:color w:val="auto"/>
              </w:rPr>
            </w:pPr>
          </w:p>
        </w:tc>
        <w:tc>
          <w:tcPr>
            <w:tcW w:w="86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3"/>
              </w:rPr>
              <w:t>Exercise</w:t>
            </w: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Dec.</w:t>
            </w:r>
          </w:p>
        </w:tc>
        <w:tc>
          <w:tcPr>
            <w:tcW w:w="6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61"/>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w w:val="90"/>
              </w:rPr>
              <w:t>Range of Exercise Price</w:t>
            </w:r>
          </w:p>
        </w:tc>
        <w:tc>
          <w:tcPr>
            <w:tcW w:w="6180" w:type="dxa"/>
            <w:vAlign w:val="bottom"/>
            <w:gridSpan w:val="2"/>
          </w:tcPr>
          <w:p>
            <w:pPr>
              <w:jc w:val="center"/>
              <w:ind w:left="5336"/>
              <w:spacing w:after="0"/>
              <w:rPr>
                <w:sz w:val="20"/>
                <w:szCs w:val="20"/>
                <w:color w:val="auto"/>
              </w:rPr>
            </w:pPr>
            <w:r>
              <w:rPr>
                <w:rFonts w:ascii="Arial" w:cs="Arial" w:eastAsia="Arial" w:hAnsi="Arial"/>
                <w:sz w:val="14"/>
                <w:szCs w:val="14"/>
                <w:b w:val="1"/>
                <w:bCs w:val="1"/>
                <w:color w:val="auto"/>
                <w:w w:val="88"/>
              </w:rPr>
              <w:t>30, 2010</w:t>
            </w:r>
          </w:p>
        </w:tc>
        <w:tc>
          <w:tcPr>
            <w:tcW w:w="3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(in years)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Price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30, 2010</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$5.35-$10.41</w:t>
            </w:r>
          </w:p>
        </w:tc>
        <w:tc>
          <w:tcPr>
            <w:tcW w:w="5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908,640</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9.06</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175,554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$10.42-$16.66</w:t>
            </w:r>
          </w:p>
        </w:tc>
        <w:tc>
          <w:tcPr>
            <w:tcW w:w="6180" w:type="dxa"/>
            <w:vAlign w:val="bottom"/>
            <w:gridSpan w:val="2"/>
          </w:tcPr>
          <w:p>
            <w:pPr>
              <w:jc w:val="right"/>
              <w:spacing w:after="0"/>
              <w:rPr>
                <w:sz w:val="20"/>
                <w:szCs w:val="20"/>
                <w:color w:val="auto"/>
              </w:rPr>
            </w:pPr>
            <w:r>
              <w:rPr>
                <w:rFonts w:ascii="Arial" w:cs="Arial" w:eastAsia="Arial" w:hAnsi="Arial"/>
                <w:sz w:val="18"/>
                <w:szCs w:val="18"/>
                <w:color w:val="auto"/>
              </w:rPr>
              <w:t>1,250,143</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16.09</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578,485</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$16.67-$16.97</w:t>
            </w:r>
          </w:p>
        </w:tc>
        <w:tc>
          <w:tcPr>
            <w:tcW w:w="6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973,996</w:t>
            </w: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16.97</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$16.98-$19.43</w:t>
            </w:r>
          </w:p>
        </w:tc>
        <w:tc>
          <w:tcPr>
            <w:tcW w:w="6180" w:type="dxa"/>
            <w:vAlign w:val="bottom"/>
            <w:gridSpan w:val="2"/>
          </w:tcPr>
          <w:p>
            <w:pPr>
              <w:jc w:val="right"/>
              <w:spacing w:after="0"/>
              <w:rPr>
                <w:sz w:val="20"/>
                <w:szCs w:val="20"/>
                <w:color w:val="auto"/>
              </w:rPr>
            </w:pPr>
            <w:r>
              <w:rPr>
                <w:rFonts w:ascii="Arial" w:cs="Arial" w:eastAsia="Arial" w:hAnsi="Arial"/>
                <w:sz w:val="18"/>
                <w:szCs w:val="18"/>
                <w:color w:val="auto"/>
              </w:rPr>
              <w:t>383,079</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18.79</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73,330</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$19.44-$29.05</w:t>
            </w:r>
          </w:p>
        </w:tc>
        <w:tc>
          <w:tcPr>
            <w:tcW w:w="5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360,366</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22.74</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202,751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3,876,224</w:t>
            </w:r>
          </w:p>
        </w:tc>
        <w:tc>
          <w:tcPr>
            <w:tcW w:w="3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15.55</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1,030,120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420" w:type="dxa"/>
            <w:vAlign w:val="bottom"/>
            <w:vMerge w:val="restart"/>
          </w:tcPr>
          <w:p>
            <w:pPr>
              <w:jc w:val="right"/>
              <w:ind w:right="996"/>
              <w:spacing w:after="0"/>
              <w:rPr>
                <w:sz w:val="20"/>
                <w:szCs w:val="20"/>
                <w:color w:val="auto"/>
              </w:rPr>
            </w:pPr>
            <w:r>
              <w:rPr>
                <w:rFonts w:ascii="Arial" w:cs="Arial" w:eastAsia="Arial" w:hAnsi="Arial"/>
                <w:sz w:val="18"/>
                <w:szCs w:val="18"/>
                <w:color w:val="auto"/>
              </w:rPr>
              <w:t>18</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4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40" w:name="page141"/>
    <w:bookmarkEnd w:id="140"/>
    <w:p>
      <w:pPr>
        <w:ind w:right="20" w:firstLine="456"/>
        <w:spacing w:after="0" w:line="288"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Non-vested (Restricted) Stock</w:t>
      </w:r>
      <w:r>
        <w:rPr>
          <w:rFonts w:ascii="Arial" w:cs="Arial" w:eastAsia="Arial" w:hAnsi="Arial"/>
          <w:sz w:val="16"/>
          <w:szCs w:val="16"/>
          <w:color w:val="auto"/>
        </w:rPr>
        <w:t>—NCM, Inc. has a non-vested stock program as part of the Equity Incentive Plan. The plan provides for non-vested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to officers, board members and other key employees, including employees of NCM LLC. Under the non-vested stock program, common stock of NCM, Inc. may be granted at no cost to officers, board members and key employees, subject to a continued employment restriction and as such restrictions lapse, the award vests in that proportion. The participants are entitled to cash dividends from NCM, Inc. and to vote their respective shares, although the sale and transfer of such shares is prohibited and the shares are subject to forfeiture during the restricted period. Additionally the accrued cash dividend for the 2009 and 2010 grants are subject to forfeiture during the restricted period. The shares are also subject to the terms and provisions of the Equity Incentive Plan. Non-vested stock awards granted in 2010 include performance vesting conditions, which permit vesting to the extent that NCM, Inc. achieves specified non-GAAP targets at the end of the three-year period. Non-vested stock granted to non-employee directors vest after one year. Compensation cost is valued based on the market price on the grant date and is expensed over the vesting period.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represents the shares of non-vested stock:</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Average Grant-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6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6"/>
              </w:rPr>
              <w:t>Date 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Non-vested as of December 31, 2009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590,374</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429,585</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(8,011)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Vested</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(96,364)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Non-vested as of December 30, 2010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915,584</w:t>
            </w: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60" w:firstLine="456"/>
        <w:spacing w:after="0" w:line="301" w:lineRule="auto"/>
        <w:rPr>
          <w:sz w:val="20"/>
          <w:szCs w:val="20"/>
          <w:color w:val="auto"/>
        </w:rPr>
      </w:pPr>
      <w:r>
        <w:rPr>
          <w:rFonts w:ascii="Arial" w:cs="Arial" w:eastAsia="Arial" w:hAnsi="Arial"/>
          <w:sz w:val="15"/>
          <w:szCs w:val="15"/>
          <w:color w:val="auto"/>
        </w:rPr>
        <w:t>The recognized expense, including the equity based compensation costs of NCM, Inc. employees, is included in the operating results of NCM LLC. The Company recorded $7.0 million, $2.4 million and $1.3 million in compensation expense related to such outstanding non-vested shares during the years ended December 30, 2010, December 31, 2009 and January 1, 2009. Of the $7.0 million in compensation expense for the year ended December 30, 2010, $1.6 million was related to NCM, Inc.’s expected over performance of the specified non-GAAP targets for the 2009 and 2010 grants. During the year ended December 30, 2010 there was $0.1 million capitalized and an immaterial amount for the years ended December 31, 2009 and January 1, 2009. As of December 30, 2010, unrecognized compensation cost related to non-vested stock was approximately $11.2 million, which will be recognized over a weighted average remaining period of 1.82 years. The weighted average grant date fair value of non-vested stock was $17.24, $9.50 and $18.97 for the years ended December 30,</w:t>
      </w:r>
    </w:p>
    <w:p>
      <w:pPr>
        <w:spacing w:after="0" w:line="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2010, December 31, 2009 and January 1, 2009, respectively. The total fair value of awards vested was $1.6 million, $0.3 million and $2.1 million during the years ended December 30, 2010, December 31, 2009 and January 1, 2009.</w:t>
      </w:r>
    </w:p>
    <w:p>
      <w:pPr>
        <w:spacing w:after="0" w:line="253"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NCM LLC sponsors the NCM 401(k) Profit Sharing Plan (the “Plan”) under Section 401(k) of the Internal Revenue Code of 1986, as amended, for the benefit of substantially all full-time employees. The Plan provides that participants may contribute up to 20% of their compensation, subject to Internal Revenue Service limitations. Employee contributions are invested in various investment funds based upon election made by the employee. The recognized expense, including the discretionary contributions of NCM, Inc. employees, is included in the operating results of NCM LLC. The Company made discretionary contributions of $0.9 million, $0.8 million and $0.8 million during the years ended December 30, 2010, December 31, 2009 and January 1, 2009, respectively.</w:t>
      </w:r>
    </w:p>
    <w:p>
      <w:pPr>
        <w:spacing w:after="0" w:line="231" w:lineRule="exact"/>
        <w:rPr>
          <w:sz w:val="20"/>
          <w:szCs w:val="20"/>
          <w:color w:val="auto"/>
        </w:rPr>
      </w:pPr>
    </w:p>
    <w:p>
      <w:pPr>
        <w:ind w:left="460" w:right="7580" w:hanging="452"/>
        <w:spacing w:after="0" w:line="347" w:lineRule="auto"/>
        <w:tabs>
          <w:tab w:leader="none" w:pos="449"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Legal actions</w:t>
      </w:r>
    </w:p>
    <w:p>
      <w:pPr>
        <w:spacing w:after="0" w:line="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Company is subject to claims and legal actions in the ordinary course of business. The Company believes such claims will not have a material adverse effect on its financial position or results of operations.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Commitments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leases office facilities for its headquarters in Centennial, Colorado and also in various cities for its sales and marketing personnel as sales offices. The Company has no capital lease obligations. Total lease expense for the years ended December 30, 2010, December 31, 2009 and January 1, 2009, was $2.2 million, $2.3 million and $2.0 million, respectively.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41" w:name="page142"/>
    <w:bookmarkEnd w:id="14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Future minimum lease payments under noncancelable operating leases as of December 30, 2010 are as follows (in millions):</w:t>
      </w:r>
    </w:p>
    <w:p>
      <w:pPr>
        <w:spacing w:after="0" w:line="220"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2012</w:t>
            </w:r>
          </w:p>
        </w:tc>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2014</w:t>
            </w:r>
          </w:p>
        </w:tc>
        <w:tc>
          <w:tcPr>
            <w:tcW w:w="3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Thereafter</w:t>
            </w:r>
          </w:p>
        </w:tc>
        <w:tc>
          <w:tcPr>
            <w:tcW w:w="3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19.4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Contingent Put Obligation</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On April 29, 2008, NCM LLC, IdeaCast, the IdeaCast lender and certain of its stockholders agreed to a financial restructuring of IdeaCast. Among other things, the restructuring resulted in the lender being granted an option to “put,” or require NCM LLC to purchase, up to $10 million of the funded convertible debt at par, on or after December 31, 2010 through March 31, 2011. The put was accounted for under ASC 460-10 </w:t>
      </w:r>
      <w:r>
        <w:rPr>
          <w:rFonts w:ascii="Arial" w:cs="Arial" w:eastAsia="Arial" w:hAnsi="Arial"/>
          <w:sz w:val="16"/>
          <w:szCs w:val="16"/>
          <w:i w:val="1"/>
          <w:iCs w:val="1"/>
          <w:color w:val="auto"/>
        </w:rPr>
        <w:t>Guarantees</w:t>
      </w:r>
      <w:r>
        <w:rPr>
          <w:rFonts w:ascii="Arial" w:cs="Arial" w:eastAsia="Arial" w:hAnsi="Arial"/>
          <w:sz w:val="16"/>
          <w:szCs w:val="16"/>
          <w:color w:val="auto"/>
        </w:rPr>
        <w:t>. During the fourth quarter of 2008, the Company determined that the initial investment and call right in IdeaCast were other-than-temporarily impaired due to IdeaCast’s defaults on its senior debt and liquidity issues and that the put obligation was probable. The Company estimated a liability at January 1, 2009 of $4.5 million, which represented the excess of the estimated probable loss on the put (net of estimated recoveries from the net assets of IdeaCast that serve as collateral for the convertible debt) obligation over the unamortized ASC 460-10 liability. The total amount of the impairment and related loss recorded in the fourth quarter of 2008 was $11.5 million.</w:t>
      </w:r>
    </w:p>
    <w:p>
      <w:pPr>
        <w:spacing w:after="0" w:line="118"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March 19, 2009, NCM LLC, IdeaCast and IdeaCast’s lender agreed to certain transactions with respect to the IdeaCast Credit Agreement. Among other things, these agreements resulted in (i) the termination of the Put and the Call; (ii) the transfer, sale and assignment by IdeaCast’s lender to NCM LLC of all of its right, title and interest under the Credit Agreement, including without limitation the loans outstanding under the Credit Agreement; (iii) the resignation of IdeaCast’s lender, and the appointment of NCM LLC, as administrative agent and collateral agent under the Credit Agreement; and (iv) the delivery by NCM LLC to IdeaCast’s lender of a non-interest bearing promissory note in the amount of $8.5 million payable through January 2011. On June 16, 2009, NCM LLC’s interest in the Credit Agreement was assigned to NCM Out-Of-Home, LLC (“OOH”), which was a wholly-owned subsidiary of NCM LLC. OOH was also appointed as administrative agent and collateral agent under the Credit Agreement. On June 16, 2009, OOH, as IdeaCast’s senior secured lender, foreclosed on substantially all of the assets of IdeaCast, consisting of certain tangible and intangible assets (primarily equipment, business processes and contracts with health clubs and programming partners). The assets were valued at approximately $8.2 million. On June 29, 2009, NCM LLC transferred its ownership interest in OOH to RMG, a digital advertising company, in exchange for approximately 24% of the equity (excluding out-of-the-money warrants) of RMG on a fully diluted basis through a combination of convertible preferred stock, common stock and common stock warrants (refer to Note 2-Other Investment). The Company’s investment in RMG was valued at the fair value of the assets contributed.</w:t>
      </w: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Minimum Revenue Guarantees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part of the network affiliate agreements entered in the ordinary course of business under which the Company sells advertising for display in various theatre chains other than those of the founding members of NCM LLC, the Company has agreed to certain minimum revenue guarantees. If an affiliate achieves the attendance set forth in their respective agreement, the Company has guaranteed minimum revenue for the network affiliate per attendee if such amount paid under the revenue share arrangement is less than its guaranteed amount. The amount and term varies for each network affiliate, but initial terms range from two to five years, prior to any renewal periods. The maximum potential amount of future payments the Company could be required to make pursuant to the minimum revenue guarantees is $14.0 million over the remaining terms of the network affiliate agreements. As of December 30, 2010 and December 31, 2009 the Company had no liabilities recorded for these obligations as such guarantees are less than the expected share of revenue paid to the affiliate.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142" w:name="page143"/>
    <w:bookmarkEnd w:id="142"/>
    <w:p>
      <w:pPr>
        <w:jc w:val="both"/>
        <w:ind w:left="460" w:right="8300" w:hanging="452"/>
        <w:spacing w:after="0" w:line="417" w:lineRule="auto"/>
        <w:tabs>
          <w:tab w:leader="none" w:pos="449" w:val="left"/>
        </w:tabs>
        <w:numPr>
          <w:ilvl w:val="0"/>
          <w:numId w:val="89"/>
        </w:numPr>
        <w:rPr>
          <w:rFonts w:ascii="Arial" w:cs="Arial" w:eastAsia="Arial" w:hAnsi="Arial"/>
          <w:sz w:val="15"/>
          <w:szCs w:val="15"/>
          <w:b w:val="1"/>
          <w:bCs w:val="1"/>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FAIR VALUE MEASUREMENTS </w:t>
      </w:r>
      <w:r>
        <w:rPr>
          <w:rFonts w:ascii="Arial" w:cs="Arial" w:eastAsia="Arial" w:hAnsi="Arial"/>
          <w:sz w:val="15"/>
          <w:szCs w:val="15"/>
          <w:b w:val="1"/>
          <w:bCs w:val="1"/>
          <w:i w:val="1"/>
          <w:iCs w:val="1"/>
          <w:color w:val="auto"/>
        </w:rPr>
        <w:t>Fair Value of Financial Instruments</w:t>
      </w:r>
    </w:p>
    <w:p>
      <w:pPr>
        <w:spacing w:after="0" w:line="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carrying amounts of cash and cash equivalents and other notes payable as reported in the Company’s balance sheets approximate their fair value due to their short maturity. The carrying amount of the revolving credit facility is considered a reasonable estimate of fair value due to its floating-rate terms. The carrying amounts and fair values of interest rate swap agreements are the same since the Company accounts for these instruments at fair value. The Company has estimated the fair value of its term loan based on an average of three non-binding broker quotes and the Company’s analysis to be $713.3 million and $688.8 million at December 30, 2010 and December 31, 2009, respectively. The carrying value of the term loan was $725.0 million as of December 30, 2010 and December 31, 2009.</w:t>
      </w:r>
    </w:p>
    <w:p>
      <w:pPr>
        <w:spacing w:after="0" w:line="144"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fair value of the investment in RMG networks has not been estimated at December 30, 2010 as there were no monetary equity events or changes in circumstances that may have a significant adverse effect on the fair value of the investment, and as it is not practicable to do so because RMG is not a publicly traded company. The carrying amount of the Company’s investment was $6.7 million and $7.4 million as of December 30, 2010 and December 31, 2009, respectively. Refer to Note 2 —Other Investment.</w:t>
      </w:r>
    </w:p>
    <w:p>
      <w:pPr>
        <w:spacing w:after="0" w:line="143"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b w:val="1"/>
          <w:bCs w:val="1"/>
          <w:i w:val="1"/>
          <w:iCs w:val="1"/>
          <w:color w:val="auto"/>
        </w:rPr>
        <w:t>Recurring Measurements</w:t>
      </w:r>
      <w:r>
        <w:rPr>
          <w:rFonts w:ascii="Arial" w:cs="Arial" w:eastAsia="Arial" w:hAnsi="Arial"/>
          <w:sz w:val="18"/>
          <w:szCs w:val="18"/>
          <w:color w:val="auto"/>
        </w:rPr>
        <w:t>—The fair values of the Company’s assets and liabilities measured on a recurring basis pursuant to ASC 820-10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Measurements and Disclosures </w:t>
      </w:r>
      <w:r>
        <w:rPr>
          <w:rFonts w:ascii="Arial" w:cs="Arial" w:eastAsia="Arial" w:hAnsi="Arial"/>
          <w:sz w:val="18"/>
          <w:szCs w:val="18"/>
          <w:color w:val="auto"/>
        </w:rPr>
        <w:t>are as follows (in millions):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20" w:type="dxa"/>
            <w:vAlign w:val="bottom"/>
            <w:gridSpan w:val="8"/>
          </w:tcPr>
          <w:p>
            <w:pPr>
              <w:ind w:left="460"/>
              <w:spacing w:after="0"/>
              <w:rPr>
                <w:sz w:val="20"/>
                <w:szCs w:val="20"/>
                <w:color w:val="auto"/>
              </w:rPr>
            </w:pPr>
            <w:r>
              <w:rPr>
                <w:rFonts w:ascii="Arial" w:cs="Arial" w:eastAsia="Arial" w:hAnsi="Arial"/>
                <w:sz w:val="14"/>
                <w:szCs w:val="14"/>
                <w:b w:val="1"/>
                <w:bCs w:val="1"/>
                <w:color w:val="auto"/>
              </w:rPr>
              <w:t>Fair Value Measurements at Reporting Date Using</w:t>
            </w:r>
          </w:p>
        </w:tc>
      </w:tr>
      <w:tr>
        <w:trPr>
          <w:trHeight w:val="129"/>
        </w:trPr>
        <w:tc>
          <w:tcPr>
            <w:tcW w:w="4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86"/>
              </w:rPr>
              <w:t>Significant</w:t>
            </w:r>
          </w:p>
        </w:tc>
        <w:tc>
          <w:tcPr>
            <w:tcW w:w="3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4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6"/>
              </w:rPr>
              <w:t>Quoted Prices in</w:t>
            </w: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Other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Significant</w:t>
            </w:r>
          </w:p>
        </w:tc>
      </w:tr>
      <w:tr>
        <w:trPr>
          <w:trHeight w:val="149"/>
        </w:trPr>
        <w:tc>
          <w:tcPr>
            <w:tcW w:w="4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As of</w:t>
            </w:r>
          </w:p>
        </w:tc>
        <w:tc>
          <w:tcPr>
            <w:tcW w:w="176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9"/>
              </w:rPr>
              <w:t>Active Markets</w:t>
            </w: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Observable</w:t>
            </w:r>
          </w:p>
        </w:tc>
        <w:tc>
          <w:tcPr>
            <w:tcW w:w="32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Unobservable</w:t>
            </w:r>
          </w:p>
        </w:tc>
      </w:tr>
      <w:tr>
        <w:trPr>
          <w:trHeight w:val="149"/>
        </w:trPr>
        <w:tc>
          <w:tcPr>
            <w:tcW w:w="4860" w:type="dxa"/>
            <w:vAlign w:val="bottom"/>
          </w:tcPr>
          <w:p>
            <w:pPr>
              <w:spacing w:after="0"/>
              <w:rPr>
                <w:sz w:val="12"/>
                <w:szCs w:val="12"/>
                <w:color w:val="auto"/>
              </w:rPr>
            </w:pPr>
          </w:p>
        </w:tc>
        <w:tc>
          <w:tcPr>
            <w:tcW w:w="1500" w:type="dxa"/>
            <w:vAlign w:val="bottom"/>
            <w:gridSpan w:val="3"/>
          </w:tcPr>
          <w:p>
            <w:pPr>
              <w:jc w:val="center"/>
              <w:ind w:right="720"/>
              <w:spacing w:after="0" w:line="149" w:lineRule="exact"/>
              <w:rPr>
                <w:sz w:val="20"/>
                <w:szCs w:val="20"/>
                <w:color w:val="auto"/>
              </w:rPr>
            </w:pPr>
            <w:r>
              <w:rPr>
                <w:rFonts w:ascii="Arial" w:cs="Arial" w:eastAsia="Arial" w:hAnsi="Arial"/>
                <w:sz w:val="14"/>
                <w:szCs w:val="14"/>
                <w:b w:val="1"/>
                <w:bCs w:val="1"/>
                <w:color w:val="auto"/>
                <w:w w:val="85"/>
              </w:rPr>
              <w:t>December 30,</w:t>
            </w:r>
          </w:p>
        </w:tc>
        <w:tc>
          <w:tcPr>
            <w:tcW w:w="120" w:type="dxa"/>
            <w:vAlign w:val="bottom"/>
          </w:tcPr>
          <w:p>
            <w:pPr>
              <w:spacing w:after="0"/>
              <w:rPr>
                <w:sz w:val="12"/>
                <w:szCs w:val="12"/>
                <w:color w:val="auto"/>
              </w:rPr>
            </w:pPr>
          </w:p>
        </w:tc>
        <w:tc>
          <w:tcPr>
            <w:tcW w:w="16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0"/>
              </w:rPr>
              <w:t>for Identical</w:t>
            </w: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Inputs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Inputs</w:t>
            </w:r>
          </w:p>
        </w:tc>
      </w:tr>
      <w:tr>
        <w:trPr>
          <w:trHeight w:val="161"/>
        </w:trPr>
        <w:tc>
          <w:tcPr>
            <w:tcW w:w="4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3"/>
              </w:rPr>
              <w:t>2010</w:t>
            </w:r>
          </w:p>
        </w:tc>
        <w:tc>
          <w:tcPr>
            <w:tcW w:w="700" w:type="dxa"/>
            <w:vAlign w:val="bottom"/>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Assets (Level 1)</w:t>
            </w:r>
          </w:p>
        </w:tc>
        <w:tc>
          <w:tcPr>
            <w:tcW w:w="7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(Level 2)</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7"/>
              </w:rPr>
              <w:t>(Level 3)</w:t>
            </w:r>
          </w:p>
        </w:tc>
        <w:tc>
          <w:tcPr>
            <w:tcW w:w="100" w:type="dxa"/>
            <w:vAlign w:val="bottom"/>
          </w:tcPr>
          <w:p>
            <w:pPr>
              <w:spacing w:after="0"/>
              <w:rPr>
                <w:sz w:val="14"/>
                <w:szCs w:val="14"/>
                <w:color w:val="auto"/>
              </w:rPr>
            </w:pPr>
          </w:p>
        </w:tc>
      </w:tr>
      <w:tr>
        <w:trPr>
          <w:trHeight w:val="210"/>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Current Portion of Interest Rate Swap Agreements</w:t>
            </w: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860" w:type="dxa"/>
            <w:vAlign w:val="bottom"/>
          </w:tcPr>
          <w:p>
            <w:pPr>
              <w:jc w:val="right"/>
              <w:ind w:right="3912"/>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19"/>
                <w:szCs w:val="19"/>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0.0</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(25.3)</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r>
      <w:tr>
        <w:trPr>
          <w:trHeight w:val="217"/>
        </w:trPr>
        <w:tc>
          <w:tcPr>
            <w:tcW w:w="48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Rate Swap Agreements (1)</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0.0</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5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70.8)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0.0</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70.8)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i w:val="1"/>
          <w:iCs w:val="1"/>
          <w:color w:val="auto"/>
        </w:rPr>
        <w:t>(1)</w:t>
        <w:tab/>
        <w:t>Interest Rate Swap Agreements</w:t>
      </w:r>
      <w:r>
        <w:rPr>
          <w:rFonts w:ascii="Arial" w:cs="Arial" w:eastAsia="Arial" w:hAnsi="Arial"/>
          <w:sz w:val="18"/>
          <w:szCs w:val="18"/>
          <w:color w:val="auto"/>
        </w:rPr>
        <w:t>—Refer to Note 13.</w:t>
      </w:r>
    </w:p>
    <w:p>
      <w:pPr>
        <w:spacing w:after="0" w:line="287"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NCM LLC has interest rate swap agreements with four counterparties that, at their inception, qualified for and were designated as cash flow hedges against interest rate exposure on $550.0 million of the variable rate debt obligations under the senior secured credit facility. The interest rate swap agreements have the effect of converting a portion of the Company’s variable rate debt to a fixed rate of 6.734%. All interest rate swaps were entered into for risk management purposes. The Company has no derivatives for other purposes.</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Effective February 8, 2010, NCM LLC entered into a novation agreement with LBSF and Barclays whereby LBSF transferred to Barclays all the rights, liabilities, duties and obligations of NCM LLC’s interest rate swap agreement with LBSF with identical terms. NCM LLC accepted Barclays as its sole counterparty with respect to the new agreement. The term runs until February 13, 2015, subject to earlier termination upon the occurrence of certain specified events. Subject to the terms of the new agreement, NCM LLC or Barclays will make payments at specified intervals based on the variance between LIBOR and a fixed rate of 4.984% on a notional amount of $137.5 million. NCM LLC effectively pays a rate of 6.734% on this notional amount inclusive of the 1.75% margin currently required by NCM LLC’s credit agreement. The agreement with Barclays is secured by the assets of NCM LLC on a pari passu basis with the credit agreement and the other interest rates swaps that were entered into by NCM LLC. In consideration of LBSF entering into the transfer, NCM LLC agreed to pay to LBSF the full amount of interest rate swap payments withheld since LBSF’s default, aggregating $7.0 million, and an immaterial amount of penalty interest.</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Cash flow hedge accounting was discontinued on September 15, 2008 due to the event of default created by the bankruptcy of Lehman and the inability of the Company to continue to demonstrate the swap would be effective. The Company did not elect cash flow hedge accounting and the interest rate swap with Barclays is recorded at fair value with any change in the fair value recorded in the statement of operations. There was a $4.0 million increase, $8.3 million decrease and $13.8 million increase in the fair value of the liability for the years ended December 30, 2010, December 31, 2009 and January 1, 2009, respectively, which the Company recorded as a component of interest expense and other, net.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74" w:right="259" w:bottom="1440" w:gutter="0" w:footer="0" w:header="0"/>
        </w:sectPr>
      </w:pPr>
    </w:p>
    <w:bookmarkStart w:id="143" w:name="page144"/>
    <w:bookmarkEnd w:id="143"/>
    <w:p>
      <w:pPr>
        <w:ind w:right="18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net derivative loss as of September 14, 2008 related to the discontinued cash flow hedge with LBSF shall continue to be reported in accumulated other comprehensive income unless it is probable that the forecasted transaction will not occur by the end of the originally specified time period. Accordingly, the net derivative loss is being amortized to interest expense over the remaining term of the interest rate swap through February 13, 2015. The amount amortized during the years ended December 30, 2010, December 31, 2009 and January 1, 2009 were $1.3 million, $1.3 million and $0.4 million, respectively. The Company estimates approximately $1.3 million will be amortized to interest expense and other, net in the next 12 months.</w:t>
      </w:r>
    </w:p>
    <w:p>
      <w:pPr>
        <w:spacing w:after="0" w:line="144"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Both at inception and on an on-going basis the Company performs an effectiveness test using the hypothetical derivative method. The fair values of the interest rate swaps with the counterparties other than Barclays (representing notional amounts of $412.5 million associated with a like amount of the variable rate debt) are recorded on the Company’s balance sheet as a liability with the change in fair value recorded in other comprehensive income since the instruments were determined to be perfectly effective at December 30, 2010 and December 31, 2009. There were no amounts reclassified into current earnings due to ineffectiveness during the periods presented other than as described herein.</w:t>
      </w:r>
    </w:p>
    <w:p>
      <w:pPr>
        <w:spacing w:after="0" w:line="11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fair value of the Company’s interest rate swap is based on dealer quotes, and represents an estimate of the amount the Company would receive or pay to terminate the agreements taking into consideration various factors, including current interest rates and the forward yield curve for 3-month LIBOR.</w:t>
      </w:r>
    </w:p>
    <w:p>
      <w:pPr>
        <w:spacing w:after="0" w:line="8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As of December 30, 2010 and December 31, 2009, the estimated fair value and line item caption of derivative instruments recorded were as follows (in millions):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140" w:type="dxa"/>
            <w:vAlign w:val="bottom"/>
            <w:gridSpan w:val="4"/>
          </w:tcPr>
          <w:p>
            <w:pPr>
              <w:ind w:left="20"/>
              <w:spacing w:after="0"/>
              <w:rPr>
                <w:sz w:val="20"/>
                <w:szCs w:val="20"/>
                <w:color w:val="auto"/>
              </w:rPr>
            </w:pPr>
            <w:r>
              <w:rPr>
                <w:rFonts w:ascii="Arial" w:cs="Arial" w:eastAsia="Arial" w:hAnsi="Arial"/>
                <w:sz w:val="14"/>
                <w:szCs w:val="14"/>
                <w:b w:val="1"/>
                <w:bCs w:val="1"/>
                <w:color w:val="auto"/>
              </w:rPr>
              <w:t>Liability Derivatives</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84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8"/>
              </w:rPr>
              <w:t>As of December 30, 2010</w:t>
            </w:r>
          </w:p>
        </w:tc>
        <w:tc>
          <w:tcPr>
            <w:tcW w:w="30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 2009</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1360" w:type="dxa"/>
            <w:vAlign w:val="bottom"/>
          </w:tcPr>
          <w:p>
            <w:pPr>
              <w:ind w:left="280"/>
              <w:spacing w:after="0" w:line="129" w:lineRule="exact"/>
              <w:rPr>
                <w:sz w:val="20"/>
                <w:szCs w:val="20"/>
                <w:color w:val="auto"/>
              </w:rPr>
            </w:pPr>
            <w:r>
              <w:rPr>
                <w:rFonts w:ascii="Arial" w:cs="Arial" w:eastAsia="Arial" w:hAnsi="Arial"/>
                <w:sz w:val="14"/>
                <w:szCs w:val="14"/>
                <w:b w:val="1"/>
                <w:bCs w:val="1"/>
                <w:color w:val="auto"/>
              </w:rPr>
              <w:t>Balance Sheet</w:t>
            </w:r>
          </w:p>
        </w:tc>
        <w:tc>
          <w:tcPr>
            <w:tcW w:w="380" w:type="dxa"/>
            <w:vAlign w:val="bottom"/>
          </w:tcPr>
          <w:p>
            <w:pPr>
              <w:spacing w:after="0"/>
              <w:rPr>
                <w:sz w:val="11"/>
                <w:szCs w:val="11"/>
                <w:color w:val="auto"/>
              </w:rPr>
            </w:pPr>
          </w:p>
        </w:tc>
        <w:tc>
          <w:tcPr>
            <w:tcW w:w="4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Fair</w:t>
            </w:r>
          </w:p>
        </w:tc>
        <w:tc>
          <w:tcPr>
            <w:tcW w:w="400" w:type="dxa"/>
            <w:vAlign w:val="bottom"/>
          </w:tcPr>
          <w:p>
            <w:pPr>
              <w:spacing w:after="0"/>
              <w:rPr>
                <w:sz w:val="11"/>
                <w:szCs w:val="11"/>
                <w:color w:val="auto"/>
              </w:rPr>
            </w:pPr>
          </w:p>
        </w:tc>
        <w:tc>
          <w:tcPr>
            <w:tcW w:w="1340" w:type="dxa"/>
            <w:vAlign w:val="bottom"/>
          </w:tcPr>
          <w:p>
            <w:pPr>
              <w:ind w:left="280"/>
              <w:spacing w:after="0" w:line="129" w:lineRule="exact"/>
              <w:rPr>
                <w:sz w:val="20"/>
                <w:szCs w:val="20"/>
                <w:color w:val="auto"/>
              </w:rPr>
            </w:pPr>
            <w:r>
              <w:rPr>
                <w:rFonts w:ascii="Arial" w:cs="Arial" w:eastAsia="Arial" w:hAnsi="Arial"/>
                <w:sz w:val="14"/>
                <w:szCs w:val="14"/>
                <w:b w:val="1"/>
                <w:bCs w:val="1"/>
                <w:color w:val="auto"/>
              </w:rPr>
              <w:t>Balance Sheet</w:t>
            </w:r>
          </w:p>
        </w:tc>
        <w:tc>
          <w:tcPr>
            <w:tcW w:w="400" w:type="dxa"/>
            <w:vAlign w:val="bottom"/>
          </w:tcPr>
          <w:p>
            <w:pPr>
              <w:spacing w:after="0"/>
              <w:rPr>
                <w:sz w:val="11"/>
                <w:szCs w:val="11"/>
                <w:color w:val="auto"/>
              </w:rPr>
            </w:pPr>
          </w:p>
        </w:tc>
        <w:tc>
          <w:tcPr>
            <w:tcW w:w="4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3"/>
              </w:rPr>
              <w:t>Fair</w:t>
            </w: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360" w:type="dxa"/>
            <w:vAlign w:val="bottom"/>
          </w:tcPr>
          <w:p>
            <w:pPr>
              <w:ind w:left="420"/>
              <w:spacing w:after="0"/>
              <w:rPr>
                <w:sz w:val="20"/>
                <w:szCs w:val="20"/>
                <w:color w:val="auto"/>
              </w:rPr>
            </w:pPr>
            <w:r>
              <w:rPr>
                <w:rFonts w:ascii="Arial" w:cs="Arial" w:eastAsia="Arial" w:hAnsi="Arial"/>
                <w:sz w:val="14"/>
                <w:szCs w:val="14"/>
                <w:b w:val="1"/>
                <w:bCs w:val="1"/>
                <w:color w:val="auto"/>
              </w:rPr>
              <w:t>Location</w:t>
            </w:r>
          </w:p>
        </w:tc>
        <w:tc>
          <w:tcPr>
            <w:tcW w:w="380" w:type="dxa"/>
            <w:vAlign w:val="bottom"/>
          </w:tcPr>
          <w:p>
            <w:pPr>
              <w:spacing w:after="0"/>
              <w:rPr>
                <w:sz w:val="14"/>
                <w:szCs w:val="14"/>
                <w:color w:val="auto"/>
              </w:rPr>
            </w:pPr>
          </w:p>
        </w:tc>
        <w:tc>
          <w:tcPr>
            <w:tcW w:w="4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Value</w:t>
            </w:r>
          </w:p>
        </w:tc>
        <w:tc>
          <w:tcPr>
            <w:tcW w:w="400" w:type="dxa"/>
            <w:vAlign w:val="bottom"/>
          </w:tcPr>
          <w:p>
            <w:pPr>
              <w:spacing w:after="0"/>
              <w:rPr>
                <w:sz w:val="14"/>
                <w:szCs w:val="14"/>
                <w:color w:val="auto"/>
              </w:rPr>
            </w:pPr>
          </w:p>
        </w:tc>
        <w:tc>
          <w:tcPr>
            <w:tcW w:w="1340" w:type="dxa"/>
            <w:vAlign w:val="bottom"/>
          </w:tcPr>
          <w:p>
            <w:pPr>
              <w:ind w:left="420"/>
              <w:spacing w:after="0"/>
              <w:rPr>
                <w:sz w:val="20"/>
                <w:szCs w:val="20"/>
                <w:color w:val="auto"/>
              </w:rPr>
            </w:pPr>
            <w:r>
              <w:rPr>
                <w:rFonts w:ascii="Arial" w:cs="Arial" w:eastAsia="Arial" w:hAnsi="Arial"/>
                <w:sz w:val="14"/>
                <w:szCs w:val="14"/>
                <w:b w:val="1"/>
                <w:bCs w:val="1"/>
                <w:color w:val="auto"/>
              </w:rPr>
              <w:t>Location</w:t>
            </w:r>
          </w:p>
        </w:tc>
        <w:tc>
          <w:tcPr>
            <w:tcW w:w="400" w:type="dxa"/>
            <w:vAlign w:val="bottom"/>
          </w:tcPr>
          <w:p>
            <w:pPr>
              <w:spacing w:after="0"/>
              <w:rPr>
                <w:sz w:val="14"/>
                <w:szCs w:val="14"/>
                <w:color w:val="auto"/>
              </w:rPr>
            </w:pPr>
          </w:p>
        </w:tc>
        <w:tc>
          <w:tcPr>
            <w:tcW w:w="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Value</w:t>
            </w:r>
          </w:p>
        </w:tc>
      </w:tr>
      <w:tr>
        <w:trPr>
          <w:trHeight w:val="210"/>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 in cash flow hedges:</w:t>
            </w:r>
          </w:p>
        </w:tc>
        <w:tc>
          <w:tcPr>
            <w:tcW w:w="13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Current portion of interest rate swap agreements</w:t>
            </w:r>
          </w:p>
        </w:tc>
        <w:tc>
          <w:tcPr>
            <w:tcW w:w="1360" w:type="dxa"/>
            <w:vAlign w:val="bottom"/>
          </w:tcPr>
          <w:p>
            <w:pPr>
              <w:ind w:left="60"/>
              <w:spacing w:after="0"/>
              <w:rPr>
                <w:sz w:val="20"/>
                <w:szCs w:val="20"/>
                <w:color w:val="auto"/>
              </w:rPr>
            </w:pPr>
            <w:r>
              <w:rPr>
                <w:rFonts w:ascii="Arial" w:cs="Arial" w:eastAsia="Arial" w:hAnsi="Arial"/>
                <w:sz w:val="18"/>
                <w:szCs w:val="18"/>
                <w:color w:val="auto"/>
                <w:w w:val="92"/>
              </w:rPr>
              <w:t>Current Liabilities</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19.0</w:t>
            </w:r>
          </w:p>
        </w:tc>
        <w:tc>
          <w:tcPr>
            <w:tcW w:w="400" w:type="dxa"/>
            <w:vAlign w:val="bottom"/>
          </w:tcPr>
          <w:p>
            <w:pPr>
              <w:spacing w:after="0"/>
              <w:rPr>
                <w:sz w:val="18"/>
                <w:szCs w:val="18"/>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w w:val="90"/>
              </w:rPr>
              <w:t>Current Liabilities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79"/>
              </w:rPr>
              <w:t>18.3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Rate Swaps</w:t>
            </w:r>
          </w:p>
        </w:tc>
        <w:tc>
          <w:tcPr>
            <w:tcW w:w="1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Liabilities</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34.1</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Liabilities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interest rate swap agreements</w:t>
            </w:r>
          </w:p>
        </w:tc>
        <w:tc>
          <w:tcPr>
            <w:tcW w:w="1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Current Liabilities</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0"/>
              </w:rPr>
              <w:t>Current Liabilities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Interest Rate Swaps</w:t>
            </w:r>
          </w:p>
        </w:tc>
        <w:tc>
          <w:tcPr>
            <w:tcW w:w="1360" w:type="dxa"/>
            <w:vAlign w:val="bottom"/>
          </w:tcPr>
          <w:p>
            <w:pPr>
              <w:ind w:left="60"/>
              <w:spacing w:after="0"/>
              <w:rPr>
                <w:sz w:val="20"/>
                <w:szCs w:val="20"/>
                <w:color w:val="auto"/>
              </w:rPr>
            </w:pPr>
            <w:r>
              <w:rPr>
                <w:rFonts w:ascii="Arial" w:cs="Arial" w:eastAsia="Arial" w:hAnsi="Arial"/>
                <w:sz w:val="18"/>
                <w:szCs w:val="18"/>
                <w:color w:val="auto"/>
              </w:rPr>
              <w:t>Other Liabilities</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11.4</w:t>
            </w:r>
          </w:p>
        </w:tc>
        <w:tc>
          <w:tcPr>
            <w:tcW w:w="400" w:type="dxa"/>
            <w:vAlign w:val="bottom"/>
          </w:tcPr>
          <w:p>
            <w:pPr>
              <w:spacing w:after="0"/>
              <w:rPr>
                <w:sz w:val="19"/>
                <w:szCs w:val="19"/>
                <w:color w:val="auto"/>
              </w:rPr>
            </w:pPr>
          </w:p>
        </w:tc>
        <w:tc>
          <w:tcPr>
            <w:tcW w:w="1340" w:type="dxa"/>
            <w:vAlign w:val="bottom"/>
          </w:tcPr>
          <w:p>
            <w:pPr>
              <w:ind w:left="60"/>
              <w:spacing w:after="0"/>
              <w:rPr>
                <w:sz w:val="20"/>
                <w:szCs w:val="20"/>
                <w:color w:val="auto"/>
              </w:rPr>
            </w:pPr>
            <w:r>
              <w:rPr>
                <w:rFonts w:ascii="Arial" w:cs="Arial" w:eastAsia="Arial" w:hAnsi="Arial"/>
                <w:sz w:val="18"/>
                <w:szCs w:val="18"/>
                <w:color w:val="auto"/>
              </w:rPr>
              <w:t>Other Liabilities</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1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u w:val="single" w:color="auto"/>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70.8</w:t>
            </w: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54.6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effect of derivative instruments in cash flow hedge relationships on the financial statements for the years ended December 30, 2010, December 31, 2009 and January 1, 2009 were as follows (in millions):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380" w:type="dxa"/>
            <w:vAlign w:val="bottom"/>
            <w:tcBorders>
              <w:right w:val="single" w:sz="8" w:color="auto"/>
            </w:tcBorders>
            <w:gridSpan w:val="7"/>
          </w:tcPr>
          <w:p>
            <w:pPr>
              <w:jc w:val="center"/>
              <w:ind w:right="400"/>
              <w:spacing w:after="0"/>
              <w:rPr>
                <w:sz w:val="20"/>
                <w:szCs w:val="20"/>
                <w:color w:val="auto"/>
              </w:rPr>
            </w:pPr>
            <w:r>
              <w:rPr>
                <w:rFonts w:ascii="Arial" w:cs="Arial" w:eastAsia="Arial" w:hAnsi="Arial"/>
                <w:sz w:val="14"/>
                <w:szCs w:val="14"/>
                <w:b w:val="1"/>
                <w:bCs w:val="1"/>
                <w:color w:val="auto"/>
                <w:w w:val="88"/>
              </w:rPr>
              <w:t>Unrealized Gain (Loss)</w:t>
            </w:r>
          </w:p>
        </w:tc>
        <w:tc>
          <w:tcPr>
            <w:tcW w:w="180" w:type="dxa"/>
            <w:vAlign w:val="bottom"/>
          </w:tcPr>
          <w:p>
            <w:pPr>
              <w:spacing w:after="0"/>
              <w:rPr>
                <w:sz w:val="14"/>
                <w:szCs w:val="14"/>
                <w:color w:val="auto"/>
              </w:rPr>
            </w:pPr>
          </w:p>
        </w:tc>
        <w:tc>
          <w:tcPr>
            <w:tcW w:w="2020" w:type="dxa"/>
            <w:vAlign w:val="bottom"/>
            <w:gridSpan w:val="8"/>
          </w:tcPr>
          <w:p>
            <w:pPr>
              <w:jc w:val="center"/>
              <w:ind w:right="100"/>
              <w:spacing w:after="0"/>
              <w:rPr>
                <w:sz w:val="20"/>
                <w:szCs w:val="20"/>
                <w:color w:val="auto"/>
              </w:rPr>
            </w:pPr>
            <w:r>
              <w:rPr>
                <w:rFonts w:ascii="Arial" w:cs="Arial" w:eastAsia="Arial" w:hAnsi="Arial"/>
                <w:sz w:val="14"/>
                <w:szCs w:val="14"/>
                <w:b w:val="1"/>
                <w:bCs w:val="1"/>
                <w:color w:val="auto"/>
                <w:w w:val="87"/>
              </w:rPr>
              <w:t>Realized Gain (Loss)</w:t>
            </w:r>
          </w:p>
        </w:tc>
      </w:tr>
      <w:tr>
        <w:trPr>
          <w:trHeight w:val="149"/>
        </w:trPr>
        <w:tc>
          <w:tcPr>
            <w:tcW w:w="4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380" w:type="dxa"/>
            <w:vAlign w:val="bottom"/>
            <w:tcBorders>
              <w:right w:val="single" w:sz="8" w:color="auto"/>
            </w:tcBorders>
            <w:gridSpan w:val="7"/>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Recognized in NCM LLC’s</w:t>
            </w:r>
          </w:p>
        </w:tc>
        <w:tc>
          <w:tcPr>
            <w:tcW w:w="180" w:type="dxa"/>
            <w:vAlign w:val="bottom"/>
          </w:tcPr>
          <w:p>
            <w:pPr>
              <w:spacing w:after="0"/>
              <w:rPr>
                <w:sz w:val="12"/>
                <w:szCs w:val="12"/>
                <w:color w:val="auto"/>
              </w:rPr>
            </w:pPr>
          </w:p>
        </w:tc>
        <w:tc>
          <w:tcPr>
            <w:tcW w:w="2020" w:type="dxa"/>
            <w:vAlign w:val="bottom"/>
            <w:gridSpan w:val="8"/>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Recognized in Interest</w:t>
            </w:r>
          </w:p>
        </w:tc>
      </w:tr>
      <w:tr>
        <w:trPr>
          <w:trHeight w:val="161"/>
        </w:trPr>
        <w:tc>
          <w:tcPr>
            <w:tcW w:w="4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OCI (Pre-tax)</w:t>
            </w:r>
          </w:p>
        </w:tc>
        <w:tc>
          <w:tcPr>
            <w:tcW w:w="480" w:type="dxa"/>
            <w:vAlign w:val="bottom"/>
            <w:tcBorders>
              <w:bottom w:val="single" w:sz="8" w:color="auto"/>
            </w:tcBorders>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Borders>
              <w:bottom w:val="single" w:sz="8" w:color="auto"/>
            </w:tcBorders>
            <w:gridSpan w:val="5"/>
          </w:tcPr>
          <w:p>
            <w:pPr>
              <w:jc w:val="center"/>
              <w:ind w:left="330"/>
              <w:spacing w:after="0"/>
              <w:rPr>
                <w:sz w:val="20"/>
                <w:szCs w:val="20"/>
                <w:color w:val="auto"/>
              </w:rPr>
            </w:pPr>
            <w:r>
              <w:rPr>
                <w:rFonts w:ascii="Arial" w:cs="Arial" w:eastAsia="Arial" w:hAnsi="Arial"/>
                <w:sz w:val="14"/>
                <w:szCs w:val="14"/>
                <w:b w:val="1"/>
                <w:bCs w:val="1"/>
                <w:color w:val="auto"/>
                <w:w w:val="86"/>
              </w:rPr>
              <w:t>Expense (Pre-tax)</w:t>
            </w:r>
          </w:p>
        </w:tc>
        <w:tc>
          <w:tcPr>
            <w:tcW w:w="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1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5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Year</w:t>
            </w:r>
          </w:p>
        </w:tc>
        <w:tc>
          <w:tcPr>
            <w:tcW w:w="200" w:type="dxa"/>
            <w:vAlign w:val="bottom"/>
          </w:tcPr>
          <w:p>
            <w:pPr>
              <w:spacing w:after="0"/>
              <w:rPr>
                <w:sz w:val="11"/>
                <w:szCs w:val="11"/>
                <w:color w:val="auto"/>
              </w:rPr>
            </w:pPr>
          </w:p>
        </w:tc>
        <w:tc>
          <w:tcPr>
            <w:tcW w:w="74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5"/>
              </w:rPr>
              <w:t>Year</w:t>
            </w: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Year</w:t>
            </w:r>
          </w:p>
        </w:tc>
        <w:tc>
          <w:tcPr>
            <w:tcW w:w="4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2"/>
              </w:rPr>
              <w:t>Year</w:t>
            </w:r>
          </w:p>
        </w:tc>
        <w:tc>
          <w:tcPr>
            <w:tcW w:w="120" w:type="dxa"/>
            <w:vAlign w:val="bottom"/>
          </w:tcPr>
          <w:p>
            <w:pPr>
              <w:spacing w:after="0"/>
              <w:rPr>
                <w:sz w:val="11"/>
                <w:szCs w:val="11"/>
                <w:color w:val="auto"/>
              </w:rPr>
            </w:pPr>
          </w:p>
        </w:tc>
        <w:tc>
          <w:tcPr>
            <w:tcW w:w="74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5"/>
              </w:rPr>
              <w:t>Year</w:t>
            </w:r>
          </w:p>
        </w:tc>
        <w:tc>
          <w:tcPr>
            <w:tcW w:w="20" w:type="dxa"/>
            <w:vAlign w:val="bottom"/>
          </w:tcPr>
          <w:p>
            <w:pPr>
              <w:spacing w:after="0"/>
              <w:rPr>
                <w:sz w:val="11"/>
                <w:szCs w:val="11"/>
                <w:color w:val="auto"/>
              </w:rPr>
            </w:pPr>
          </w:p>
        </w:tc>
        <w:tc>
          <w:tcPr>
            <w:tcW w:w="4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2"/>
              </w:rPr>
              <w:t>Year</w:t>
            </w:r>
          </w:p>
        </w:tc>
        <w:tc>
          <w:tcPr>
            <w:tcW w:w="100" w:type="dxa"/>
            <w:vAlign w:val="bottom"/>
          </w:tcPr>
          <w:p>
            <w:pPr>
              <w:spacing w:after="0"/>
              <w:rPr>
                <w:sz w:val="11"/>
                <w:szCs w:val="11"/>
                <w:color w:val="auto"/>
              </w:rPr>
            </w:pPr>
          </w:p>
        </w:tc>
      </w:tr>
      <w:tr>
        <w:trPr>
          <w:trHeight w:val="149"/>
        </w:trPr>
        <w:tc>
          <w:tcPr>
            <w:tcW w:w="4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880" w:type="dxa"/>
            <w:vAlign w:val="bottom"/>
            <w:tcBorders>
              <w:right w:val="single" w:sz="8" w:color="auto"/>
            </w:tcBorders>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Ended</w:t>
            </w:r>
          </w:p>
        </w:tc>
        <w:tc>
          <w:tcPr>
            <w:tcW w:w="120" w:type="dxa"/>
            <w:vAlign w:val="bottom"/>
          </w:tcPr>
          <w:p>
            <w:pPr>
              <w:spacing w:after="0"/>
              <w:rPr>
                <w:sz w:val="12"/>
                <w:szCs w:val="12"/>
                <w:color w:val="auto"/>
              </w:rPr>
            </w:pPr>
          </w:p>
        </w:tc>
        <w:tc>
          <w:tcPr>
            <w:tcW w:w="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Ended</w:t>
            </w:r>
          </w:p>
        </w:tc>
        <w:tc>
          <w:tcPr>
            <w:tcW w:w="20" w:type="dxa"/>
            <w:vAlign w:val="bottom"/>
          </w:tcPr>
          <w:p>
            <w:pPr>
              <w:spacing w:after="0"/>
              <w:rPr>
                <w:sz w:val="12"/>
                <w:szCs w:val="12"/>
                <w:color w:val="auto"/>
              </w:rPr>
            </w:pPr>
          </w:p>
        </w:tc>
        <w:tc>
          <w:tcPr>
            <w:tcW w:w="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41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Dec. 30,</w:t>
            </w:r>
          </w:p>
        </w:tc>
        <w:tc>
          <w:tcPr>
            <w:tcW w:w="200" w:type="dxa"/>
            <w:vAlign w:val="bottom"/>
          </w:tcPr>
          <w:p>
            <w:pPr>
              <w:spacing w:after="0"/>
              <w:rPr>
                <w:sz w:val="12"/>
                <w:szCs w:val="12"/>
                <w:color w:val="auto"/>
              </w:rPr>
            </w:pPr>
          </w:p>
        </w:tc>
        <w:tc>
          <w:tcPr>
            <w:tcW w:w="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Dec. 31,</w:t>
            </w:r>
          </w:p>
        </w:tc>
        <w:tc>
          <w:tcPr>
            <w:tcW w:w="880" w:type="dxa"/>
            <w:vAlign w:val="bottom"/>
            <w:tcBorders>
              <w:right w:val="single" w:sz="8" w:color="auto"/>
            </w:tcBorders>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Jan. 1,</w:t>
            </w:r>
          </w:p>
        </w:tc>
        <w:tc>
          <w:tcPr>
            <w:tcW w:w="180" w:type="dxa"/>
            <w:vAlign w:val="bottom"/>
          </w:tcPr>
          <w:p>
            <w:pPr>
              <w:spacing w:after="0"/>
              <w:rPr>
                <w:sz w:val="12"/>
                <w:szCs w:val="12"/>
                <w:color w:val="auto"/>
              </w:rPr>
            </w:pPr>
          </w:p>
        </w:tc>
        <w:tc>
          <w:tcPr>
            <w:tcW w:w="6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Dec. 30,</w:t>
            </w:r>
          </w:p>
        </w:tc>
        <w:tc>
          <w:tcPr>
            <w:tcW w:w="120" w:type="dxa"/>
            <w:vAlign w:val="bottom"/>
          </w:tcPr>
          <w:p>
            <w:pPr>
              <w:spacing w:after="0"/>
              <w:rPr>
                <w:sz w:val="12"/>
                <w:szCs w:val="12"/>
                <w:color w:val="auto"/>
              </w:rPr>
            </w:pPr>
          </w:p>
        </w:tc>
        <w:tc>
          <w:tcPr>
            <w:tcW w:w="7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Dec. 31,</w:t>
            </w:r>
          </w:p>
        </w:tc>
        <w:tc>
          <w:tcPr>
            <w:tcW w:w="20" w:type="dxa"/>
            <w:vAlign w:val="bottom"/>
          </w:tcPr>
          <w:p>
            <w:pPr>
              <w:spacing w:after="0"/>
              <w:rPr>
                <w:sz w:val="12"/>
                <w:szCs w:val="12"/>
                <w:color w:val="auto"/>
              </w:rPr>
            </w:pPr>
          </w:p>
        </w:tc>
        <w:tc>
          <w:tcPr>
            <w:tcW w:w="5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Jan. 1,</w:t>
            </w:r>
          </w:p>
        </w:tc>
      </w:tr>
      <w:tr>
        <w:trPr>
          <w:trHeight w:val="161"/>
        </w:trPr>
        <w:tc>
          <w:tcPr>
            <w:tcW w:w="41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2010</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40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($30.3)</w:t>
            </w: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9.3</w:t>
            </w:r>
          </w:p>
        </w:tc>
        <w:tc>
          <w:tcPr>
            <w:tcW w:w="88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 (67.9)</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($19.4)</w:t>
            </w: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 (16.7)</w:t>
            </w:r>
          </w:p>
        </w:tc>
        <w:tc>
          <w:tcPr>
            <w:tcW w:w="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 (8.8)</w:t>
            </w:r>
          </w:p>
        </w:tc>
      </w:tr>
    </w:tbl>
    <w:p>
      <w:pPr>
        <w:spacing w:after="0" w:line="15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There was $1.3 million, $1.3 million and $0.4 million of ineffectiveness recognized for the years ended December 30, 2010, December 31, 2009 and January 1, 2009, respectively.</w:t>
      </w:r>
    </w:p>
    <w:p>
      <w:pPr>
        <w:spacing w:after="0" w:line="132" w:lineRule="exact"/>
        <w:rPr>
          <w:sz w:val="20"/>
          <w:szCs w:val="20"/>
          <w:color w:val="auto"/>
        </w:rPr>
      </w:pPr>
    </w:p>
    <w:p>
      <w:pPr>
        <w:ind w:right="1040" w:firstLine="456"/>
        <w:spacing w:after="0" w:line="268" w:lineRule="auto"/>
        <w:rPr>
          <w:sz w:val="20"/>
          <w:szCs w:val="20"/>
          <w:color w:val="auto"/>
        </w:rPr>
      </w:pPr>
      <w:r>
        <w:rPr>
          <w:rFonts w:ascii="Arial" w:cs="Arial" w:eastAsia="Arial" w:hAnsi="Arial"/>
          <w:sz w:val="18"/>
          <w:szCs w:val="18"/>
          <w:color w:val="auto"/>
        </w:rPr>
        <w:t>The effect of derivatives not designated as hedging instruments under ASC 815 on the financial statements for the years ended December 30, 2010, December 31, 2009 and January 1, 2009 were as follows (in millions):</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7"/>
          </w:tcPr>
          <w:p>
            <w:pPr>
              <w:jc w:val="center"/>
              <w:ind w:left="222"/>
              <w:spacing w:after="0"/>
              <w:rPr>
                <w:sz w:val="20"/>
                <w:szCs w:val="20"/>
                <w:color w:val="auto"/>
              </w:rPr>
            </w:pPr>
            <w:r>
              <w:rPr>
                <w:rFonts w:ascii="Arial" w:cs="Arial" w:eastAsia="Arial" w:hAnsi="Arial"/>
                <w:sz w:val="14"/>
                <w:szCs w:val="14"/>
                <w:b w:val="1"/>
                <w:bCs w:val="1"/>
                <w:color w:val="auto"/>
                <w:w w:val="86"/>
              </w:rPr>
              <w:t>Gain or (Loss) Recognized in Interest Expense</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7"/>
          </w:tcPr>
          <w:p>
            <w:pPr>
              <w:jc w:val="center"/>
              <w:ind w:left="222"/>
              <w:spacing w:after="0"/>
              <w:rPr>
                <w:sz w:val="20"/>
                <w:szCs w:val="20"/>
                <w:color w:val="auto"/>
              </w:rPr>
            </w:pPr>
            <w:r>
              <w:rPr>
                <w:rFonts w:ascii="Arial" w:cs="Arial" w:eastAsia="Arial" w:hAnsi="Arial"/>
                <w:sz w:val="14"/>
                <w:szCs w:val="14"/>
                <w:b w:val="1"/>
                <w:bCs w:val="1"/>
                <w:color w:val="auto"/>
                <w:w w:val="88"/>
              </w:rPr>
              <w:t>and Other, Net (Pre-tax) for the Years Ended</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30,</w:t>
            </w:r>
          </w:p>
        </w:tc>
        <w:tc>
          <w:tcPr>
            <w:tcW w:w="320" w:type="dxa"/>
            <w:vAlign w:val="bottom"/>
          </w:tcPr>
          <w:p>
            <w:pPr>
              <w:spacing w:after="0"/>
              <w:rPr>
                <w:sz w:val="11"/>
                <w:szCs w:val="11"/>
                <w:color w:val="auto"/>
              </w:rPr>
            </w:pPr>
          </w:p>
        </w:tc>
        <w:tc>
          <w:tcPr>
            <w:tcW w:w="154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December 31,</w:t>
            </w: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4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2010</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Borrowings</w:t>
            </w:r>
          </w:p>
        </w:tc>
        <w:tc>
          <w:tcPr>
            <w:tcW w:w="2540" w:type="dxa"/>
            <w:vAlign w:val="bottom"/>
            <w:gridSpan w:val="2"/>
            <w:shd w:val="clear" w:color="auto" w:fill="CCEEFF"/>
          </w:tcPr>
          <w:p>
            <w:pPr>
              <w:ind w:left="23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Change in derivative fair value</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(11.5)</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360" w:type="dxa"/>
            <w:vAlign w:val="bottom"/>
            <w:vMerge w:val="restart"/>
          </w:tcPr>
          <w:p>
            <w:pPr>
              <w:jc w:val="right"/>
              <w:ind w:right="832"/>
              <w:spacing w:after="0"/>
              <w:rPr>
                <w:sz w:val="20"/>
                <w:szCs w:val="20"/>
                <w:color w:val="auto"/>
              </w:rPr>
            </w:pPr>
            <w:r>
              <w:rPr>
                <w:rFonts w:ascii="Arial" w:cs="Arial" w:eastAsia="Arial" w:hAnsi="Arial"/>
                <w:sz w:val="18"/>
                <w:szCs w:val="18"/>
                <w:color w:val="auto"/>
              </w:rPr>
              <w:t>22</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44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144" w:name="page145"/>
    <w:bookmarkEnd w:id="144"/>
    <w:p>
      <w:pPr>
        <w:ind w:left="460" w:hanging="452"/>
        <w:spacing w:after="0"/>
        <w:tabs>
          <w:tab w:leader="none" w:pos="4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SEGMENT REPORTING</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Advertising is the principal business activity of the Company and is the Company’s reportable segment under the requirements of ASC 280, </w:t>
      </w:r>
      <w:r>
        <w:rPr>
          <w:rFonts w:ascii="Arial" w:cs="Arial" w:eastAsia="Arial" w:hAnsi="Arial"/>
          <w:sz w:val="16"/>
          <w:szCs w:val="16"/>
          <w:i w:val="1"/>
          <w:iCs w:val="1"/>
          <w:color w:val="auto"/>
        </w:rPr>
        <w:t>Segment</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Advertising revenue accounts for 88.7%, 88.0% and 89.4%, of revenue for the years ended December 30, 2010, December 31, 2009 and January 1,</w:t>
      </w:r>
      <w:r>
        <w:rPr>
          <w:rFonts w:ascii="Arial" w:cs="Arial" w:eastAsia="Arial" w:hAnsi="Arial"/>
          <w:sz w:val="16"/>
          <w:szCs w:val="16"/>
          <w:i w:val="1"/>
          <w:iCs w:val="1"/>
          <w:color w:val="auto"/>
        </w:rPr>
        <w:t xml:space="preserve"> </w:t>
      </w:r>
      <w:r>
        <w:rPr>
          <w:rFonts w:ascii="Arial" w:cs="Arial" w:eastAsia="Arial" w:hAnsi="Arial"/>
          <w:sz w:val="16"/>
          <w:szCs w:val="16"/>
          <w:color w:val="auto"/>
        </w:rPr>
        <w:t>2009, respectively. Fathom Consumer Events and Fathom Business Events are operating segments under ASC 280, but do not meet the quantitative thresholds for segment reporting. The following table presents revenues less directly identifiable expenses to arrive at operating income net of direct expenses for the advertising reportable segment, the combined Fathom Events operating segments, and network, administrative and unallocated costs. Management does not evaluate its segments on a fully allocated cost basis. Therefore, the measure of segment operating income net of direct expenses shown below is not prepared on the same basis as operating income in the statement of operations and the results below are not indicative of what segment results of operations would have been had it been operated on a fully allocated cost basis. Management cautions that it would be inappropriate to assume that unallocated operating costs are incurred proportional to segment revenue or any directly identifiable segment expenses. Unallocated operating costs consist primarily of network costs, general and administrative costs and other unallocated costs including depreciation and amortization. Management does not track segment assets and, therefore, segment asset information is not presented.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4"/>
                <w:szCs w:val="14"/>
                <w:b w:val="1"/>
                <w:bCs w:val="1"/>
                <w:color w:val="auto"/>
                <w:w w:val="87"/>
              </w:rPr>
              <w:t>Year Ended December 30, 2010 (in millions)</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780"/>
              <w:spacing w:after="0" w:line="131" w:lineRule="exact"/>
              <w:rPr>
                <w:sz w:val="20"/>
                <w:szCs w:val="20"/>
                <w:color w:val="auto"/>
              </w:rPr>
            </w:pPr>
            <w:r>
              <w:rPr>
                <w:rFonts w:ascii="Arial" w:cs="Arial" w:eastAsia="Arial" w:hAnsi="Arial"/>
                <w:sz w:val="14"/>
                <w:szCs w:val="14"/>
                <w:color w:val="auto"/>
                <w:w w:val="90"/>
              </w:rPr>
              <w:t>Network,</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color w:val="auto"/>
              </w:rPr>
              <w:t>Administrative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85"/>
              </w:rPr>
              <w:t>and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color w:val="auto"/>
              </w:rPr>
              <w:t>Fathom Events</w:t>
            </w:r>
          </w:p>
        </w:tc>
        <w:tc>
          <w:tcPr>
            <w:tcW w:w="148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89"/>
              </w:rPr>
              <w:t>Unallocated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4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w w:val="89"/>
              </w:rPr>
              <w:t>Advertising</w:t>
            </w:r>
          </w:p>
        </w:tc>
        <w:tc>
          <w:tcPr>
            <w:tcW w:w="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rPr>
              <w:t>and Other</w:t>
            </w:r>
          </w:p>
        </w:tc>
        <w:tc>
          <w:tcPr>
            <w:tcW w:w="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42"/>
              <w:spacing w:after="0" w:line="159" w:lineRule="exact"/>
              <w:rPr>
                <w:sz w:val="20"/>
                <w:szCs w:val="20"/>
                <w:color w:val="auto"/>
              </w:rPr>
            </w:pPr>
            <w:r>
              <w:rPr>
                <w:rFonts w:ascii="Arial" w:cs="Arial" w:eastAsia="Arial" w:hAnsi="Arial"/>
                <w:sz w:val="14"/>
                <w:szCs w:val="14"/>
                <w:color w:val="auto"/>
                <w:w w:val="83"/>
              </w:rPr>
              <w:t>Costs</w:t>
            </w:r>
          </w:p>
        </w:tc>
        <w:tc>
          <w:tcPr>
            <w:tcW w:w="660" w:type="dxa"/>
            <w:vAlign w:val="bottom"/>
          </w:tcPr>
          <w:p>
            <w:pPr>
              <w:spacing w:after="0"/>
              <w:rPr>
                <w:sz w:val="13"/>
                <w:szCs w:val="13"/>
                <w:color w:val="auto"/>
              </w:rPr>
            </w:pPr>
          </w:p>
        </w:tc>
        <w:tc>
          <w:tcPr>
            <w:tcW w:w="500" w:type="dxa"/>
            <w:vAlign w:val="bottom"/>
            <w:tcBorders>
              <w:bottom w:val="single" w:sz="8" w:color="auto"/>
            </w:tcBorders>
          </w:tcPr>
          <w:p>
            <w:pPr>
              <w:jc w:val="right"/>
              <w:ind w:right="15"/>
              <w:spacing w:after="0" w:line="159"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2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48.0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Operating costs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74.3</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32.4</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costs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net of direct expenses</w:t>
            </w:r>
          </w:p>
        </w:tc>
        <w:tc>
          <w:tcPr>
            <w:tcW w:w="152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Network, administrative and other costs</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68.3</w:t>
            </w:r>
          </w:p>
        </w:tc>
        <w:tc>
          <w:tcPr>
            <w:tcW w:w="6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Income</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60" w:type="dxa"/>
            <w:vAlign w:val="bottom"/>
            <w:gridSpan w:val="7"/>
            <w:vMerge w:val="restart"/>
          </w:tcPr>
          <w:p>
            <w:pPr>
              <w:jc w:val="center"/>
              <w:ind w:right="140"/>
              <w:spacing w:after="0"/>
              <w:rPr>
                <w:sz w:val="20"/>
                <w:szCs w:val="20"/>
                <w:color w:val="auto"/>
              </w:rPr>
            </w:pPr>
            <w:r>
              <w:rPr>
                <w:rFonts w:ascii="Arial" w:cs="Arial" w:eastAsia="Arial" w:hAnsi="Arial"/>
                <w:sz w:val="14"/>
                <w:szCs w:val="14"/>
                <w:b w:val="1"/>
                <w:bCs w:val="1"/>
                <w:color w:val="auto"/>
                <w:w w:val="87"/>
              </w:rPr>
              <w:t>Year Ended December 31, 2009 (in millions)</w:t>
            </w: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7"/>
            <w:vMerge w:val="continue"/>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780"/>
              <w:spacing w:after="0" w:line="131" w:lineRule="exact"/>
              <w:rPr>
                <w:sz w:val="20"/>
                <w:szCs w:val="20"/>
                <w:color w:val="auto"/>
              </w:rPr>
            </w:pPr>
            <w:r>
              <w:rPr>
                <w:rFonts w:ascii="Arial" w:cs="Arial" w:eastAsia="Arial" w:hAnsi="Arial"/>
                <w:sz w:val="14"/>
                <w:szCs w:val="14"/>
                <w:color w:val="auto"/>
                <w:w w:val="90"/>
              </w:rPr>
              <w:t>Network,</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8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93"/>
              </w:rPr>
              <w:t>Administrative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85"/>
              </w:rPr>
              <w:t>and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color w:val="auto"/>
              </w:rPr>
              <w:t>Fathom Events</w:t>
            </w:r>
          </w:p>
        </w:tc>
        <w:tc>
          <w:tcPr>
            <w:tcW w:w="148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89"/>
              </w:rPr>
              <w:t>Unallocated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4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w w:val="89"/>
              </w:rPr>
              <w:t>Advertising</w:t>
            </w:r>
          </w:p>
        </w:tc>
        <w:tc>
          <w:tcPr>
            <w:tcW w:w="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rPr>
              <w:t>and Other</w:t>
            </w:r>
          </w:p>
        </w:tc>
        <w:tc>
          <w:tcPr>
            <w:tcW w:w="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42"/>
              <w:spacing w:after="0" w:line="159" w:lineRule="exact"/>
              <w:rPr>
                <w:sz w:val="20"/>
                <w:szCs w:val="20"/>
                <w:color w:val="auto"/>
              </w:rPr>
            </w:pPr>
            <w:r>
              <w:rPr>
                <w:rFonts w:ascii="Arial" w:cs="Arial" w:eastAsia="Arial" w:hAnsi="Arial"/>
                <w:sz w:val="14"/>
                <w:szCs w:val="14"/>
                <w:color w:val="auto"/>
                <w:w w:val="83"/>
              </w:rPr>
              <w:t>Costs</w:t>
            </w:r>
          </w:p>
        </w:tc>
        <w:tc>
          <w:tcPr>
            <w:tcW w:w="660" w:type="dxa"/>
            <w:vAlign w:val="bottom"/>
          </w:tcPr>
          <w:p>
            <w:pPr>
              <w:spacing w:after="0"/>
              <w:rPr>
                <w:sz w:val="13"/>
                <w:szCs w:val="13"/>
                <w:color w:val="auto"/>
              </w:rPr>
            </w:pPr>
          </w:p>
        </w:tc>
        <w:tc>
          <w:tcPr>
            <w:tcW w:w="500" w:type="dxa"/>
            <w:vAlign w:val="bottom"/>
            <w:tcBorders>
              <w:bottom w:val="single" w:sz="8" w:color="auto"/>
            </w:tcBorders>
          </w:tcPr>
          <w:p>
            <w:pPr>
              <w:jc w:val="right"/>
              <w:ind w:right="15"/>
              <w:spacing w:after="0" w:line="159"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2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335.1</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Operating costs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72.7</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8.6</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costs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net of direct expenses</w:t>
            </w:r>
          </w:p>
        </w:tc>
        <w:tc>
          <w:tcPr>
            <w:tcW w:w="152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Network, administrative and other costs</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56.8</w:t>
            </w:r>
          </w:p>
        </w:tc>
        <w:tc>
          <w:tcPr>
            <w:tcW w:w="6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Income</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60" w:type="dxa"/>
            <w:vAlign w:val="bottom"/>
            <w:gridSpan w:val="7"/>
            <w:vMerge w:val="restart"/>
          </w:tcPr>
          <w:p>
            <w:pPr>
              <w:jc w:val="center"/>
              <w:ind w:right="140"/>
              <w:spacing w:after="0"/>
              <w:rPr>
                <w:sz w:val="20"/>
                <w:szCs w:val="20"/>
                <w:color w:val="auto"/>
              </w:rPr>
            </w:pPr>
            <w:r>
              <w:rPr>
                <w:rFonts w:ascii="Arial" w:cs="Arial" w:eastAsia="Arial" w:hAnsi="Arial"/>
                <w:sz w:val="14"/>
                <w:szCs w:val="14"/>
                <w:b w:val="1"/>
                <w:bCs w:val="1"/>
                <w:color w:val="auto"/>
                <w:w w:val="88"/>
              </w:rPr>
              <w:t>Year Ended January 1, 2009 (in millions)</w:t>
            </w: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7"/>
            <w:vMerge w:val="continue"/>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jc w:val="center"/>
              <w:ind w:right="780"/>
              <w:spacing w:after="0" w:line="131" w:lineRule="exact"/>
              <w:rPr>
                <w:sz w:val="20"/>
                <w:szCs w:val="20"/>
                <w:color w:val="auto"/>
              </w:rPr>
            </w:pPr>
            <w:r>
              <w:rPr>
                <w:rFonts w:ascii="Arial" w:cs="Arial" w:eastAsia="Arial" w:hAnsi="Arial"/>
                <w:sz w:val="14"/>
                <w:szCs w:val="14"/>
                <w:color w:val="auto"/>
                <w:w w:val="90"/>
              </w:rPr>
              <w:t>Network,</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8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93"/>
              </w:rPr>
              <w:t>Administrative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85"/>
              </w:rPr>
              <w:t>and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color w:val="auto"/>
              </w:rPr>
              <w:t>Fathom Events</w:t>
            </w:r>
          </w:p>
        </w:tc>
        <w:tc>
          <w:tcPr>
            <w:tcW w:w="148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89"/>
              </w:rPr>
              <w:t>Unallocated</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4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w w:val="89"/>
              </w:rPr>
              <w:t>Advertising</w:t>
            </w:r>
          </w:p>
        </w:tc>
        <w:tc>
          <w:tcPr>
            <w:tcW w:w="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rPr>
              <w:t>and Other</w:t>
            </w:r>
          </w:p>
        </w:tc>
        <w:tc>
          <w:tcPr>
            <w:tcW w:w="6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right="42"/>
              <w:spacing w:after="0" w:line="159" w:lineRule="exact"/>
              <w:rPr>
                <w:sz w:val="20"/>
                <w:szCs w:val="20"/>
                <w:color w:val="auto"/>
              </w:rPr>
            </w:pPr>
            <w:r>
              <w:rPr>
                <w:rFonts w:ascii="Arial" w:cs="Arial" w:eastAsia="Arial" w:hAnsi="Arial"/>
                <w:sz w:val="14"/>
                <w:szCs w:val="14"/>
                <w:color w:val="auto"/>
                <w:w w:val="83"/>
              </w:rPr>
              <w:t>Costs</w:t>
            </w:r>
          </w:p>
        </w:tc>
        <w:tc>
          <w:tcPr>
            <w:tcW w:w="660" w:type="dxa"/>
            <w:vAlign w:val="bottom"/>
          </w:tcPr>
          <w:p>
            <w:pPr>
              <w:spacing w:after="0"/>
              <w:rPr>
                <w:sz w:val="13"/>
                <w:szCs w:val="13"/>
                <w:color w:val="auto"/>
              </w:rPr>
            </w:pPr>
          </w:p>
        </w:tc>
        <w:tc>
          <w:tcPr>
            <w:tcW w:w="500" w:type="dxa"/>
            <w:vAlign w:val="bottom"/>
            <w:tcBorders>
              <w:bottom w:val="single" w:sz="8" w:color="auto"/>
            </w:tcBorders>
          </w:tcPr>
          <w:p>
            <w:pPr>
              <w:jc w:val="right"/>
              <w:ind w:right="15"/>
              <w:spacing w:after="0" w:line="159"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2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Operating costs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68.5</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costs</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Other costs</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income, net of direct expenses</w:t>
            </w:r>
          </w:p>
        </w:tc>
        <w:tc>
          <w:tcPr>
            <w:tcW w:w="152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8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Network, administrative and other costs</w:t>
            </w: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51.2</w:t>
            </w:r>
          </w:p>
        </w:tc>
        <w:tc>
          <w:tcPr>
            <w:tcW w:w="6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Income</w:t>
            </w:r>
          </w:p>
        </w:tc>
        <w:tc>
          <w:tcPr>
            <w:tcW w:w="1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360" w:type="dxa"/>
            <w:vAlign w:val="bottom"/>
            <w:vMerge w:val="restart"/>
          </w:tcPr>
          <w:p>
            <w:pPr>
              <w:ind w:left="92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500"/>
          </w:cols>
          <w:pgMar w:left="700" w:top="275" w:right="6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46" w:name="page147"/>
    <w:bookmarkEnd w:id="14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is a summary of revenues by category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rPr>
              <w:t>Years Ended</w:t>
            </w: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980" w:type="dxa"/>
            <w:vAlign w:val="bottom"/>
          </w:tcPr>
          <w:p>
            <w:pPr>
              <w:spacing w:after="0"/>
              <w:rPr>
                <w:sz w:val="11"/>
                <w:szCs w:val="11"/>
                <w:color w:val="auto"/>
              </w:rPr>
            </w:pPr>
          </w:p>
        </w:tc>
        <w:tc>
          <w:tcPr>
            <w:tcW w:w="10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30,</w:t>
            </w:r>
          </w:p>
        </w:tc>
        <w:tc>
          <w:tcPr>
            <w:tcW w:w="360" w:type="dxa"/>
            <w:vAlign w:val="bottom"/>
          </w:tcPr>
          <w:p>
            <w:pPr>
              <w:spacing w:after="0"/>
              <w:rPr>
                <w:sz w:val="11"/>
                <w:szCs w:val="11"/>
                <w:color w:val="auto"/>
              </w:rPr>
            </w:pPr>
          </w:p>
        </w:tc>
        <w:tc>
          <w:tcPr>
            <w:tcW w:w="112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1"/>
                <w:szCs w:val="11"/>
                <w:color w:val="auto"/>
              </w:rPr>
            </w:pP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6"/>
              </w:rPr>
              <w:t>January 1,</w:t>
            </w:r>
          </w:p>
        </w:tc>
        <w:tc>
          <w:tcPr>
            <w:tcW w:w="100" w:type="dxa"/>
            <w:vAlign w:val="bottom"/>
          </w:tcPr>
          <w:p>
            <w:pPr>
              <w:spacing w:after="0"/>
              <w:rPr>
                <w:sz w:val="11"/>
                <w:szCs w:val="11"/>
                <w:color w:val="auto"/>
              </w:rPr>
            </w:pPr>
          </w:p>
        </w:tc>
      </w:tr>
      <w:tr>
        <w:trPr>
          <w:trHeight w:val="161"/>
        </w:trPr>
        <w:tc>
          <w:tcPr>
            <w:tcW w:w="59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4"/>
                <w:szCs w:val="14"/>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National Advertising 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271.9</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236.8</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Founding Member Advertising Revenue</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37.2</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36.3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Regional Advertising Revenue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70.3</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Fathom Consumer Revenue</w:t>
            </w:r>
          </w:p>
        </w:tc>
        <w:tc>
          <w:tcPr>
            <w:tcW w:w="1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31.5</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28.6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Fathom Business Revenue</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Other Revenue</w:t>
            </w: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427.</w:t>
            </w:r>
            <w:r>
              <w:rPr>
                <w:rFonts w:ascii="Arial" w:cs="Arial" w:eastAsia="Arial" w:hAnsi="Arial"/>
                <w:sz w:val="18"/>
                <w:szCs w:val="18"/>
                <w:u w:val="single" w:color="auto"/>
                <w:color w:val="auto"/>
              </w:rPr>
              <w:t>5</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380.</w:t>
            </w:r>
            <w:r>
              <w:rPr>
                <w:rFonts w:ascii="Arial" w:cs="Arial" w:eastAsia="Arial" w:hAnsi="Arial"/>
                <w:sz w:val="18"/>
                <w:szCs w:val="18"/>
                <w:u w:val="single" w:color="auto"/>
                <w:color w:val="auto"/>
              </w:rPr>
              <w:t>7</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w:t>
            </w:r>
          </w:p>
        </w:tc>
        <w:tc>
          <w:tcPr>
            <w:tcW w:w="100" w:type="dxa"/>
            <w:vAlign w:val="bottom"/>
            <w:shd w:val="clear" w:color="auto" w:fill="CCEEFF"/>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ASC Topic 855-10, </w:t>
      </w:r>
      <w:r>
        <w:rPr>
          <w:rFonts w:ascii="Arial" w:cs="Arial" w:eastAsia="Arial" w:hAnsi="Arial"/>
          <w:sz w:val="16"/>
          <w:szCs w:val="16"/>
          <w:i w:val="1"/>
          <w:iCs w:val="1"/>
          <w:color w:val="auto"/>
        </w:rPr>
        <w:t>Subsequent Events</w:t>
      </w:r>
      <w:r>
        <w:rPr>
          <w:rFonts w:ascii="Arial" w:cs="Arial" w:eastAsia="Arial" w:hAnsi="Arial"/>
          <w:sz w:val="16"/>
          <w:szCs w:val="16"/>
          <w:color w:val="auto"/>
        </w:rPr>
        <w:t xml:space="preserve"> (formerly SFAS No. 165, </w:t>
      </w:r>
      <w:r>
        <w:rPr>
          <w:rFonts w:ascii="Arial" w:cs="Arial" w:eastAsia="Arial" w:hAnsi="Arial"/>
          <w:sz w:val="16"/>
          <w:szCs w:val="16"/>
          <w:i w:val="1"/>
          <w:iCs w:val="1"/>
          <w:color w:val="auto"/>
        </w:rPr>
        <w:t>Subsequent Events</w:t>
      </w:r>
      <w:r>
        <w:rPr>
          <w:rFonts w:ascii="Arial" w:cs="Arial" w:eastAsia="Arial" w:hAnsi="Arial"/>
          <w:sz w:val="16"/>
          <w:szCs w:val="16"/>
          <w:color w:val="auto"/>
        </w:rPr>
        <w:t>) requires the Company to disclose the date through which subsequent events have been evaluated, as well as whether that date is the date the financial statements were issued. For the year ended December 30, 2010, the Company evaluated, for potential recognition and disclosure, events that occurred prior to the inclusion of the Company’s financial statements in NCM, Inc.’s Annual Report on Form 10-K for the year ended December 30, 2010 on February 25, 2010.</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sectPr>
      <w:pgSz w:w="11900" w:h="16838" w:orient="portrait"/>
      <w:cols w:equalWidth="0" w:num="1">
        <w:col w:w="11280"/>
      </w:cols>
      <w:pgMar w:left="240" w:top="28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1)"/>
      <w:numFmt w:val="decimal"/>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1)"/>
      <w:numFmt w:val="lowerRoman"/>
      <w:start w:val="2"/>
    </w:lvl>
  </w:abstractNum>
  <w:abstractNum w:abstractNumId="10">
    <w:nsid w:val="79A1DEAA"/>
    <w:multiLevelType w:val="hybridMultilevel"/>
    <w:lvl w:ilvl="0">
      <w:lvlJc w:val="left"/>
      <w:lvlText w:val="•"/>
      <w:numFmt w:val="bullet"/>
      <w:start w:val="1"/>
    </w:lvl>
    <w:lvl w:ilvl="1">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1)"/>
      <w:numFmt w:val="decimal"/>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1."/>
      <w:numFmt w:val="decimal"/>
      <w:start w:val="1"/>
    </w:lvl>
  </w:abstractNum>
  <w:abstractNum w:abstractNumId="26">
    <w:nsid w:val="15B5AF5C"/>
    <w:multiLevelType w:val="hybridMultilevel"/>
    <w:lvl w:ilvl="0">
      <w:lvlJc w:val="left"/>
      <w:lvlText w:val="%1."/>
      <w:numFmt w:val="decimal"/>
      <w:start w:val="2"/>
    </w:lvl>
  </w:abstractNum>
  <w:abstractNum w:abstractNumId="27">
    <w:nsid w:val="741226BB"/>
    <w:multiLevelType w:val="hybridMultilevel"/>
    <w:lvl w:ilvl="0">
      <w:lvlJc w:val="left"/>
      <w:lvlText w:val="(%1)"/>
      <w:numFmt w:val="decimal"/>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1)"/>
      <w:numFmt w:val="decimal"/>
      <w:start w:val="1"/>
    </w:lvl>
  </w:abstractNum>
  <w:abstractNum w:abstractNumId="32">
    <w:nsid w:val="7E0C57B1"/>
    <w:multiLevelType w:val="hybridMultilevel"/>
    <w:lvl w:ilvl="0">
      <w:lvlJc w:val="left"/>
      <w:lvlText w:val="(%1)"/>
      <w:numFmt w:val="decimal"/>
      <w:start w:val="2"/>
    </w:lvl>
  </w:abstractNum>
  <w:abstractNum w:abstractNumId="33">
    <w:nsid w:val="77AE35EB"/>
    <w:multiLevelType w:val="hybridMultilevel"/>
    <w:lvl w:ilvl="0">
      <w:lvlJc w:val="left"/>
      <w:lvlText w:val="(%1)"/>
      <w:numFmt w:val="lowerLetter"/>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1)"/>
      <w:numFmt w:val="decimal"/>
      <w:start w:val="1"/>
    </w:lvl>
  </w:abstractNum>
  <w:abstractNum w:abstractNumId="37">
    <w:nsid w:val="2F305DEF"/>
    <w:multiLevelType w:val="hybridMultilevel"/>
    <w:lvl w:ilvl="0">
      <w:lvlJc w:val="left"/>
      <w:lvlText w:val="(%1)"/>
      <w:numFmt w:val="decimal"/>
      <w:start w:val="3"/>
    </w:lvl>
  </w:abstractNum>
  <w:abstractNum w:abstractNumId="38">
    <w:nsid w:val="25A70BF7"/>
    <w:multiLevelType w:val="hybridMultilevel"/>
    <w:lvl w:ilvl="0">
      <w:lvlJc w:val="left"/>
      <w:lvlText w:val="(%1)"/>
      <w:numFmt w:val="decimal"/>
      <w:start w:val="25"/>
    </w:lvl>
  </w:abstractNum>
  <w:abstractNum w:abstractNumId="39">
    <w:nsid w:val="1DBABF00"/>
    <w:multiLevelType w:val="hybridMultilevel"/>
    <w:lvl w:ilvl="0">
      <w:lvlJc w:val="left"/>
      <w:lvlText w:val="(%1)"/>
      <w:numFmt w:val="decimal"/>
      <w:start w:val="1"/>
    </w:lvl>
  </w:abstractNum>
  <w:abstractNum w:abstractNumId="40">
    <w:nsid w:val="4AD084E9"/>
    <w:multiLevelType w:val="hybridMultilevel"/>
    <w:lvl w:ilvl="0">
      <w:lvlJc w:val="left"/>
      <w:lvlText w:val="(%1)"/>
      <w:numFmt w:val="decimal"/>
      <w:start w:val="1"/>
    </w:lvl>
  </w:abstractNum>
  <w:abstractNum w:abstractNumId="41">
    <w:nsid w:val="1F48EAA1"/>
    <w:multiLevelType w:val="hybridMultilevel"/>
    <w:lvl w:ilvl="0">
      <w:lvlJc w:val="left"/>
      <w:lvlText w:val="(%1)"/>
      <w:numFmt w:val="decimal"/>
      <w:start w:val="4"/>
    </w:lvl>
  </w:abstractNum>
  <w:abstractNum w:abstractNumId="42">
    <w:nsid w:val="1381823A"/>
    <w:multiLevelType w:val="hybridMultilevel"/>
    <w:lvl w:ilvl="0">
      <w:lvlJc w:val="left"/>
      <w:lvlText w:val="%1."/>
      <w:numFmt w:val="decimal"/>
      <w:start w:val="14"/>
    </w:lvl>
  </w:abstractNum>
  <w:abstractNum w:abstractNumId="43">
    <w:nsid w:val="5DB70AE5"/>
    <w:multiLevelType w:val="hybridMultilevel"/>
    <w:lvl w:ilvl="0">
      <w:lvlJc w:val="left"/>
      <w:lvlText w:val="%1."/>
      <w:numFmt w:val="decimal"/>
      <w:start w:val="15"/>
    </w:lvl>
  </w:abstractNum>
  <w:abstractNum w:abstractNumId="44">
    <w:nsid w:val="100F8FCA"/>
    <w:multiLevelType w:val="hybridMultilevel"/>
    <w:lvl w:ilvl="0">
      <w:lvlJc w:val="left"/>
      <w:lvlText w:val="(%1)"/>
      <w:numFmt w:val="decimal"/>
      <w:start w:val="1"/>
    </w:lvl>
  </w:abstractNum>
  <w:abstractNum w:abstractNumId="45">
    <w:nsid w:val="6590700B"/>
    <w:multiLevelType w:val="hybridMultilevel"/>
    <w:lvl w:ilvl="0">
      <w:lvlJc w:val="left"/>
      <w:lvlText w:val="(%1)"/>
      <w:numFmt w:val="decimal"/>
      <w:start w:val="3"/>
    </w:lvl>
  </w:abstractNum>
  <w:abstractNum w:abstractNumId="46">
    <w:nsid w:val="15014ACB"/>
    <w:multiLevelType w:val="hybridMultilevel"/>
    <w:lvl w:ilvl="0">
      <w:lvlJc w:val="left"/>
      <w:lvlText w:val="(%1)"/>
      <w:numFmt w:val="decimal"/>
      <w:start w:val="1"/>
    </w:lvl>
  </w:abstractNum>
  <w:abstractNum w:abstractNumId="47">
    <w:nsid w:val="5F5E7FD0"/>
    <w:multiLevelType w:val="hybridMultilevel"/>
    <w:lvl w:ilvl="0">
      <w:lvlJc w:val="left"/>
      <w:lvlText w:val="%1."/>
      <w:numFmt w:val="decimal"/>
      <w:start w:val="1"/>
    </w:lvl>
  </w:abstractNum>
  <w:abstractNum w:abstractNumId="48">
    <w:nsid w:val="98A3148"/>
    <w:multiLevelType w:val="hybridMultilevel"/>
    <w:lvl w:ilvl="0">
      <w:lvlJc w:val="left"/>
      <w:lvlText w:val="%1."/>
      <w:numFmt w:val="decimal"/>
      <w:start w:val="4"/>
    </w:lvl>
    <w:lvl w:ilvl="1">
      <w:lvlJc w:val="left"/>
      <w:lvlText w:val="(%2)"/>
      <w:numFmt w:val="lowerLetter"/>
      <w:start w:val="1"/>
    </w:lvl>
  </w:abstractNum>
  <w:abstractNum w:abstractNumId="49">
    <w:nsid w:val="799D0247"/>
    <w:multiLevelType w:val="hybridMultilevel"/>
    <w:lvl w:ilvl="0">
      <w:lvlJc w:val="left"/>
      <w:lvlText w:val="%1"/>
      <w:numFmt w:val="decimal"/>
      <w:start w:val="1"/>
    </w:lvl>
    <w:lvl w:ilvl="1">
      <w:lvlJc w:val="left"/>
      <w:lvlText w:val="(%2)"/>
      <w:numFmt w:val="lowerLetter"/>
      <w:start w:val="4"/>
    </w:lvl>
  </w:abstractNum>
  <w:abstractNum w:abstractNumId="50">
    <w:nsid w:val="6B94764"/>
    <w:multiLevelType w:val="hybridMultilevel"/>
    <w:lvl w:ilvl="0">
      <w:lvlJc w:val="left"/>
      <w:lvlText w:val="%1."/>
      <w:numFmt w:val="decimal"/>
      <w:start w:val="6"/>
    </w:lvl>
    <w:lvl w:ilvl="1">
      <w:lvlJc w:val="left"/>
      <w:lvlText w:val="(%2)"/>
      <w:numFmt w:val="lowerLetter"/>
      <w:start w:val="1"/>
    </w:lvl>
  </w:abstractNum>
  <w:abstractNum w:abstractNumId="51">
    <w:nsid w:val="42C296BD"/>
    <w:multiLevelType w:val="hybridMultilevel"/>
    <w:lvl w:ilvl="0">
      <w:lvlJc w:val="left"/>
      <w:lvlText w:val="(%1)"/>
      <w:numFmt w:val="lowerLetter"/>
      <w:start w:val="2"/>
    </w:lvl>
    <w:lvl w:ilvl="1">
      <w:lvlJc w:val="left"/>
      <w:lvlText w:val="(%2)"/>
      <w:numFmt w:val="lowerLetter"/>
      <w:start w:val="9"/>
    </w:lvl>
  </w:abstractNum>
  <w:abstractNum w:abstractNumId="52">
    <w:nsid w:val="168E121F"/>
    <w:multiLevelType w:val="hybridMultilevel"/>
    <w:lvl w:ilvl="0">
      <w:lvlJc w:val="left"/>
      <w:lvlText w:val="%1"/>
      <w:numFmt w:val="decimal"/>
      <w:start w:val="1"/>
    </w:lvl>
    <w:lvl w:ilvl="1">
      <w:lvlJc w:val="left"/>
      <w:lvlText w:val="(%2)"/>
      <w:numFmt w:val="lowerRoman"/>
      <w:start w:val="2"/>
    </w:lvl>
  </w:abstractNum>
  <w:abstractNum w:abstractNumId="53">
    <w:nsid w:val="1EBA5D23"/>
    <w:multiLevelType w:val="hybridMultilevel"/>
    <w:lvl w:ilvl="0">
      <w:lvlJc w:val="left"/>
      <w:lvlText w:val="%1."/>
      <w:numFmt w:val="decimal"/>
      <w:start w:val="8"/>
    </w:lvl>
    <w:lvl w:ilvl="1">
      <w:lvlJc w:val="left"/>
      <w:lvlText w:val="%2"/>
      <w:numFmt w:val="lowerRoman"/>
      <w:start w:val="1"/>
    </w:lvl>
  </w:abstractNum>
  <w:abstractNum w:abstractNumId="54">
    <w:nsid w:val="661E3F1E"/>
    <w:multiLevelType w:val="hybridMultilevel"/>
    <w:lvl w:ilvl="0">
      <w:lvlJc w:val="left"/>
      <w:lvlText w:val="%1"/>
      <w:numFmt w:val="lowerLetter"/>
      <w:start w:val="1"/>
    </w:lvl>
    <w:lvl w:ilvl="1">
      <w:lvlJc w:val="left"/>
      <w:lvlText w:val="%2."/>
      <w:numFmt w:val="decimal"/>
      <w:start w:val="12"/>
    </w:lvl>
  </w:abstractNum>
  <w:abstractNum w:abstractNumId="55">
    <w:nsid w:val="5DC79EA8"/>
    <w:multiLevelType w:val="hybridMultilevel"/>
    <w:lvl w:ilvl="0">
      <w:lvlJc w:val="left"/>
      <w:lvlText w:val="(%1)"/>
      <w:numFmt w:val="lowerLetter"/>
      <w:start w:val="1"/>
    </w:lvl>
    <w:lvl w:ilvl="1">
      <w:lvlJc w:val="left"/>
      <w:lvlText w:val="%2."/>
      <w:numFmt w:val="decimal"/>
      <w:start w:val="14"/>
    </w:lvl>
  </w:abstractNum>
  <w:abstractNum w:abstractNumId="56">
    <w:nsid w:val="540A471C"/>
    <w:multiLevelType w:val="hybridMultilevel"/>
    <w:lvl w:ilvl="0">
      <w:lvlJc w:val="left"/>
      <w:lvlText w:val="%1."/>
      <w:numFmt w:val="decimal"/>
      <w:start w:val="18"/>
    </w:lvl>
  </w:abstractNum>
  <w:abstractNum w:abstractNumId="57">
    <w:nsid w:val="7BD3EE7B"/>
    <w:multiLevelType w:val="hybridMultilevel"/>
    <w:lvl w:ilvl="0">
      <w:lvlJc w:val="left"/>
      <w:lvlText w:val="%1."/>
      <w:numFmt w:val="decimal"/>
      <w:start w:val="19"/>
    </w:lvl>
  </w:abstractNum>
  <w:abstractNum w:abstractNumId="58">
    <w:nsid w:val="51D9C564"/>
    <w:multiLevelType w:val="hybridMultilevel"/>
    <w:lvl w:ilvl="0">
      <w:lvlJc w:val="left"/>
      <w:lvlText w:val="%1."/>
      <w:numFmt w:val="decimal"/>
      <w:start w:val="1"/>
    </w:lvl>
  </w:abstractNum>
  <w:abstractNum w:abstractNumId="59">
    <w:nsid w:val="613EFDC5"/>
    <w:multiLevelType w:val="hybridMultilevel"/>
    <w:lvl w:ilvl="0">
      <w:lvlJc w:val="left"/>
      <w:lvlText w:val="%1."/>
      <w:numFmt w:val="decimal"/>
      <w:start w:val="3"/>
    </w:lvl>
  </w:abstractNum>
  <w:abstractNum w:abstractNumId="60">
    <w:nsid w:val="BF72B14"/>
    <w:multiLevelType w:val="hybridMultilevel"/>
    <w:lvl w:ilvl="0">
      <w:lvlJc w:val="left"/>
      <w:lvlText w:val="%1."/>
      <w:numFmt w:val="decimal"/>
      <w:start w:val="6"/>
    </w:lvl>
  </w:abstractNum>
  <w:abstractNum w:abstractNumId="61">
    <w:nsid w:val="11447B73"/>
    <w:multiLevelType w:val="hybridMultilevel"/>
    <w:lvl w:ilvl="0">
      <w:lvlJc w:val="left"/>
      <w:lvlText w:val="%1."/>
      <w:numFmt w:val="decimal"/>
      <w:start w:val="9"/>
    </w:lvl>
  </w:abstractNum>
  <w:abstractNum w:abstractNumId="62">
    <w:nsid w:val="42963E5A"/>
    <w:multiLevelType w:val="hybridMultilevel"/>
    <w:lvl w:ilvl="0">
      <w:lvlJc w:val="left"/>
      <w:lvlText w:val="%1."/>
      <w:numFmt w:val="decimal"/>
      <w:start w:val="10"/>
    </w:lvl>
  </w:abstractNum>
  <w:abstractNum w:abstractNumId="63">
    <w:nsid w:val="A0382C5"/>
    <w:multiLevelType w:val="hybridMultilevel"/>
    <w:lvl w:ilvl="0">
      <w:lvlJc w:val="left"/>
      <w:lvlText w:val="%1."/>
      <w:numFmt w:val="decimal"/>
      <w:start w:val="15"/>
    </w:lvl>
  </w:abstractNum>
  <w:abstractNum w:abstractNumId="64">
    <w:nsid w:val="8F2B15E"/>
    <w:multiLevelType w:val="hybridMultilevel"/>
    <w:lvl w:ilvl="0">
      <w:lvlJc w:val="left"/>
      <w:lvlText w:val="%1."/>
      <w:numFmt w:val="decimal"/>
      <w:start w:val="1"/>
    </w:lvl>
  </w:abstractNum>
  <w:abstractNum w:abstractNumId="65">
    <w:nsid w:val="1A32234B"/>
    <w:multiLevelType w:val="hybridMultilevel"/>
    <w:lvl w:ilvl="0">
      <w:lvlJc w:val="left"/>
      <w:lvlText w:val="(%1)"/>
      <w:numFmt w:val="lowerLetter"/>
      <w:start w:val="1"/>
    </w:lvl>
  </w:abstractNum>
  <w:abstractNum w:abstractNumId="66">
    <w:nsid w:val="3B0FD379"/>
    <w:multiLevelType w:val="hybridMultilevel"/>
    <w:lvl w:ilvl="0">
      <w:lvlJc w:val="left"/>
      <w:lvlText w:val="%1."/>
      <w:numFmt w:val="decimal"/>
      <w:start w:val="5"/>
    </w:lvl>
  </w:abstractNum>
  <w:abstractNum w:abstractNumId="67">
    <w:nsid w:val="68EB2F63"/>
    <w:multiLevelType w:val="hybridMultilevel"/>
    <w:lvl w:ilvl="0">
      <w:lvlJc w:val="left"/>
      <w:lvlText w:val="(%1)"/>
      <w:numFmt w:val="lowerLetter"/>
      <w:start w:val="1"/>
    </w:lvl>
  </w:abstractNum>
  <w:abstractNum w:abstractNumId="68">
    <w:nsid w:val="4962813B"/>
    <w:multiLevelType w:val="hybridMultilevel"/>
    <w:lvl w:ilvl="0">
      <w:lvlJc w:val="left"/>
      <w:lvlText w:val="%1."/>
      <w:numFmt w:val="decimal"/>
      <w:start w:val="1"/>
    </w:lvl>
  </w:abstractNum>
  <w:abstractNum w:abstractNumId="69">
    <w:nsid w:val="60B6DF70"/>
    <w:multiLevelType w:val="hybridMultilevel"/>
    <w:lvl w:ilvl="0">
      <w:lvlJc w:val="left"/>
      <w:lvlText w:val="(%1)"/>
      <w:numFmt w:val="lowerLetter"/>
      <w:start w:val="1"/>
    </w:lvl>
  </w:abstractNum>
  <w:abstractNum w:abstractNumId="70">
    <w:nsid w:val="6A5EE64"/>
    <w:multiLevelType w:val="hybridMultilevel"/>
    <w:lvl w:ilvl="0">
      <w:lvlJc w:val="left"/>
      <w:lvlText w:val="%1."/>
      <w:numFmt w:val="decimal"/>
      <w:start w:val="5"/>
    </w:lvl>
  </w:abstractNum>
  <w:abstractNum w:abstractNumId="71">
    <w:nsid w:val="14330624"/>
    <w:multiLevelType w:val="hybridMultilevel"/>
    <w:lvl w:ilvl="0">
      <w:lvlJc w:val="left"/>
      <w:lvlText w:val="(%1)"/>
      <w:numFmt w:val="lowerLetter"/>
      <w:start w:val="1"/>
    </w:lvl>
  </w:abstractNum>
  <w:abstractNum w:abstractNumId="72">
    <w:nsid w:val="7FFFCA11"/>
    <w:multiLevelType w:val="hybridMultilevel"/>
    <w:lvl w:ilvl="0">
      <w:lvlJc w:val="left"/>
      <w:lvlText w:val="%1."/>
      <w:numFmt w:val="decimal"/>
      <w:start w:val="1"/>
    </w:lvl>
  </w:abstractNum>
  <w:abstractNum w:abstractNumId="73">
    <w:nsid w:val="1A27709E"/>
    <w:multiLevelType w:val="hybridMultilevel"/>
    <w:lvl w:ilvl="0">
      <w:lvlJc w:val="left"/>
      <w:lvlText w:val="%1."/>
      <w:numFmt w:val="decimal"/>
      <w:start w:val="1"/>
    </w:lvl>
  </w:abstractNum>
  <w:abstractNum w:abstractNumId="74">
    <w:nsid w:val="71EA1109"/>
    <w:multiLevelType w:val="hybridMultilevel"/>
    <w:lvl w:ilvl="0">
      <w:lvlJc w:val="left"/>
      <w:lvlText w:val="$"/>
      <w:numFmt w:val="bullet"/>
      <w:start w:val="1"/>
    </w:lvl>
  </w:abstractNum>
  <w:abstractNum w:abstractNumId="75">
    <w:nsid w:val="100F59DC"/>
    <w:multiLevelType w:val="hybridMultilevel"/>
    <w:lvl w:ilvl="0">
      <w:lvlJc w:val="left"/>
      <w:lvlText w:val="$"/>
      <w:numFmt w:val="bullet"/>
      <w:start w:val="1"/>
    </w:lvl>
  </w:abstractNum>
  <w:abstractNum w:abstractNumId="76">
    <w:nsid w:val="7FB7E0AA"/>
    <w:multiLevelType w:val="hybridMultilevel"/>
    <w:lvl w:ilvl="0">
      <w:lvlJc w:val="left"/>
      <w:lvlText w:val="$"/>
      <w:numFmt w:val="bullet"/>
      <w:start w:val="1"/>
    </w:lvl>
  </w:abstractNum>
  <w:abstractNum w:abstractNumId="77">
    <w:nsid w:val="6EB5BD4"/>
    <w:multiLevelType w:val="hybridMultilevel"/>
    <w:lvl w:ilvl="0">
      <w:lvlJc w:val="left"/>
      <w:lvlText w:val="$"/>
      <w:numFmt w:val="bullet"/>
      <w:start w:val="1"/>
    </w:lvl>
  </w:abstractNum>
  <w:abstractNum w:abstractNumId="78">
    <w:nsid w:val="6F6DD9AC"/>
    <w:multiLevelType w:val="hybridMultilevel"/>
    <w:lvl w:ilvl="0">
      <w:lvlJc w:val="left"/>
      <w:lvlText w:val="%1."/>
      <w:numFmt w:val="decimal"/>
      <w:start w:val="1"/>
    </w:lvl>
  </w:abstractNum>
  <w:abstractNum w:abstractNumId="79">
    <w:nsid w:val="94211F2"/>
    <w:multiLevelType w:val="hybridMultilevel"/>
    <w:lvl w:ilvl="0">
      <w:lvlJc w:val="left"/>
      <w:lvlText w:val="%1."/>
      <w:numFmt w:val="decimal"/>
      <w:start w:val="2"/>
    </w:lvl>
  </w:abstractNum>
  <w:abstractNum w:abstractNumId="80">
    <w:nsid w:val="885E1B"/>
    <w:multiLevelType w:val="hybridMultilevel"/>
    <w:lvl w:ilvl="0">
      <w:lvlJc w:val="left"/>
      <w:lvlText w:val="%1."/>
      <w:numFmt w:val="decimal"/>
      <w:start w:val="3"/>
    </w:lvl>
  </w:abstractNum>
  <w:abstractNum w:abstractNumId="81">
    <w:nsid w:val="76272110"/>
    <w:multiLevelType w:val="hybridMultilevel"/>
    <w:lvl w:ilvl="0">
      <w:lvlJc w:val="left"/>
      <w:lvlText w:val="(%1)"/>
      <w:numFmt w:val="decimal"/>
      <w:start w:val="1"/>
    </w:lvl>
  </w:abstractNum>
  <w:abstractNum w:abstractNumId="82">
    <w:nsid w:val="4C04A8AF"/>
    <w:multiLevelType w:val="hybridMultilevel"/>
    <w:lvl w:ilvl="0">
      <w:lvlJc w:val="left"/>
      <w:lvlText w:val="%1."/>
      <w:numFmt w:val="decimal"/>
      <w:start w:val="5"/>
    </w:lvl>
  </w:abstractNum>
  <w:abstractNum w:abstractNumId="83">
    <w:nsid w:val="1716703B"/>
    <w:multiLevelType w:val="hybridMultilevel"/>
    <w:lvl w:ilvl="0">
      <w:lvlJc w:val="left"/>
      <w:lvlText w:val="%1."/>
      <w:numFmt w:val="decimal"/>
      <w:start w:val="7"/>
    </w:lvl>
  </w:abstractNum>
  <w:abstractNum w:abstractNumId="84">
    <w:nsid w:val="14E17E33"/>
    <w:multiLevelType w:val="hybridMultilevel"/>
    <w:lvl w:ilvl="0">
      <w:lvlJc w:val="left"/>
      <w:lvlText w:val="%1."/>
      <w:numFmt w:val="decimal"/>
      <w:start w:val="8"/>
    </w:lvl>
  </w:abstractNum>
  <w:abstractNum w:abstractNumId="85">
    <w:nsid w:val="3222E7CD"/>
    <w:multiLevelType w:val="hybridMultilevel"/>
    <w:lvl w:ilvl="0">
      <w:lvlJc w:val="left"/>
      <w:lvlText w:val="%1."/>
      <w:numFmt w:val="decimal"/>
      <w:start w:val="9"/>
    </w:lvl>
  </w:abstractNum>
  <w:abstractNum w:abstractNumId="86">
    <w:nsid w:val="74DE0EE3"/>
    <w:multiLevelType w:val="hybridMultilevel"/>
    <w:lvl w:ilvl="0">
      <w:lvlJc w:val="left"/>
      <w:lvlText w:val="%1."/>
      <w:numFmt w:val="decimal"/>
      <w:start w:val="10"/>
    </w:lvl>
  </w:abstractNum>
  <w:abstractNum w:abstractNumId="87">
    <w:nsid w:val="68EBC550"/>
    <w:multiLevelType w:val="hybridMultilevel"/>
    <w:lvl w:ilvl="0">
      <w:lvlJc w:val="left"/>
      <w:lvlText w:val="%1."/>
      <w:numFmt w:val="decimal"/>
      <w:start w:val="11"/>
    </w:lvl>
  </w:abstractNum>
  <w:abstractNum w:abstractNumId="88">
    <w:nsid w:val="2DF6D648"/>
    <w:multiLevelType w:val="hybridMultilevel"/>
    <w:lvl w:ilvl="0">
      <w:lvlJc w:val="left"/>
      <w:lvlText w:val="%1."/>
      <w:numFmt w:val="decimal"/>
      <w:start w:val="12"/>
    </w:lvl>
  </w:abstractNum>
  <w:abstractNum w:abstractNumId="89">
    <w:nsid w:val="46B7D447"/>
    <w:multiLevelType w:val="hybridMultilevel"/>
    <w:lvl w:ilvl="0">
      <w:lvlJc w:val="left"/>
      <w:lvlText w:val="%1."/>
      <w:numFmt w:val="decimal"/>
      <w:start w:val="13"/>
    </w:lvl>
  </w:abstractNum>
  <w:abstractNum w:abstractNumId="90">
    <w:nsid w:val="4A2AC315"/>
    <w:multiLevelType w:val="hybridMultilevel"/>
    <w:lvl w:ilvl="0">
      <w:lvlJc w:val="left"/>
      <w:lvlText w:val="%1."/>
      <w:numFmt w:val="decimal"/>
      <w:start w:val="14"/>
    </w:lvl>
  </w:abstractNum>
  <w:abstractNum w:abstractNumId="91">
    <w:nsid w:val="39EE015C"/>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2019-12-11T03:39:06Z</dcterms:created>
  <dcterms:modified xsi:type="dcterms:W3CDTF">2019-12-11T03:39:06Z</dcterms:modified>
</cp:coreProperties>
</file>