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193040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ind w:right="-15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220980</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QUARTERLY REPORT PURSUANT TO SECTION 13 OR 15(d) OF THE SECURITIES</w:t>
      </w:r>
    </w:p>
    <w:p>
      <w:pPr>
        <w:spacing w:after="0" w:line="14"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EXCHANGE ACT OF 1934</w:t>
      </w:r>
    </w:p>
    <w:p>
      <w:pPr>
        <w:spacing w:after="0" w:line="141"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For the quarterly period ended September 27, 2007</w:t>
      </w:r>
    </w:p>
    <w:p>
      <w:pPr>
        <w:spacing w:after="0" w:line="171"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Commission file number: 001-33296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NATIONAL CINEMEDIA, INC.</w:t>
      </w:r>
    </w:p>
    <w:p>
      <w:pPr>
        <w:spacing w:after="0" w:line="49" w:lineRule="exact"/>
        <w:rPr>
          <w:sz w:val="24"/>
          <w:szCs w:val="24"/>
          <w:color w:val="auto"/>
        </w:rPr>
      </w:pPr>
    </w:p>
    <w:p>
      <w:pPr>
        <w:jc w:val="center"/>
        <w:ind w:right="-15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189230</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387" w:lineRule="exact"/>
        <w:rPr>
          <w:sz w:val="24"/>
          <w:szCs w:val="24"/>
          <w:color w:val="auto"/>
        </w:rPr>
      </w:pPr>
    </w:p>
    <w:tbl>
      <w:tblPr>
        <w:tblLayout w:type="fixed"/>
        <w:tblInd w:w="1520" w:type="dxa"/>
        <w:tblCellMar>
          <w:top w:w="0" w:type="dxa"/>
          <w:left w:w="0" w:type="dxa"/>
          <w:bottom w:w="0" w:type="dxa"/>
          <w:right w:w="0" w:type="dxa"/>
        </w:tblCellMar>
      </w:tblPr>
      <w:tr>
        <w:trPr>
          <w:trHeight w:val="218"/>
        </w:trPr>
        <w:tc>
          <w:tcPr>
            <w:tcW w:w="4660" w:type="dxa"/>
            <w:vAlign w:val="bottom"/>
          </w:tcPr>
          <w:p>
            <w:pPr>
              <w:jc w:val="center"/>
              <w:ind w:right="1882"/>
              <w:spacing w:after="0"/>
              <w:rPr>
                <w:sz w:val="20"/>
                <w:szCs w:val="20"/>
                <w:color w:val="auto"/>
              </w:rPr>
            </w:pPr>
            <w:r>
              <w:rPr>
                <w:rFonts w:ascii="Arial" w:cs="Arial" w:eastAsia="Arial" w:hAnsi="Arial"/>
                <w:sz w:val="18"/>
                <w:szCs w:val="18"/>
                <w:b w:val="1"/>
                <w:bCs w:val="1"/>
                <w:color w:val="auto"/>
                <w:w w:val="88"/>
              </w:rPr>
              <w:t>Delaware</w:t>
            </w:r>
          </w:p>
        </w:tc>
        <w:tc>
          <w:tcPr>
            <w:tcW w:w="3040" w:type="dxa"/>
            <w:vAlign w:val="bottom"/>
          </w:tcPr>
          <w:p>
            <w:pPr>
              <w:jc w:val="center"/>
              <w:ind w:left="1884"/>
              <w:spacing w:after="0"/>
              <w:rPr>
                <w:sz w:val="20"/>
                <w:szCs w:val="20"/>
                <w:color w:val="auto"/>
              </w:rPr>
            </w:pPr>
            <w:r>
              <w:rPr>
                <w:rFonts w:ascii="Arial" w:cs="Arial" w:eastAsia="Arial" w:hAnsi="Arial"/>
                <w:sz w:val="18"/>
                <w:szCs w:val="18"/>
                <w:b w:val="1"/>
                <w:bCs w:val="1"/>
                <w:color w:val="auto"/>
                <w:w w:val="87"/>
              </w:rPr>
              <w:t>20-5665602</w:t>
            </w:r>
          </w:p>
        </w:tc>
      </w:tr>
      <w:tr>
        <w:trPr>
          <w:trHeight w:val="149"/>
        </w:trPr>
        <w:tc>
          <w:tcPr>
            <w:tcW w:w="4660" w:type="dxa"/>
            <w:vAlign w:val="bottom"/>
          </w:tcPr>
          <w:p>
            <w:pPr>
              <w:jc w:val="center"/>
              <w:ind w:right="1882"/>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040" w:type="dxa"/>
            <w:vAlign w:val="bottom"/>
          </w:tcPr>
          <w:p>
            <w:pPr>
              <w:jc w:val="center"/>
              <w:ind w:left="1904"/>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4660" w:type="dxa"/>
            <w:vAlign w:val="bottom"/>
          </w:tcPr>
          <w:p>
            <w:pPr>
              <w:jc w:val="center"/>
              <w:ind w:right="1882"/>
              <w:spacing w:after="0"/>
              <w:rPr>
                <w:sz w:val="20"/>
                <w:szCs w:val="20"/>
                <w:color w:val="auto"/>
              </w:rPr>
            </w:pPr>
            <w:r>
              <w:rPr>
                <w:rFonts w:ascii="Arial" w:cs="Arial" w:eastAsia="Arial" w:hAnsi="Arial"/>
                <w:sz w:val="14"/>
                <w:szCs w:val="14"/>
                <w:b w:val="1"/>
                <w:bCs w:val="1"/>
                <w:color w:val="auto"/>
                <w:w w:val="89"/>
              </w:rPr>
              <w:t>Incorporation or Organization)</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Identification No.)</w:t>
            </w:r>
          </w:p>
        </w:tc>
      </w:tr>
      <w:tr>
        <w:trPr>
          <w:trHeight w:val="405"/>
        </w:trPr>
        <w:tc>
          <w:tcPr>
            <w:tcW w:w="4660" w:type="dxa"/>
            <w:vAlign w:val="bottom"/>
          </w:tcPr>
          <w:p>
            <w:pPr>
              <w:jc w:val="center"/>
              <w:ind w:right="1902"/>
              <w:spacing w:after="0"/>
              <w:rPr>
                <w:sz w:val="20"/>
                <w:szCs w:val="20"/>
                <w:color w:val="auto"/>
              </w:rPr>
            </w:pPr>
            <w:r>
              <w:rPr>
                <w:rFonts w:ascii="Arial" w:cs="Arial" w:eastAsia="Arial" w:hAnsi="Arial"/>
                <w:sz w:val="18"/>
                <w:szCs w:val="18"/>
                <w:b w:val="1"/>
                <w:bCs w:val="1"/>
                <w:color w:val="auto"/>
                <w:w w:val="85"/>
              </w:rPr>
              <w:t>9110 East Nichols Avenue, Suite 200</w:t>
            </w:r>
          </w:p>
        </w:tc>
        <w:tc>
          <w:tcPr>
            <w:tcW w:w="3040" w:type="dxa"/>
            <w:vAlign w:val="bottom"/>
          </w:tcPr>
          <w:p>
            <w:pPr>
              <w:spacing w:after="0"/>
              <w:rPr>
                <w:sz w:val="24"/>
                <w:szCs w:val="24"/>
                <w:color w:val="auto"/>
              </w:rPr>
            </w:pPr>
          </w:p>
        </w:tc>
      </w:tr>
      <w:tr>
        <w:trPr>
          <w:trHeight w:val="231"/>
        </w:trPr>
        <w:tc>
          <w:tcPr>
            <w:tcW w:w="4660" w:type="dxa"/>
            <w:vAlign w:val="bottom"/>
          </w:tcPr>
          <w:p>
            <w:pPr>
              <w:jc w:val="center"/>
              <w:ind w:right="1902"/>
              <w:spacing w:after="0"/>
              <w:rPr>
                <w:sz w:val="20"/>
                <w:szCs w:val="20"/>
                <w:color w:val="auto"/>
              </w:rPr>
            </w:pPr>
            <w:r>
              <w:rPr>
                <w:rFonts w:ascii="Arial" w:cs="Arial" w:eastAsia="Arial" w:hAnsi="Arial"/>
                <w:sz w:val="18"/>
                <w:szCs w:val="18"/>
                <w:b w:val="1"/>
                <w:bCs w:val="1"/>
                <w:color w:val="auto"/>
                <w:w w:val="88"/>
              </w:rPr>
              <w:t>Centennial, Colorado</w:t>
            </w:r>
          </w:p>
        </w:tc>
        <w:tc>
          <w:tcPr>
            <w:tcW w:w="3040" w:type="dxa"/>
            <w:vAlign w:val="bottom"/>
          </w:tcPr>
          <w:p>
            <w:pPr>
              <w:jc w:val="center"/>
              <w:ind w:left="1884"/>
              <w:spacing w:after="0"/>
              <w:rPr>
                <w:sz w:val="20"/>
                <w:szCs w:val="20"/>
                <w:color w:val="auto"/>
              </w:rPr>
            </w:pPr>
            <w:r>
              <w:rPr>
                <w:rFonts w:ascii="Arial" w:cs="Arial" w:eastAsia="Arial" w:hAnsi="Arial"/>
                <w:sz w:val="18"/>
                <w:szCs w:val="18"/>
                <w:b w:val="1"/>
                <w:bCs w:val="1"/>
                <w:color w:val="auto"/>
                <w:w w:val="87"/>
              </w:rPr>
              <w:t>80112-3405</w:t>
            </w:r>
          </w:p>
        </w:tc>
      </w:tr>
      <w:tr>
        <w:trPr>
          <w:trHeight w:val="174"/>
        </w:trPr>
        <w:tc>
          <w:tcPr>
            <w:tcW w:w="4660" w:type="dxa"/>
            <w:vAlign w:val="bottom"/>
          </w:tcPr>
          <w:p>
            <w:pPr>
              <w:jc w:val="center"/>
              <w:ind w:right="1882"/>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040" w:type="dxa"/>
            <w:vAlign w:val="bottom"/>
          </w:tcPr>
          <w:p>
            <w:pPr>
              <w:jc w:val="center"/>
              <w:ind w:left="1904"/>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Registrant’s telephone number, including area code: (303) 792-3600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212090</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81" w:lineRule="exact"/>
        <w:rPr>
          <w:sz w:val="24"/>
          <w:szCs w:val="24"/>
          <w:color w:val="auto"/>
        </w:rPr>
      </w:pPr>
    </w:p>
    <w:p>
      <w:pPr>
        <w:ind w:right="140"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99" w:lineRule="exact"/>
        <w:rPr>
          <w:sz w:val="24"/>
          <w:szCs w:val="24"/>
          <w:color w:val="auto"/>
        </w:rPr>
      </w:pPr>
    </w:p>
    <w:p>
      <w:pPr>
        <w:ind w:left="3060"/>
        <w:spacing w:after="0" w:line="207" w:lineRule="exact"/>
        <w:tabs>
          <w:tab w:leader="none" w:pos="5020" w:val="left"/>
          <w:tab w:leader="none" w:pos="66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207" w:lineRule="exact"/>
        <w:tabs>
          <w:tab w:leader="none" w:pos="8640" w:val="left"/>
          <w:tab w:leader="none" w:pos="9360" w:val="left"/>
        </w:tabs>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04" w:lineRule="exact"/>
        <w:rPr>
          <w:sz w:val="24"/>
          <w:szCs w:val="24"/>
          <w:color w:val="auto"/>
        </w:rPr>
      </w:pPr>
    </w:p>
    <w:p>
      <w:pPr>
        <w:ind w:left="460"/>
        <w:spacing w:after="0"/>
        <w:rPr>
          <w:sz w:val="20"/>
          <w:szCs w:val="20"/>
          <w:color w:val="auto"/>
        </w:rPr>
      </w:pPr>
      <w:r>
        <w:rPr>
          <w:rFonts w:ascii="Arial" w:cs="Arial" w:eastAsia="Arial" w:hAnsi="Arial"/>
          <w:sz w:val="18"/>
          <w:szCs w:val="18"/>
          <w:color w:val="auto"/>
        </w:rPr>
        <w:t>As of November 6, 2007, 42,000,000 shares of the registrant’s common stock, par value of $0.01 per share,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128905</wp:posOffset>
            </wp:positionV>
            <wp:extent cx="7250430"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280"/>
          </w:cols>
          <w:pgMar w:left="240" w:top="230" w:right="3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360" w:type="dxa"/>
            <w:vAlign w:val="bottom"/>
            <w:gridSpan w:val="17"/>
            <w:vMerge w:val="restart"/>
          </w:tcPr>
          <w:p>
            <w:pPr>
              <w:spacing w:after="0"/>
              <w:rPr>
                <w:sz w:val="20"/>
                <w:szCs w:val="20"/>
                <w:color w:val="auto"/>
              </w:rPr>
            </w:pPr>
            <w:r>
              <w:rPr>
                <w:rFonts w:ascii="Arial" w:cs="Arial" w:eastAsia="Arial" w:hAnsi="Arial"/>
                <w:sz w:val="18"/>
                <w:szCs w:val="18"/>
                <w:b w:val="1"/>
                <w:bCs w:val="1"/>
                <w:color w:val="auto"/>
              </w:rPr>
              <w:t>PART I</w:t>
            </w:r>
          </w:p>
        </w:tc>
        <w:tc>
          <w:tcPr>
            <w:tcW w:w="2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208"/>
        </w:trPr>
        <w:tc>
          <w:tcPr>
            <w:tcW w:w="7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360" w:type="dxa"/>
            <w:vAlign w:val="bottom"/>
            <w:gridSpan w:val="17"/>
            <w:vMerge w:val="continue"/>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4"/>
        </w:trPr>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0360" w:type="dxa"/>
            <w:vAlign w:val="bottom"/>
            <w:gridSpan w:val="17"/>
          </w:tcPr>
          <w:p>
            <w:pPr>
              <w:spacing w:after="0"/>
              <w:rPr>
                <w:sz w:val="20"/>
                <w:szCs w:val="20"/>
                <w:color w:val="auto"/>
              </w:rPr>
            </w:pPr>
            <w:r>
              <w:rPr>
                <w:rFonts w:ascii="Arial" w:cs="Arial" w:eastAsia="Arial" w:hAnsi="Arial"/>
                <w:sz w:val="18"/>
                <w:szCs w:val="18"/>
                <w:color w:val="auto"/>
              </w:rPr>
              <w:t>Financial Statements</w:t>
            </w: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40" w:type="dxa"/>
            <w:vAlign w:val="bottom"/>
            <w:tcBorders>
              <w:bottom w:val="single" w:sz="8" w:color="0000EE"/>
            </w:tcBorders>
            <w:gridSpan w:val="9"/>
          </w:tcPr>
          <w:p>
            <w:pPr>
              <w:spacing w:after="0"/>
              <w:rPr>
                <w:rFonts w:ascii="Arial" w:cs="Arial" w:eastAsia="Arial" w:hAnsi="Arial"/>
                <w:sz w:val="18"/>
                <w:szCs w:val="18"/>
                <w:color w:val="0000EE"/>
                <w:w w:val="86"/>
              </w:rPr>
            </w:pPr>
            <w:hyperlink w:anchor="page3">
              <w:r>
                <w:rPr>
                  <w:rFonts w:ascii="Arial" w:cs="Arial" w:eastAsia="Arial" w:hAnsi="Arial"/>
                  <w:sz w:val="18"/>
                  <w:szCs w:val="18"/>
                  <w:color w:val="0000EE"/>
                  <w:w w:val="86"/>
                </w:rPr>
                <w:t>Unaudited Condensed Consolidated Balance Sheets</w:t>
              </w:r>
            </w:hyperlink>
          </w:p>
        </w:tc>
        <w:tc>
          <w:tcPr>
            <w:tcW w:w="6720" w:type="dxa"/>
            <w:vAlign w:val="bottom"/>
            <w:gridSpan w:val="8"/>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6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Condensed Consolidated Statements of Operations</w:t>
              </w:r>
            </w:hyperlink>
          </w:p>
        </w:tc>
        <w:tc>
          <w:tcPr>
            <w:tcW w:w="280" w:type="dxa"/>
            <w:vAlign w:val="bottom"/>
          </w:tcPr>
          <w:p>
            <w:pPr>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400" w:type="dxa"/>
            <w:vAlign w:val="bottom"/>
            <w:tcBorders>
              <w:bottom w:val="single" w:sz="8" w:color="0000EE"/>
            </w:tcBorders>
            <w:gridSpan w:val="14"/>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Unaudited Condensed Consolidated Statements of Cash Flows</w:t>
              </w:r>
            </w:hyperlink>
          </w:p>
        </w:tc>
        <w:tc>
          <w:tcPr>
            <w:tcW w:w="5960" w:type="dxa"/>
            <w:vAlign w:val="bottom"/>
            <w:gridSpan w:val="3"/>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3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Unaudited Condensed Consolidated Financial Statements</w:t>
              </w:r>
            </w:hyperlink>
          </w:p>
        </w:tc>
        <w:tc>
          <w:tcPr>
            <w:tcW w:w="280" w:type="dxa"/>
            <w:vAlign w:val="bottom"/>
          </w:tcPr>
          <w:p>
            <w:pPr>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310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89"/>
              </w:rPr>
            </w:pPr>
            <w:hyperlink w:anchor="page20">
              <w:r>
                <w:rPr>
                  <w:rFonts w:ascii="Arial" w:cs="Arial" w:eastAsia="Arial" w:hAnsi="Arial"/>
                  <w:sz w:val="18"/>
                  <w:szCs w:val="18"/>
                  <w:color w:val="0000EE"/>
                  <w:w w:val="89"/>
                </w:rPr>
                <w:t>Unaudited Pro Forma Financial Information</w:t>
              </w:r>
            </w:hyperlink>
          </w:p>
        </w:tc>
        <w:tc>
          <w:tcPr>
            <w:tcW w:w="1560" w:type="dxa"/>
            <w:vAlign w:val="bottom"/>
            <w:tcBorders>
              <w:top w:val="single" w:sz="8" w:color="0000EE"/>
            </w:tcBorders>
            <w:gridSpan w:val="7"/>
          </w:tcPr>
          <w:p>
            <w:pPr>
              <w:spacing w:after="0"/>
              <w:rPr>
                <w:sz w:val="24"/>
                <w:szCs w:val="24"/>
                <w:color w:val="auto"/>
              </w:rPr>
            </w:pPr>
          </w:p>
        </w:tc>
        <w:tc>
          <w:tcPr>
            <w:tcW w:w="5700" w:type="dxa"/>
            <w:vAlign w:val="bottom"/>
            <w:gridSpan w:val="2"/>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24">
              <w:r>
                <w:rPr>
                  <w:rFonts w:ascii="Arial" w:cs="Arial" w:eastAsia="Arial" w:hAnsi="Arial"/>
                  <w:sz w:val="18"/>
                  <w:szCs w:val="18"/>
                  <w:color w:val="0000EE"/>
                  <w:w w:val="88"/>
                </w:rPr>
                <w:t>Management’s Discussion and Analysis of Financial Condition and Results of Operations</w:t>
              </w:r>
            </w:hyperlink>
          </w:p>
        </w:tc>
        <w:tc>
          <w:tcPr>
            <w:tcW w:w="406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360" w:type="dxa"/>
            <w:vAlign w:val="bottom"/>
            <w:gridSpan w:val="17"/>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Quantitative and Qualitative Disclosures about Market Risk</w:t>
              </w:r>
            </w:hyperlink>
          </w:p>
        </w:tc>
        <w:tc>
          <w:tcPr>
            <w:tcW w:w="280" w:type="dxa"/>
            <w:vAlign w:val="bottom"/>
          </w:tcPr>
          <w:p>
            <w:pPr>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200" w:type="dxa"/>
            <w:vAlign w:val="bottom"/>
            <w:tcBorders>
              <w:top w:val="single" w:sz="8" w:color="0000EE"/>
            </w:tcBorders>
            <w:gridSpan w:val="11"/>
          </w:tcPr>
          <w:p>
            <w:pPr>
              <w:spacing w:after="0"/>
              <w:rPr>
                <w:rFonts w:ascii="Arial" w:cs="Arial" w:eastAsia="Arial" w:hAnsi="Arial"/>
                <w:sz w:val="18"/>
                <w:szCs w:val="18"/>
                <w:color w:val="0000EE"/>
              </w:rPr>
            </w:pPr>
            <w:hyperlink w:anchor="page33">
              <w:r>
                <w:rPr>
                  <w:rFonts w:ascii="Arial" w:cs="Arial" w:eastAsia="Arial" w:hAnsi="Arial"/>
                  <w:sz w:val="18"/>
                  <w:szCs w:val="18"/>
                  <w:color w:val="0000EE"/>
                </w:rPr>
                <w:t>Controls and Procedures</w:t>
              </w:r>
            </w:hyperlink>
          </w:p>
        </w:tc>
        <w:tc>
          <w:tcPr>
            <w:tcW w:w="6160" w:type="dxa"/>
            <w:vAlign w:val="bottom"/>
            <w:gridSpan w:val="6"/>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304"/>
        </w:trPr>
        <w:tc>
          <w:tcPr>
            <w:tcW w:w="7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40" w:type="dxa"/>
            <w:vAlign w:val="bottom"/>
            <w:tcBorders>
              <w:top w:val="single" w:sz="8" w:color="0000EE"/>
              <w:bottom w:val="single" w:sz="8" w:color="0000EE"/>
            </w:tcBorders>
            <w:gridSpan w:val="2"/>
          </w:tcPr>
          <w:p>
            <w:pPr>
              <w:spacing w:after="0"/>
              <w:rPr>
                <w:rFonts w:ascii="Arial" w:cs="Arial" w:eastAsia="Arial" w:hAnsi="Arial"/>
                <w:sz w:val="18"/>
                <w:szCs w:val="18"/>
                <w:b w:val="1"/>
                <w:bCs w:val="1"/>
                <w:color w:val="0000EE"/>
                <w:w w:val="96"/>
              </w:rPr>
            </w:pPr>
            <w:hyperlink w:anchor="page34">
              <w:r>
                <w:rPr>
                  <w:rFonts w:ascii="Arial" w:cs="Arial" w:eastAsia="Arial" w:hAnsi="Arial"/>
                  <w:sz w:val="18"/>
                  <w:szCs w:val="18"/>
                  <w:b w:val="1"/>
                  <w:bCs w:val="1"/>
                  <w:color w:val="0000EE"/>
                  <w:w w:val="96"/>
                </w:rPr>
                <w:t>PART II</w:t>
              </w:r>
            </w:hyperlink>
          </w:p>
        </w:tc>
        <w:tc>
          <w:tcPr>
            <w:tcW w:w="1080" w:type="dxa"/>
            <w:vAlign w:val="bottom"/>
            <w:tcBorders>
              <w:top w:val="single" w:sz="8" w:color="0000EE"/>
            </w:tcBorders>
            <w:gridSpan w:val="4"/>
          </w:tcPr>
          <w:p>
            <w:pPr>
              <w:spacing w:after="0"/>
              <w:rPr>
                <w:sz w:val="24"/>
                <w:szCs w:val="24"/>
                <w:color w:val="auto"/>
              </w:rPr>
            </w:pPr>
          </w:p>
        </w:tc>
        <w:tc>
          <w:tcPr>
            <w:tcW w:w="8640" w:type="dxa"/>
            <w:vAlign w:val="bottom"/>
            <w:gridSpan w:val="11"/>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300" w:type="dxa"/>
            <w:vAlign w:val="bottom"/>
            <w:tcBorders>
              <w:bottom w:val="single" w:sz="8" w:color="0000EE"/>
            </w:tcBorders>
            <w:gridSpan w:val="5"/>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Legal Proceedings</w:t>
              </w:r>
            </w:hyperlink>
          </w:p>
        </w:tc>
        <w:tc>
          <w:tcPr>
            <w:tcW w:w="9060" w:type="dxa"/>
            <w:vAlign w:val="bottom"/>
            <w:gridSpan w:val="12"/>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036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Risk Factors</w:t>
              </w:r>
            </w:hyperlink>
          </w:p>
        </w:tc>
        <w:tc>
          <w:tcPr>
            <w:tcW w:w="280" w:type="dxa"/>
            <w:vAlign w:val="bottom"/>
          </w:tcPr>
          <w:p>
            <w:pPr>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120" w:type="dxa"/>
            <w:vAlign w:val="bottom"/>
            <w:gridSpan w:val="5"/>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2.</w:t>
            </w:r>
          </w:p>
        </w:tc>
        <w:tc>
          <w:tcPr>
            <w:tcW w:w="4240" w:type="dxa"/>
            <w:vAlign w:val="bottom"/>
            <w:tcBorders>
              <w:bottom w:val="single" w:sz="8" w:color="0000EE"/>
            </w:tcBorders>
            <w:gridSpan w:val="12"/>
          </w:tcPr>
          <w:p>
            <w:pPr>
              <w:spacing w:after="0"/>
              <w:rPr>
                <w:rFonts w:ascii="Arial" w:cs="Arial" w:eastAsia="Arial" w:hAnsi="Arial"/>
                <w:sz w:val="18"/>
                <w:szCs w:val="18"/>
                <w:color w:val="0000EE"/>
                <w:w w:val="86"/>
              </w:rPr>
            </w:pPr>
            <w:hyperlink w:anchor="page34">
              <w:r>
                <w:rPr>
                  <w:rFonts w:ascii="Arial" w:cs="Arial" w:eastAsia="Arial" w:hAnsi="Arial"/>
                  <w:sz w:val="18"/>
                  <w:szCs w:val="18"/>
                  <w:color w:val="0000EE"/>
                  <w:w w:val="86"/>
                </w:rPr>
                <w:t>Unregistered Sales of Equity Securities and Use of Proceeds</w:t>
              </w:r>
            </w:hyperlink>
          </w:p>
        </w:tc>
        <w:tc>
          <w:tcPr>
            <w:tcW w:w="6120" w:type="dxa"/>
            <w:vAlign w:val="bottom"/>
            <w:gridSpan w:val="5"/>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3.</w:t>
            </w:r>
          </w:p>
        </w:tc>
        <w:tc>
          <w:tcPr>
            <w:tcW w:w="1036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Defaults Upon Senior Securities</w:t>
              </w:r>
            </w:hyperlink>
          </w:p>
        </w:tc>
        <w:tc>
          <w:tcPr>
            <w:tcW w:w="280" w:type="dxa"/>
            <w:vAlign w:val="bottom"/>
          </w:tcPr>
          <w:p>
            <w:pPr>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980" w:type="dxa"/>
            <w:vAlign w:val="bottom"/>
            <w:gridSpan w:val="3"/>
            <w:shd w:val="clear" w:color="auto" w:fill="0000EE"/>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6680" w:type="dxa"/>
            <w:vAlign w:val="bottom"/>
            <w:gridSpan w:val="7"/>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10"/>
          </w:tcPr>
          <w:p>
            <w:pPr>
              <w:spacing w:after="0"/>
              <w:rPr>
                <w:rFonts w:ascii="Arial" w:cs="Arial" w:eastAsia="Arial" w:hAnsi="Arial"/>
                <w:sz w:val="18"/>
                <w:szCs w:val="18"/>
                <w:color w:val="0000EE"/>
                <w:w w:val="88"/>
              </w:rPr>
            </w:pPr>
            <w:hyperlink w:anchor="page34">
              <w:r>
                <w:rPr>
                  <w:rFonts w:ascii="Arial" w:cs="Arial" w:eastAsia="Arial" w:hAnsi="Arial"/>
                  <w:sz w:val="18"/>
                  <w:szCs w:val="18"/>
                  <w:color w:val="0000EE"/>
                  <w:w w:val="88"/>
                </w:rPr>
                <w:t>Submission of Matters to a Vote of Security Holders</w:t>
              </w:r>
            </w:hyperlink>
          </w:p>
        </w:tc>
        <w:tc>
          <w:tcPr>
            <w:tcW w:w="6680" w:type="dxa"/>
            <w:vAlign w:val="bottom"/>
            <w:gridSpan w:val="7"/>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0360" w:type="dxa"/>
            <w:vAlign w:val="bottom"/>
            <w:gridSpan w:val="17"/>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Other Information</w:t>
              </w:r>
            </w:hyperlink>
          </w:p>
        </w:tc>
        <w:tc>
          <w:tcPr>
            <w:tcW w:w="280" w:type="dxa"/>
            <w:vAlign w:val="bottom"/>
          </w:tcPr>
          <w:p>
            <w:pPr>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280" w:type="dxa"/>
            <w:vAlign w:val="bottom"/>
            <w:tcBorders>
              <w:top w:val="single" w:sz="8" w:color="0000EE"/>
            </w:tcBorders>
            <w:gridSpan w:val="4"/>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Exhibits</w:t>
              </w:r>
            </w:hyperlink>
          </w:p>
        </w:tc>
        <w:tc>
          <w:tcPr>
            <w:tcW w:w="9080" w:type="dxa"/>
            <w:vAlign w:val="bottom"/>
            <w:gridSpan w:val="13"/>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304"/>
        </w:trPr>
        <w:tc>
          <w:tcPr>
            <w:tcW w:w="780" w:type="dxa"/>
            <w:vAlign w:val="bottom"/>
            <w:gridSpan w:val="2"/>
          </w:tcPr>
          <w:p>
            <w:pPr>
              <w:spacing w:after="0"/>
              <w:rPr>
                <w:rFonts w:ascii="Arial" w:cs="Arial" w:eastAsia="Arial" w:hAnsi="Arial"/>
                <w:sz w:val="18"/>
                <w:szCs w:val="18"/>
                <w:color w:val="0000EE"/>
                <w:w w:val="88"/>
              </w:rPr>
            </w:pPr>
            <w:hyperlink w:anchor="page36">
              <w:r>
                <w:rPr>
                  <w:rFonts w:ascii="Arial" w:cs="Arial" w:eastAsia="Arial" w:hAnsi="Arial"/>
                  <w:sz w:val="18"/>
                  <w:szCs w:val="18"/>
                  <w:color w:val="0000EE"/>
                  <w:w w:val="88"/>
                </w:rPr>
                <w:t>Signatures</w:t>
              </w:r>
            </w:hyperlink>
          </w:p>
        </w:tc>
        <w:tc>
          <w:tcPr>
            <w:tcW w:w="58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83"/>
        </w:trPr>
        <w:tc>
          <w:tcPr>
            <w:tcW w:w="74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6300" w:type="dxa"/>
            <w:vAlign w:val="bottom"/>
            <w:gridSpan w:val="16"/>
          </w:tcPr>
          <w:p>
            <w:pPr>
              <w:ind w:left="4780"/>
              <w:spacing w:after="0"/>
              <w:rPr>
                <w:sz w:val="20"/>
                <w:szCs w:val="20"/>
                <w:color w:val="auto"/>
              </w:rPr>
            </w:pPr>
            <w:r>
              <w:rPr>
                <w:rFonts w:ascii="Arial" w:cs="Arial" w:eastAsia="Arial" w:hAnsi="Arial"/>
                <w:sz w:val="18"/>
                <w:szCs w:val="18"/>
                <w:color w:val="auto"/>
              </w:rPr>
              <w:t>- 1 -</w:t>
            </w:r>
          </w:p>
        </w:tc>
        <w:tc>
          <w:tcPr>
            <w:tcW w:w="4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160" w:type="dxa"/>
            <w:vAlign w:val="bottom"/>
          </w:tcPr>
          <w:p>
            <w:pPr>
              <w:spacing w:after="0"/>
              <w:rPr>
                <w:sz w:val="14"/>
                <w:szCs w:val="14"/>
                <w:color w:val="auto"/>
              </w:rPr>
            </w:pPr>
          </w:p>
        </w:tc>
        <w:tc>
          <w:tcPr>
            <w:tcW w:w="1660" w:type="dxa"/>
            <w:vAlign w:val="bottom"/>
            <w:gridSpan w:val="3"/>
          </w:tcPr>
          <w:p>
            <w:pPr>
              <w:spacing w:after="0"/>
              <w:rPr>
                <w:sz w:val="20"/>
                <w:szCs w:val="20"/>
                <w:color w:val="auto"/>
              </w:rPr>
            </w:pPr>
            <w:r>
              <w:rPr>
                <w:rFonts w:ascii="Arial" w:cs="Arial" w:eastAsia="Arial" w:hAnsi="Arial"/>
                <w:sz w:val="14"/>
                <w:szCs w:val="14"/>
                <w:b w:val="1"/>
                <w:bCs w:val="1"/>
                <w:color w:val="auto"/>
              </w:rPr>
              <w:t>September 27, 2007</w:t>
            </w:r>
          </w:p>
        </w:tc>
        <w:tc>
          <w:tcPr>
            <w:tcW w:w="480" w:type="dxa"/>
            <w:vAlign w:val="bottom"/>
          </w:tcPr>
          <w:p>
            <w:pPr>
              <w:spacing w:after="0"/>
              <w:rPr>
                <w:sz w:val="14"/>
                <w:szCs w:val="14"/>
                <w:color w:val="auto"/>
              </w:rPr>
            </w:pPr>
          </w:p>
        </w:tc>
        <w:tc>
          <w:tcPr>
            <w:tcW w:w="1120" w:type="dxa"/>
            <w:vAlign w:val="bottom"/>
            <w:gridSpan w:val="3"/>
          </w:tcPr>
          <w:p>
            <w:pPr>
              <w:spacing w:after="0"/>
              <w:rPr>
                <w:sz w:val="20"/>
                <w:szCs w:val="20"/>
                <w:color w:val="auto"/>
              </w:rPr>
            </w:pPr>
            <w:r>
              <w:rPr>
                <w:rFonts w:ascii="Arial" w:cs="Arial" w:eastAsia="Arial" w:hAnsi="Arial"/>
                <w:sz w:val="14"/>
                <w:szCs w:val="14"/>
                <w:b w:val="1"/>
                <w:bCs w:val="1"/>
                <w:color w:val="auto"/>
                <w:w w:val="87"/>
              </w:rPr>
              <w:t>December 28, 2006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Receivables, net of allowance of $1.5 million in 2007 and $1.1 million in 2006</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75.0</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Prepaid expenses</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8180" w:type="dxa"/>
            <w:vAlign w:val="bottom"/>
            <w:gridSpan w:val="2"/>
          </w:tcPr>
          <w:p>
            <w:pPr>
              <w:spacing w:after="0"/>
              <w:rPr>
                <w:sz w:val="20"/>
                <w:szCs w:val="20"/>
                <w:color w:val="auto"/>
              </w:rPr>
            </w:pPr>
            <w:r>
              <w:rPr>
                <w:rFonts w:ascii="Arial" w:cs="Arial" w:eastAsia="Arial" w:hAnsi="Arial"/>
                <w:sz w:val="18"/>
                <w:szCs w:val="18"/>
                <w:color w:val="auto"/>
              </w:rPr>
              <w:t>PROPERTY AND EQUIPMENT, net of accumulated depreciation of $15.6 million in 2007 and $12.7</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160" w:type="dxa"/>
            <w:vAlign w:val="bottom"/>
          </w:tcPr>
          <w:p>
            <w:pPr>
              <w:ind w:left="200"/>
              <w:spacing w:after="0"/>
              <w:rPr>
                <w:sz w:val="20"/>
                <w:szCs w:val="20"/>
                <w:color w:val="auto"/>
              </w:rPr>
            </w:pPr>
            <w:r>
              <w:rPr>
                <w:rFonts w:ascii="Arial" w:cs="Arial" w:eastAsia="Arial" w:hAnsi="Arial"/>
                <w:sz w:val="18"/>
                <w:szCs w:val="18"/>
                <w:color w:val="auto"/>
              </w:rPr>
              <w:t>million in 2006</w:t>
            </w:r>
          </w:p>
        </w:tc>
        <w:tc>
          <w:tcPr>
            <w:tcW w:w="3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17.4</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12.6</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Debt issuance costs, net</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13.6</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assets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Other assets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 in affiliate</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Total other assets</w:t>
            </w:r>
          </w:p>
        </w:tc>
        <w:tc>
          <w:tcPr>
            <w:tcW w:w="3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318.8</w:t>
            </w: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5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180" w:type="dxa"/>
            <w:vAlign w:val="bottom"/>
            <w:gridSpan w:val="2"/>
            <w:vMerge w:val="continue"/>
          </w:tcPr>
          <w:p>
            <w:pPr>
              <w:spacing w:after="0"/>
              <w:rPr>
                <w:sz w:val="18"/>
                <w:szCs w:val="18"/>
                <w:color w:val="auto"/>
              </w:rPr>
            </w:pP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5.0</w:t>
            </w:r>
          </w:p>
        </w:tc>
        <w:tc>
          <w:tcPr>
            <w:tcW w:w="520" w:type="dxa"/>
            <w:vAlign w:val="bottom"/>
          </w:tcPr>
          <w:p>
            <w:pPr>
              <w:spacing w:after="0"/>
              <w:rPr>
                <w:sz w:val="18"/>
                <w:szCs w:val="18"/>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Amounts due to founding members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Accrued payroll and related expenses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8.4</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Accrued expenses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Income taxes payable</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17.6</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Deferred tax liability</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Deferred revenue</w:t>
            </w:r>
          </w:p>
        </w:tc>
        <w:tc>
          <w:tcPr>
            <w:tcW w:w="3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liabilities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62.0</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8180" w:type="dxa"/>
            <w:vAlign w:val="bottom"/>
            <w:gridSpan w:val="2"/>
          </w:tcPr>
          <w:p>
            <w:pPr>
              <w:spacing w:after="0"/>
              <w:rPr>
                <w:sz w:val="20"/>
                <w:szCs w:val="20"/>
                <w:color w:val="auto"/>
              </w:rPr>
            </w:pPr>
            <w:r>
              <w:rPr>
                <w:rFonts w:ascii="Arial" w:cs="Arial" w:eastAsia="Arial" w:hAnsi="Arial"/>
                <w:sz w:val="18"/>
                <w:szCs w:val="18"/>
                <w:color w:val="auto"/>
              </w:rPr>
              <w:t>OTHER LIABILITIES:</w:t>
            </w:r>
          </w:p>
        </w:tc>
        <w:tc>
          <w:tcPr>
            <w:tcW w:w="3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Unit option plan payable</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Deferred tax liability</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55.8</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Taxes payable to founding members</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Interest rate swap agreements and other liabilities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Borrowings</w:t>
            </w:r>
          </w:p>
        </w:tc>
        <w:tc>
          <w:tcPr>
            <w:tcW w:w="3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768.0</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tcPr>
          <w:p>
            <w:pPr>
              <w:ind w:left="860"/>
              <w:spacing w:after="0"/>
              <w:rPr>
                <w:sz w:val="20"/>
                <w:szCs w:val="20"/>
                <w:color w:val="auto"/>
              </w:rPr>
            </w:pPr>
            <w:r>
              <w:rPr>
                <w:rFonts w:ascii="Arial" w:cs="Arial" w:eastAsia="Arial" w:hAnsi="Arial"/>
                <w:sz w:val="18"/>
                <w:szCs w:val="18"/>
                <w:color w:val="auto"/>
              </w:rPr>
              <w:t>Total other liabilities</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955.2</w:t>
            </w:r>
          </w:p>
        </w:tc>
        <w:tc>
          <w:tcPr>
            <w:tcW w:w="5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liabilities</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1,017.2</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180" w:type="dxa"/>
            <w:vAlign w:val="bottom"/>
            <w:gridSpan w:val="2"/>
          </w:tcPr>
          <w:p>
            <w:pPr>
              <w:spacing w:after="0"/>
              <w:rPr>
                <w:sz w:val="20"/>
                <w:szCs w:val="20"/>
                <w:color w:val="auto"/>
              </w:rPr>
            </w:pPr>
            <w:r>
              <w:rPr>
                <w:rFonts w:ascii="Arial" w:cs="Arial" w:eastAsia="Arial" w:hAnsi="Arial"/>
                <w:sz w:val="18"/>
                <w:szCs w:val="18"/>
                <w:color w:val="auto"/>
              </w:rPr>
              <w:t>COMMITMENTS AND CONTINGENCIES (NOTE 13)</w:t>
            </w:r>
          </w:p>
        </w:tc>
        <w:tc>
          <w:tcPr>
            <w:tcW w:w="3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816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0" w:type="dxa"/>
            <w:vAlign w:val="bottom"/>
          </w:tcPr>
          <w:p>
            <w:pPr>
              <w:spacing w:after="0"/>
              <w:rPr>
                <w:sz w:val="9"/>
                <w:szCs w:val="9"/>
                <w:color w:val="auto"/>
              </w:rPr>
            </w:pPr>
          </w:p>
        </w:tc>
        <w:tc>
          <w:tcPr>
            <w:tcW w:w="520" w:type="dxa"/>
            <w:vAlign w:val="bottom"/>
          </w:tcPr>
          <w:p>
            <w:pPr>
              <w:spacing w:after="0"/>
              <w:rPr>
                <w:sz w:val="9"/>
                <w:szCs w:val="9"/>
                <w:color w:val="auto"/>
              </w:rPr>
            </w:pPr>
          </w:p>
        </w:tc>
        <w:tc>
          <w:tcPr>
            <w:tcW w:w="4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EQUITY/(DEFICIT):</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Preferred stock, $0.01 par value; 10,000,000 shares authorized, none issued and outstanding at</w:t>
            </w:r>
          </w:p>
        </w:tc>
        <w:tc>
          <w:tcPr>
            <w:tcW w:w="3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160" w:type="dxa"/>
            <w:vAlign w:val="bottom"/>
          </w:tcPr>
          <w:p>
            <w:pPr>
              <w:ind w:left="640"/>
              <w:spacing w:after="0"/>
              <w:rPr>
                <w:sz w:val="20"/>
                <w:szCs w:val="20"/>
                <w:color w:val="auto"/>
              </w:rPr>
            </w:pPr>
            <w:r>
              <w:rPr>
                <w:rFonts w:ascii="Arial" w:cs="Arial" w:eastAsia="Arial" w:hAnsi="Arial"/>
                <w:sz w:val="18"/>
                <w:szCs w:val="18"/>
                <w:color w:val="auto"/>
              </w:rPr>
              <w:t>September 27, 2007</w:t>
            </w:r>
          </w:p>
        </w:tc>
        <w:tc>
          <w:tcPr>
            <w:tcW w:w="340" w:type="dxa"/>
            <w:vAlign w:val="bottom"/>
          </w:tcPr>
          <w:p>
            <w:pPr>
              <w:spacing w:after="0"/>
              <w:rPr>
                <w:sz w:val="19"/>
                <w:szCs w:val="19"/>
                <w:color w:val="auto"/>
              </w:rPr>
            </w:pPr>
          </w:p>
        </w:tc>
        <w:tc>
          <w:tcPr>
            <w:tcW w:w="1320" w:type="dxa"/>
            <w:vAlign w:val="bottom"/>
            <w:gridSpan w:val="2"/>
          </w:tcPr>
          <w:p>
            <w:pPr>
              <w:jc w:val="right"/>
              <w:ind w:right="620"/>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Common stock, $0.01 par value; 120,000,000 shares authorized, 42,000,000 issued and</w:t>
            </w:r>
          </w:p>
        </w:tc>
        <w:tc>
          <w:tcPr>
            <w:tcW w:w="3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1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at September 27, 2007</w:t>
            </w:r>
          </w:p>
        </w:tc>
        <w:tc>
          <w:tcPr>
            <w:tcW w:w="3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5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3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w:t>
            </w:r>
          </w:p>
        </w:tc>
        <w:tc>
          <w:tcPr>
            <w:tcW w:w="5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Distributions in excess of additional paid in capital</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(589.1)</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420"/>
              <w:spacing w:after="0"/>
              <w:rPr>
                <w:sz w:val="20"/>
                <w:szCs w:val="20"/>
                <w:color w:val="auto"/>
              </w:rPr>
            </w:pPr>
            <w:r>
              <w:rPr>
                <w:rFonts w:ascii="Arial" w:cs="Arial" w:eastAsia="Arial" w:hAnsi="Arial"/>
                <w:sz w:val="18"/>
                <w:szCs w:val="18"/>
                <w:color w:val="auto"/>
              </w:rPr>
              <w:t>Dividends</w:t>
            </w:r>
          </w:p>
        </w:tc>
        <w:tc>
          <w:tcPr>
            <w:tcW w:w="340" w:type="dxa"/>
            <w:vAlign w:val="bottom"/>
          </w:tcPr>
          <w:p>
            <w:pPr>
              <w:spacing w:after="0"/>
              <w:rPr>
                <w:sz w:val="18"/>
                <w:szCs w:val="18"/>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(6.3)</w:t>
            </w: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other comprehensive income/(loss)</w:t>
            </w:r>
          </w:p>
        </w:tc>
        <w:tc>
          <w:tcPr>
            <w:tcW w:w="3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(0.2)</w:t>
            </w: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vMerge w:val="restart"/>
          </w:tcPr>
          <w:p>
            <w:pPr>
              <w:ind w:left="860"/>
              <w:spacing w:after="0"/>
              <w:rPr>
                <w:sz w:val="20"/>
                <w:szCs w:val="20"/>
                <w:color w:val="auto"/>
              </w:rPr>
            </w:pPr>
            <w:r>
              <w:rPr>
                <w:rFonts w:ascii="Arial" w:cs="Arial" w:eastAsia="Arial" w:hAnsi="Arial"/>
                <w:sz w:val="18"/>
                <w:szCs w:val="18"/>
                <w:color w:val="auto"/>
              </w:rPr>
              <w:t>Total stockholders’ equity/(deficit)</w:t>
            </w: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8160" w:type="dxa"/>
            <w:vAlign w:val="bottom"/>
            <w:vMerge w:val="continue"/>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(578.6)</w:t>
            </w:r>
          </w:p>
        </w:tc>
        <w:tc>
          <w:tcPr>
            <w:tcW w:w="4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MEMBERS’ EQUITY</w:t>
            </w: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tcBorders>
              <w:top w:val="single" w:sz="8" w:color="auto"/>
              <w:bottom w:val="single" w:sz="8" w:color="auto"/>
            </w:tcBorders>
            <w:shd w:val="clear" w:color="auto" w:fill="CCEEFF"/>
          </w:tcPr>
          <w:p>
            <w:pPr>
              <w:spacing w:after="0"/>
              <w:rPr>
                <w:sz w:val="18"/>
                <w:szCs w:val="18"/>
                <w:color w:val="auto"/>
              </w:rPr>
            </w:pP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80" w:type="dxa"/>
            <w:vAlign w:val="bottom"/>
            <w:gridSpan w:val="2"/>
          </w:tcPr>
          <w:p>
            <w:pPr>
              <w:spacing w:after="0"/>
              <w:rPr>
                <w:sz w:val="20"/>
                <w:szCs w:val="20"/>
                <w:color w:val="auto"/>
              </w:rPr>
            </w:pPr>
            <w:r>
              <w:rPr>
                <w:rFonts w:ascii="Arial" w:cs="Arial" w:eastAsia="Arial" w:hAnsi="Arial"/>
                <w:sz w:val="18"/>
                <w:szCs w:val="18"/>
                <w:color w:val="auto"/>
              </w:rPr>
              <w:t>TOTAL</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438.6</w:t>
            </w:r>
          </w:p>
        </w:tc>
        <w:tc>
          <w:tcPr>
            <w:tcW w:w="520" w:type="dxa"/>
            <w:vAlign w:val="bottom"/>
          </w:tcPr>
          <w:p>
            <w:pPr>
              <w:spacing w:after="0"/>
              <w:rPr>
                <w:sz w:val="19"/>
                <w:szCs w:val="19"/>
                <w:color w:val="auto"/>
              </w:rPr>
            </w:pPr>
          </w:p>
        </w:tc>
        <w:tc>
          <w:tcPr>
            <w:tcW w:w="9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share and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7"/>
              </w:rPr>
              <w:t>Period</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Period</w:t>
            </w: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4"/>
              </w:rPr>
              <w:t>Quarter</w:t>
            </w:r>
          </w:p>
        </w:tc>
        <w:tc>
          <w:tcPr>
            <w:tcW w:w="180" w:type="dxa"/>
            <w:vAlign w:val="bottom"/>
          </w:tcPr>
          <w:p>
            <w:pPr>
              <w:spacing w:after="0"/>
              <w:rPr>
                <w:sz w:val="12"/>
                <w:szCs w:val="12"/>
                <w:color w:val="auto"/>
              </w:rPr>
            </w:pPr>
          </w:p>
        </w:tc>
        <w:tc>
          <w:tcPr>
            <w:tcW w:w="13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1"/>
              </w:rPr>
              <w:t>February 13,</w:t>
            </w:r>
          </w:p>
        </w:tc>
        <w:tc>
          <w:tcPr>
            <w:tcW w:w="340" w:type="dxa"/>
            <w:vAlign w:val="bottom"/>
          </w:tcPr>
          <w:p>
            <w:pPr>
              <w:spacing w:after="0"/>
              <w:rPr>
                <w:sz w:val="12"/>
                <w:szCs w:val="12"/>
                <w:color w:val="auto"/>
              </w:rPr>
            </w:pPr>
          </w:p>
        </w:tc>
        <w:tc>
          <w:tcPr>
            <w:tcW w:w="10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29,</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0"/>
              </w:rPr>
              <w:t>Quarter</w:t>
            </w:r>
          </w:p>
        </w:tc>
        <w:tc>
          <w:tcPr>
            <w:tcW w:w="16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Ended</w:t>
            </w:r>
          </w:p>
        </w:tc>
        <w:tc>
          <w:tcPr>
            <w:tcW w:w="180" w:type="dxa"/>
            <w:vAlign w:val="bottom"/>
          </w:tcPr>
          <w:p>
            <w:pPr>
              <w:spacing w:after="0"/>
              <w:rPr>
                <w:sz w:val="12"/>
                <w:szCs w:val="12"/>
                <w:color w:val="auto"/>
              </w:rPr>
            </w:pPr>
          </w:p>
        </w:tc>
        <w:tc>
          <w:tcPr>
            <w:tcW w:w="13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34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2006 through</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40" w:type="dxa"/>
            <w:vAlign w:val="bottom"/>
          </w:tcPr>
          <w:p>
            <w:pPr>
              <w:spacing w:after="0"/>
              <w:rPr>
                <w:sz w:val="12"/>
                <w:szCs w:val="12"/>
                <w:color w:val="auto"/>
              </w:rPr>
            </w:pPr>
          </w:p>
        </w:tc>
        <w:tc>
          <w:tcPr>
            <w:tcW w:w="112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7"/>
              </w:rPr>
              <w:t>September 27,</w:t>
            </w:r>
          </w:p>
        </w:tc>
        <w:tc>
          <w:tcPr>
            <w:tcW w:w="180" w:type="dxa"/>
            <w:vAlign w:val="bottom"/>
          </w:tcPr>
          <w:p>
            <w:pPr>
              <w:spacing w:after="0"/>
              <w:rPr>
                <w:sz w:val="12"/>
                <w:szCs w:val="12"/>
                <w:color w:val="auto"/>
              </w:rPr>
            </w:pPr>
          </w:p>
        </w:tc>
        <w:tc>
          <w:tcPr>
            <w:tcW w:w="130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340" w:type="dxa"/>
            <w:vAlign w:val="bottom"/>
          </w:tcPr>
          <w:p>
            <w:pPr>
              <w:spacing w:after="0"/>
              <w:rPr>
                <w:sz w:val="12"/>
                <w:szCs w:val="12"/>
                <w:color w:val="auto"/>
              </w:rPr>
            </w:pPr>
          </w:p>
        </w:tc>
        <w:tc>
          <w:tcPr>
            <w:tcW w:w="10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12,</w:t>
            </w:r>
          </w:p>
        </w:tc>
        <w:tc>
          <w:tcPr>
            <w:tcW w:w="180" w:type="dxa"/>
            <w:vAlign w:val="bottom"/>
          </w:tcPr>
          <w:p>
            <w:pPr>
              <w:spacing w:after="0"/>
              <w:rPr>
                <w:sz w:val="12"/>
                <w:szCs w:val="12"/>
                <w:color w:val="auto"/>
              </w:rPr>
            </w:pPr>
          </w:p>
        </w:tc>
        <w:tc>
          <w:tcPr>
            <w:tcW w:w="10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16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September 28,</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4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2007</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83"/>
              </w:rPr>
              <w:t>2006</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Advertising (including revenue from founding members of</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140" w:type="dxa"/>
            <w:vAlign w:val="bottom"/>
          </w:tcPr>
          <w:p>
            <w:pPr>
              <w:ind w:left="640"/>
              <w:spacing w:after="0"/>
              <w:rPr>
                <w:sz w:val="20"/>
                <w:szCs w:val="20"/>
                <w:color w:val="auto"/>
              </w:rPr>
            </w:pPr>
            <w:r>
              <w:rPr>
                <w:rFonts w:ascii="Arial" w:cs="Arial" w:eastAsia="Arial" w:hAnsi="Arial"/>
                <w:sz w:val="18"/>
                <w:szCs w:val="18"/>
                <w:color w:val="auto"/>
              </w:rPr>
              <w:t>$13.4, $30.7, $0.0, $0.0 and $0.0)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91.3</w:t>
            </w:r>
          </w:p>
        </w:tc>
        <w:tc>
          <w:tcPr>
            <w:tcW w:w="24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197.1</w:t>
            </w:r>
          </w:p>
        </w:tc>
        <w:tc>
          <w:tcPr>
            <w:tcW w:w="48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20.6</w:t>
            </w:r>
          </w:p>
        </w:tc>
        <w:tc>
          <w:tcPr>
            <w:tcW w:w="22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54.9</w:t>
            </w:r>
          </w:p>
        </w:tc>
        <w:tc>
          <w:tcPr>
            <w:tcW w:w="240" w:type="dxa"/>
            <w:vAlign w:val="bottom"/>
          </w:tcPr>
          <w:p>
            <w:pPr>
              <w:spacing w:after="0"/>
              <w:rPr>
                <w:sz w:val="19"/>
                <w:szCs w:val="19"/>
                <w:color w:val="auto"/>
              </w:rPr>
            </w:pP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128.2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fees—founding members</w:t>
            </w: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Meetings and events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16.5</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vMerge w:val="restart"/>
          </w:tcPr>
          <w:p>
            <w:pPr>
              <w:ind w:left="8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4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97.6</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213.7</w:t>
            </w: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23.6</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60.7</w:t>
            </w: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145.2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tcBorders>
              <w:right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6.2</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Meetings and events operating costs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9.3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8"/>
              </w:rPr>
              <w:t>Theatre access fees/circuit share costs—founding members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30.8</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Selling and marketing costs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12.5</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27.9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5.2</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costs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13.2</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Severance plan costs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1.3</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0.4</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0.7</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3.3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Other costs</w:t>
            </w:r>
          </w:p>
        </w:tc>
        <w:tc>
          <w:tcPr>
            <w:tcW w:w="80" w:type="dxa"/>
            <w:vAlign w:val="bottom"/>
          </w:tcPr>
          <w:p>
            <w:pPr>
              <w:spacing w:after="0"/>
              <w:rPr>
                <w:sz w:val="18"/>
                <w:szCs w:val="18"/>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0.6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102.7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6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111.0</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40.7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5160" w:type="dxa"/>
            <w:vAlign w:val="bottom"/>
            <w:gridSpan w:val="2"/>
          </w:tcPr>
          <w:p>
            <w:pPr>
              <w:spacing w:after="0"/>
              <w:rPr>
                <w:sz w:val="20"/>
                <w:szCs w:val="20"/>
                <w:color w:val="auto"/>
              </w:rPr>
            </w:pPr>
            <w:r>
              <w:rPr>
                <w:rFonts w:ascii="Arial" w:cs="Arial" w:eastAsia="Arial" w:hAnsi="Arial"/>
                <w:sz w:val="18"/>
                <w:szCs w:val="18"/>
                <w:color w:val="auto"/>
              </w:rPr>
              <w:t>INCOME (LOSS) BEFORE INCOME TAXES AND MINORITY</w:t>
            </w: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420" w:type="dxa"/>
            <w:vAlign w:val="bottom"/>
            <w:tcBorders>
              <w:right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40" w:type="dxa"/>
            <w:vAlign w:val="bottom"/>
          </w:tcPr>
          <w:p>
            <w:pPr>
              <w:ind w:left="200"/>
              <w:spacing w:after="0"/>
              <w:rPr>
                <w:sz w:val="20"/>
                <w:szCs w:val="20"/>
                <w:color w:val="auto"/>
              </w:rPr>
            </w:pPr>
            <w:r>
              <w:rPr>
                <w:rFonts w:ascii="Arial" w:cs="Arial" w:eastAsia="Arial" w:hAnsi="Arial"/>
                <w:sz w:val="18"/>
                <w:szCs w:val="18"/>
                <w:color w:val="auto"/>
              </w:rPr>
              <w:t>INTEREST</w:t>
            </w: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37.6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70.3</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8"/>
                <w:szCs w:val="18"/>
                <w:color w:val="auto"/>
              </w:rPr>
              <w:t>(0.6)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28.3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MINORITY INTEREST, NET</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tcBorders>
              <w:right w:val="single" w:sz="8" w:color="auto"/>
            </w:tcBorders>
            <w:gridSpan w:val="2"/>
          </w:tcPr>
          <w:p>
            <w:pPr>
              <w:jc w:val="right"/>
              <w:ind w:right="420"/>
              <w:spacing w:after="0"/>
              <w:rPr>
                <w:sz w:val="20"/>
                <w:szCs w:val="20"/>
                <w:color w:val="auto"/>
              </w:rPr>
            </w:pPr>
            <w:r>
              <w:rPr>
                <w:rFonts w:ascii="Arial" w:cs="Arial" w:eastAsia="Arial" w:hAnsi="Arial"/>
                <w:sz w:val="18"/>
                <w:szCs w:val="18"/>
                <w:color w:val="auto"/>
              </w:rPr>
              <w:t>25.4</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20" w:type="dxa"/>
            <w:vAlign w:val="bottom"/>
            <w:tcBorders>
              <w:right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auto"/>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16.6</w:t>
            </w:r>
          </w:p>
        </w:tc>
        <w:tc>
          <w:tcPr>
            <w:tcW w:w="4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
        </w:trPr>
        <w:tc>
          <w:tcPr>
            <w:tcW w:w="516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16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0.22</w:t>
            </w:r>
          </w:p>
        </w:tc>
        <w:tc>
          <w:tcPr>
            <w:tcW w:w="2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0.40</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0.22</w:t>
            </w:r>
          </w:p>
        </w:tc>
        <w:tc>
          <w:tcPr>
            <w:tcW w:w="24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rPr>
              <w:t>0.39</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tcBorders>
              <w:right w:val="single" w:sz="8" w:color="CCEEFF"/>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42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42,000,000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420"/>
              <w:spacing w:after="0"/>
              <w:rPr>
                <w:sz w:val="20"/>
                <w:szCs w:val="20"/>
                <w:color w:val="auto"/>
              </w:rPr>
            </w:pPr>
            <w:r>
              <w:rPr>
                <w:rFonts w:ascii="Arial" w:cs="Arial" w:eastAsia="Arial" w:hAnsi="Arial"/>
                <w:sz w:val="18"/>
                <w:szCs w:val="18"/>
                <w:color w:val="auto"/>
                <w:w w:val="86"/>
              </w:rPr>
              <w:t>42,000,000</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42,107,265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tcBorders>
              <w:right w:val="single" w:sz="8" w:color="CCEEFF"/>
            </w:tcBorders>
            <w:gridSpan w:val="2"/>
            <w:shd w:val="clear" w:color="auto" w:fill="CCEEFF"/>
          </w:tcPr>
          <w:p>
            <w:pPr>
              <w:jc w:val="right"/>
              <w:ind w:right="420"/>
              <w:spacing w:after="0"/>
              <w:rPr>
                <w:sz w:val="20"/>
                <w:szCs w:val="20"/>
                <w:color w:val="auto"/>
              </w:rPr>
            </w:pPr>
            <w:r>
              <w:rPr>
                <w:rFonts w:ascii="Arial" w:cs="Arial" w:eastAsia="Arial" w:hAnsi="Arial"/>
                <w:sz w:val="18"/>
                <w:szCs w:val="18"/>
                <w:color w:val="auto"/>
                <w:w w:val="86"/>
              </w:rPr>
              <w:t>42,175,295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80" w:type="dxa"/>
            <w:vAlign w:val="bottom"/>
          </w:tcPr>
          <w:p>
            <w:pPr>
              <w:spacing w:after="0"/>
              <w:rPr>
                <w:sz w:val="14"/>
                <w:szCs w:val="14"/>
                <w:color w:val="auto"/>
              </w:rPr>
            </w:pPr>
          </w:p>
        </w:tc>
        <w:tc>
          <w:tcPr>
            <w:tcW w:w="1860" w:type="dxa"/>
            <w:vAlign w:val="bottom"/>
            <w:gridSpan w:val="3"/>
          </w:tcPr>
          <w:p>
            <w:pPr>
              <w:jc w:val="center"/>
              <w:ind w:right="660"/>
              <w:spacing w:after="0"/>
              <w:rPr>
                <w:sz w:val="20"/>
                <w:szCs w:val="20"/>
                <w:color w:val="auto"/>
              </w:rPr>
            </w:pPr>
            <w:r>
              <w:rPr>
                <w:rFonts w:ascii="Arial" w:cs="Arial" w:eastAsia="Arial" w:hAnsi="Arial"/>
                <w:sz w:val="14"/>
                <w:szCs w:val="14"/>
                <w:b w:val="1"/>
                <w:bCs w:val="1"/>
                <w:color w:val="auto"/>
                <w:w w:val="88"/>
              </w:rPr>
              <w:t>Period February 13,</w:t>
            </w:r>
          </w:p>
        </w:tc>
        <w:tc>
          <w:tcPr>
            <w:tcW w:w="560" w:type="dxa"/>
            <w:vAlign w:val="bottom"/>
          </w:tcPr>
          <w:p>
            <w:pPr>
              <w:spacing w:after="0"/>
              <w:rPr>
                <w:sz w:val="14"/>
                <w:szCs w:val="14"/>
                <w:color w:val="auto"/>
              </w:rPr>
            </w:pPr>
          </w:p>
        </w:tc>
        <w:tc>
          <w:tcPr>
            <w:tcW w:w="154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Period December 29,</w:t>
            </w:r>
          </w:p>
        </w:tc>
        <w:tc>
          <w:tcPr>
            <w:tcW w:w="280" w:type="dxa"/>
            <w:vAlign w:val="bottom"/>
          </w:tcPr>
          <w:p>
            <w:pPr>
              <w:spacing w:after="0"/>
              <w:rPr>
                <w:sz w:val="14"/>
                <w:szCs w:val="14"/>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2006 through</w:t>
            </w: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62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2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8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88"/>
              </w:rPr>
              <w:t>February 12,</w:t>
            </w:r>
          </w:p>
        </w:tc>
        <w:tc>
          <w:tcPr>
            <w:tcW w:w="28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September 28,</w:t>
            </w:r>
          </w:p>
        </w:tc>
        <w:tc>
          <w:tcPr>
            <w:tcW w:w="0" w:type="dxa"/>
            <w:vAlign w:val="bottom"/>
          </w:tcPr>
          <w:p>
            <w:pPr>
              <w:spacing w:after="0"/>
              <w:rPr>
                <w:sz w:val="1"/>
                <w:szCs w:val="1"/>
                <w:color w:val="auto"/>
              </w:rPr>
            </w:pPr>
          </w:p>
        </w:tc>
      </w:tr>
      <w:tr>
        <w:trPr>
          <w:trHeight w:val="175"/>
        </w:trPr>
        <w:tc>
          <w:tcPr>
            <w:tcW w:w="62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4"/>
              <w:spacing w:after="0"/>
              <w:rPr>
                <w:sz w:val="20"/>
                <w:szCs w:val="20"/>
                <w:color w:val="auto"/>
              </w:rPr>
            </w:pPr>
            <w:r>
              <w:rPr>
                <w:rFonts w:ascii="Arial" w:cs="Arial" w:eastAsia="Arial" w:hAnsi="Arial"/>
                <w:sz w:val="14"/>
                <w:szCs w:val="14"/>
                <w:b w:val="1"/>
                <w:bCs w:val="1"/>
                <w:color w:val="auto"/>
                <w:w w:val="89"/>
              </w:rPr>
              <w:t>2007</w:t>
            </w:r>
          </w:p>
        </w:tc>
        <w:tc>
          <w:tcPr>
            <w:tcW w:w="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w w:val="83"/>
              </w:rPr>
              <w:t>2007</w:t>
            </w: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tcBorders>
              <w:right w:val="single" w:sz="8" w:color="CCEEFF"/>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Net income (loss)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16.6</w:t>
            </w: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(4.2)</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8"/>
        </w:trPr>
        <w:tc>
          <w:tcPr>
            <w:tcW w:w="62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Adjustments to reconcile net income (loss) to net cash provided by (used</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in) operating activities:</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680" w:type="dxa"/>
            <w:vAlign w:val="bottom"/>
            <w:tcBorders>
              <w:right w:val="single" w:sz="8" w:color="auto"/>
            </w:tcBorders>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8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3.3</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Minority interest</w:t>
            </w:r>
          </w:p>
        </w:tc>
        <w:tc>
          <w:tcPr>
            <w:tcW w:w="140" w:type="dxa"/>
            <w:vAlign w:val="bottom"/>
            <w:shd w:val="clear" w:color="auto" w:fill="CCEEFF"/>
          </w:tcPr>
          <w:p>
            <w:pPr>
              <w:spacing w:after="0"/>
              <w:rPr>
                <w:sz w:val="18"/>
                <w:szCs w:val="18"/>
                <w:color w:val="auto"/>
              </w:rPr>
            </w:pPr>
          </w:p>
        </w:tc>
        <w:tc>
          <w:tcPr>
            <w:tcW w:w="172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25.4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880"/>
              <w:spacing w:after="0"/>
              <w:rPr>
                <w:sz w:val="20"/>
                <w:szCs w:val="20"/>
                <w:color w:val="auto"/>
              </w:rPr>
            </w:pPr>
            <w:r>
              <w:rPr>
                <w:rFonts w:ascii="Arial" w:cs="Arial" w:eastAsia="Arial" w:hAnsi="Arial"/>
                <w:sz w:val="18"/>
                <w:szCs w:val="18"/>
                <w:color w:val="auto"/>
              </w:rPr>
              <w:t>Non-cash severance plan and share-based compensation costs</w:t>
            </w:r>
          </w:p>
        </w:tc>
        <w:tc>
          <w:tcPr>
            <w:tcW w:w="14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3.5</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0.7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6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Accretion of interest on the discounted income taxes payable to</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6280" w:type="dxa"/>
            <w:vAlign w:val="bottom"/>
            <w:shd w:val="clear" w:color="auto" w:fill="CCEEFF"/>
          </w:tcPr>
          <w:p>
            <w:pPr>
              <w:ind w:left="1080"/>
              <w:spacing w:after="0"/>
              <w:rPr>
                <w:sz w:val="20"/>
                <w:szCs w:val="20"/>
                <w:color w:val="auto"/>
              </w:rPr>
            </w:pPr>
            <w:r>
              <w:rPr>
                <w:rFonts w:ascii="Arial" w:cs="Arial" w:eastAsia="Arial" w:hAnsi="Arial"/>
                <w:sz w:val="18"/>
                <w:szCs w:val="18"/>
                <w:color w:val="auto"/>
              </w:rPr>
              <w:t>founding members</w:t>
            </w:r>
          </w:p>
        </w:tc>
        <w:tc>
          <w:tcPr>
            <w:tcW w:w="140" w:type="dxa"/>
            <w:vAlign w:val="bottom"/>
            <w:shd w:val="clear" w:color="auto" w:fill="CCEEFF"/>
          </w:tcPr>
          <w:p>
            <w:pPr>
              <w:spacing w:after="0"/>
              <w:rPr>
                <w:sz w:val="19"/>
                <w:szCs w:val="19"/>
                <w:color w:val="auto"/>
              </w:rPr>
            </w:pPr>
          </w:p>
        </w:tc>
        <w:tc>
          <w:tcPr>
            <w:tcW w:w="172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6.9</w:t>
            </w:r>
          </w:p>
        </w:tc>
        <w:tc>
          <w:tcPr>
            <w:tcW w:w="5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880"/>
              <w:spacing w:after="0"/>
              <w:rPr>
                <w:sz w:val="20"/>
                <w:szCs w:val="20"/>
                <w:color w:val="auto"/>
              </w:rPr>
            </w:pPr>
            <w:r>
              <w:rPr>
                <w:rFonts w:ascii="Arial" w:cs="Arial" w:eastAsia="Arial" w:hAnsi="Arial"/>
                <w:sz w:val="18"/>
                <w:szCs w:val="18"/>
                <w:color w:val="auto"/>
              </w:rPr>
              <w:t>Amortization of debt issuance costs and loss on repayment of debt</w:t>
            </w:r>
          </w:p>
        </w:tc>
        <w:tc>
          <w:tcPr>
            <w:tcW w:w="14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1.3</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880"/>
              <w:spacing w:after="0"/>
              <w:rPr>
                <w:sz w:val="20"/>
                <w:szCs w:val="20"/>
                <w:color w:val="auto"/>
              </w:rPr>
            </w:pPr>
            <w:r>
              <w:rPr>
                <w:rFonts w:ascii="Arial" w:cs="Arial" w:eastAsia="Arial" w:hAnsi="Arial"/>
                <w:sz w:val="18"/>
                <w:szCs w:val="18"/>
                <w:color w:val="auto"/>
              </w:rPr>
              <w:t>Changes in operating assets and liabilities: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1300"/>
              <w:spacing w:after="0"/>
              <w:rPr>
                <w:sz w:val="20"/>
                <w:szCs w:val="20"/>
                <w:color w:val="auto"/>
              </w:rPr>
            </w:pPr>
            <w:r>
              <w:rPr>
                <w:rFonts w:ascii="Arial" w:cs="Arial" w:eastAsia="Arial" w:hAnsi="Arial"/>
                <w:sz w:val="18"/>
                <w:szCs w:val="18"/>
                <w:color w:val="auto"/>
              </w:rPr>
              <w:t>(Increase) decrease in receivables—net</w:t>
            </w:r>
          </w:p>
        </w:tc>
        <w:tc>
          <w:tcPr>
            <w:tcW w:w="14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(23.6)</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12.6</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300"/>
              <w:spacing w:after="0"/>
              <w:rPr>
                <w:sz w:val="20"/>
                <w:szCs w:val="20"/>
                <w:color w:val="auto"/>
              </w:rPr>
            </w:pPr>
            <w:r>
              <w:rPr>
                <w:rFonts w:ascii="Arial" w:cs="Arial" w:eastAsia="Arial" w:hAnsi="Arial"/>
                <w:sz w:val="18"/>
                <w:szCs w:val="18"/>
                <w:color w:val="auto"/>
                <w:w w:val="97"/>
              </w:rPr>
              <w:t>Increase (decrease) in accounts payable and accrued expenses</w:t>
            </w:r>
          </w:p>
        </w:tc>
        <w:tc>
          <w:tcPr>
            <w:tcW w:w="140" w:type="dxa"/>
            <w:vAlign w:val="bottom"/>
            <w:shd w:val="clear" w:color="auto" w:fill="CCEEFF"/>
          </w:tcPr>
          <w:p>
            <w:pPr>
              <w:spacing w:after="0"/>
              <w:rPr>
                <w:sz w:val="18"/>
                <w:szCs w:val="18"/>
                <w:color w:val="auto"/>
              </w:rPr>
            </w:pPr>
          </w:p>
        </w:tc>
        <w:tc>
          <w:tcPr>
            <w:tcW w:w="172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6280" w:type="dxa"/>
            <w:vAlign w:val="bottom"/>
          </w:tcPr>
          <w:p>
            <w:pPr>
              <w:ind w:left="1300"/>
              <w:spacing w:after="0"/>
              <w:rPr>
                <w:sz w:val="20"/>
                <w:szCs w:val="20"/>
                <w:color w:val="auto"/>
              </w:rPr>
            </w:pPr>
            <w:r>
              <w:rPr>
                <w:rFonts w:ascii="Arial" w:cs="Arial" w:eastAsia="Arial" w:hAnsi="Arial"/>
                <w:sz w:val="18"/>
                <w:szCs w:val="18"/>
                <w:color w:val="auto"/>
              </w:rPr>
              <w:t>(Decrease) increase in amounts due to founding members</w:t>
            </w:r>
          </w:p>
        </w:tc>
        <w:tc>
          <w:tcPr>
            <w:tcW w:w="14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(50.1)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23.3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1300"/>
              <w:spacing w:after="0"/>
              <w:rPr>
                <w:sz w:val="20"/>
                <w:szCs w:val="20"/>
                <w:color w:val="auto"/>
              </w:rPr>
            </w:pPr>
            <w:r>
              <w:rPr>
                <w:rFonts w:ascii="Arial" w:cs="Arial" w:eastAsia="Arial" w:hAnsi="Arial"/>
                <w:sz w:val="18"/>
                <w:szCs w:val="18"/>
                <w:color w:val="auto"/>
              </w:rPr>
              <w:t>Payment of severance plan costs</w:t>
            </w:r>
          </w:p>
        </w:tc>
        <w:tc>
          <w:tcPr>
            <w:tcW w:w="140" w:type="dxa"/>
            <w:vAlign w:val="bottom"/>
            <w:shd w:val="clear" w:color="auto" w:fill="CCEEFF"/>
          </w:tcPr>
          <w:p>
            <w:pPr>
              <w:spacing w:after="0"/>
              <w:rPr>
                <w:sz w:val="18"/>
                <w:szCs w:val="18"/>
                <w:color w:val="auto"/>
              </w:rPr>
            </w:pPr>
          </w:p>
        </w:tc>
        <w:tc>
          <w:tcPr>
            <w:tcW w:w="1720" w:type="dxa"/>
            <w:vAlign w:val="bottom"/>
            <w:tcBorders>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16"/>
        </w:trPr>
        <w:tc>
          <w:tcPr>
            <w:tcW w:w="6280" w:type="dxa"/>
            <w:vAlign w:val="bottom"/>
          </w:tcPr>
          <w:p>
            <w:pPr>
              <w:ind w:left="1300"/>
              <w:spacing w:after="0"/>
              <w:rPr>
                <w:sz w:val="20"/>
                <w:szCs w:val="20"/>
                <w:color w:val="auto"/>
              </w:rPr>
            </w:pPr>
            <w:r>
              <w:rPr>
                <w:rFonts w:ascii="Arial" w:cs="Arial" w:eastAsia="Arial" w:hAnsi="Arial"/>
                <w:sz w:val="18"/>
                <w:szCs w:val="18"/>
                <w:color w:val="auto"/>
              </w:rPr>
              <w:t>Increase in income taxes and other</w:t>
            </w:r>
          </w:p>
        </w:tc>
        <w:tc>
          <w:tcPr>
            <w:tcW w:w="14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22.7</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0.5</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(used in) provided by operating activities</w:t>
            </w:r>
          </w:p>
        </w:tc>
        <w:tc>
          <w:tcPr>
            <w:tcW w:w="140" w:type="dxa"/>
            <w:vAlign w:val="bottom"/>
            <w:shd w:val="clear" w:color="auto" w:fill="CCEEFF"/>
          </w:tcPr>
          <w:p>
            <w:pPr>
              <w:spacing w:after="0"/>
              <w:rPr>
                <w:sz w:val="18"/>
                <w:szCs w:val="18"/>
                <w:color w:val="auto"/>
              </w:rPr>
            </w:pPr>
          </w:p>
        </w:tc>
        <w:tc>
          <w:tcPr>
            <w:tcW w:w="172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16.4</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Purchases of property and equipment</w:t>
            </w:r>
          </w:p>
        </w:tc>
        <w:tc>
          <w:tcPr>
            <w:tcW w:w="140" w:type="dxa"/>
            <w:vAlign w:val="bottom"/>
            <w:shd w:val="clear" w:color="auto" w:fill="CCEEFF"/>
          </w:tcPr>
          <w:p>
            <w:pPr>
              <w:spacing w:after="0"/>
              <w:rPr>
                <w:sz w:val="18"/>
                <w:szCs w:val="18"/>
                <w:color w:val="auto"/>
              </w:rPr>
            </w:pPr>
          </w:p>
        </w:tc>
        <w:tc>
          <w:tcPr>
            <w:tcW w:w="17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(7.8)</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Increase in investment in affiliate</w:t>
            </w:r>
          </w:p>
        </w:tc>
        <w:tc>
          <w:tcPr>
            <w:tcW w:w="14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(7.1)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shd w:val="clear" w:color="auto" w:fill="CCEEFF"/>
          </w:tcPr>
          <w:p>
            <w:pPr>
              <w:spacing w:after="0"/>
              <w:rPr>
                <w:sz w:val="18"/>
                <w:szCs w:val="18"/>
                <w:color w:val="auto"/>
              </w:rPr>
            </w:pPr>
          </w:p>
        </w:tc>
        <w:tc>
          <w:tcPr>
            <w:tcW w:w="17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(14.9)</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2"/>
        </w:trPr>
        <w:tc>
          <w:tcPr>
            <w:tcW w:w="628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680" w:type="dxa"/>
            <w:vAlign w:val="bottom"/>
            <w:tcBorders>
              <w:right w:val="single" w:sz="8" w:color="auto"/>
            </w:tcBorders>
          </w:tcPr>
          <w:p>
            <w:pPr>
              <w:spacing w:after="0"/>
              <w:rPr>
                <w:sz w:val="19"/>
                <w:szCs w:val="19"/>
                <w:color w:val="auto"/>
              </w:rPr>
            </w:pPr>
          </w:p>
        </w:tc>
        <w:tc>
          <w:tcPr>
            <w:tcW w:w="56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Sale of common stock</w:t>
            </w:r>
          </w:p>
        </w:tc>
        <w:tc>
          <w:tcPr>
            <w:tcW w:w="140" w:type="dxa"/>
            <w:vAlign w:val="bottom"/>
            <w:shd w:val="clear" w:color="auto" w:fill="CCEEFF"/>
          </w:tcPr>
          <w:p>
            <w:pPr>
              <w:spacing w:after="0"/>
              <w:rPr>
                <w:sz w:val="18"/>
                <w:szCs w:val="18"/>
                <w:color w:val="auto"/>
              </w:rPr>
            </w:pPr>
          </w:p>
        </w:tc>
        <w:tc>
          <w:tcPr>
            <w:tcW w:w="172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882.0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Payment of offering costs and fees</w:t>
            </w:r>
          </w:p>
        </w:tc>
        <w:tc>
          <w:tcPr>
            <w:tcW w:w="14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(52.7)</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dividends</w:t>
            </w:r>
          </w:p>
        </w:tc>
        <w:tc>
          <w:tcPr>
            <w:tcW w:w="140" w:type="dxa"/>
            <w:vAlign w:val="bottom"/>
            <w:shd w:val="clear" w:color="auto" w:fill="CCEEFF"/>
          </w:tcPr>
          <w:p>
            <w:pPr>
              <w:spacing w:after="0"/>
              <w:rPr>
                <w:sz w:val="18"/>
                <w:szCs w:val="18"/>
                <w:color w:val="auto"/>
              </w:rPr>
            </w:pPr>
          </w:p>
        </w:tc>
        <w:tc>
          <w:tcPr>
            <w:tcW w:w="17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(6.3)</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Proceeds of short-term borrowings from founding members</w:t>
            </w:r>
          </w:p>
        </w:tc>
        <w:tc>
          <w:tcPr>
            <w:tcW w:w="14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76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of short-term borrowings to founding members</w:t>
            </w:r>
          </w:p>
        </w:tc>
        <w:tc>
          <w:tcPr>
            <w:tcW w:w="140" w:type="dxa"/>
            <w:vAlign w:val="bottom"/>
            <w:shd w:val="clear" w:color="auto" w:fill="CCEEFF"/>
          </w:tcPr>
          <w:p>
            <w:pPr>
              <w:spacing w:after="0"/>
              <w:rPr>
                <w:sz w:val="18"/>
                <w:szCs w:val="18"/>
                <w:color w:val="auto"/>
              </w:rPr>
            </w:pPr>
          </w:p>
        </w:tc>
        <w:tc>
          <w:tcPr>
            <w:tcW w:w="1720" w:type="dxa"/>
            <w:vAlign w:val="bottom"/>
            <w:tcBorders>
              <w:right w:val="single" w:sz="8" w:color="auto"/>
            </w:tcBorders>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Proceeds from borrowings</w:t>
            </w:r>
          </w:p>
        </w:tc>
        <w:tc>
          <w:tcPr>
            <w:tcW w:w="14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870.0</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13.0</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27.5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Repayments of borrowings</w:t>
            </w:r>
          </w:p>
        </w:tc>
        <w:tc>
          <w:tcPr>
            <w:tcW w:w="140" w:type="dxa"/>
            <w:vAlign w:val="bottom"/>
            <w:shd w:val="clear" w:color="auto" w:fill="CCEEFF"/>
          </w:tcPr>
          <w:p>
            <w:pPr>
              <w:spacing w:after="0"/>
              <w:rPr>
                <w:sz w:val="18"/>
                <w:szCs w:val="18"/>
                <w:color w:val="auto"/>
              </w:rPr>
            </w:pPr>
          </w:p>
        </w:tc>
        <w:tc>
          <w:tcPr>
            <w:tcW w:w="1720" w:type="dxa"/>
            <w:vAlign w:val="bottom"/>
            <w:tcBorders>
              <w:right w:val="single" w:sz="8" w:color="auto"/>
            </w:tcBorders>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(112.0)</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(13.0)</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Payment of debt issuance costs</w:t>
            </w:r>
          </w:p>
        </w:tc>
        <w:tc>
          <w:tcPr>
            <w:tcW w:w="14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(14.7)</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founding member contributions</w:t>
            </w:r>
          </w:p>
        </w:tc>
        <w:tc>
          <w:tcPr>
            <w:tcW w:w="140" w:type="dxa"/>
            <w:vAlign w:val="bottom"/>
            <w:shd w:val="clear" w:color="auto" w:fill="CCEEFF"/>
          </w:tcPr>
          <w:p>
            <w:pPr>
              <w:spacing w:after="0"/>
              <w:rPr>
                <w:sz w:val="18"/>
                <w:szCs w:val="18"/>
                <w:color w:val="auto"/>
              </w:rPr>
            </w:pPr>
          </w:p>
        </w:tc>
        <w:tc>
          <w:tcPr>
            <w:tcW w:w="172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3.7</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Distribution to founding members</w:t>
            </w:r>
          </w:p>
        </w:tc>
        <w:tc>
          <w:tcPr>
            <w:tcW w:w="14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620"/>
              <w:spacing w:after="0"/>
              <w:rPr>
                <w:sz w:val="20"/>
                <w:szCs w:val="20"/>
                <w:color w:val="auto"/>
              </w:rPr>
            </w:pPr>
            <w:r>
              <w:rPr>
                <w:rFonts w:ascii="Arial" w:cs="Arial" w:eastAsia="Arial" w:hAnsi="Arial"/>
                <w:sz w:val="18"/>
                <w:szCs w:val="18"/>
                <w:color w:val="auto"/>
              </w:rPr>
              <w:t>(1,557.1)</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1740"/>
              <w:spacing w:after="0"/>
              <w:rPr>
                <w:sz w:val="20"/>
                <w:szCs w:val="20"/>
                <w:color w:val="auto"/>
              </w:rPr>
            </w:pPr>
            <w:r>
              <w:rPr>
                <w:rFonts w:ascii="Arial" w:cs="Arial" w:eastAsia="Arial" w:hAnsi="Arial"/>
                <w:sz w:val="18"/>
                <w:szCs w:val="18"/>
                <w:color w:val="auto"/>
              </w:rPr>
              <w:t>Net cash provided by (used in) financing activities</w:t>
            </w:r>
          </w:p>
        </w:tc>
        <w:tc>
          <w:tcPr>
            <w:tcW w:w="140" w:type="dxa"/>
            <w:vAlign w:val="bottom"/>
            <w:shd w:val="clear" w:color="auto" w:fill="CCEEFF"/>
          </w:tcPr>
          <w:p>
            <w:pPr>
              <w:spacing w:after="0"/>
              <w:rPr>
                <w:sz w:val="18"/>
                <w:szCs w:val="18"/>
                <w:color w:val="auto"/>
              </w:rPr>
            </w:pPr>
          </w:p>
        </w:tc>
        <w:tc>
          <w:tcPr>
            <w:tcW w:w="172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12.9</w:t>
            </w: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spacing w:after="0"/>
              <w:rPr>
                <w:sz w:val="20"/>
                <w:szCs w:val="20"/>
                <w:color w:val="auto"/>
              </w:rPr>
            </w:pPr>
            <w:r>
              <w:rPr>
                <w:rFonts w:ascii="Arial" w:cs="Arial" w:eastAsia="Arial" w:hAnsi="Arial"/>
                <w:sz w:val="18"/>
                <w:szCs w:val="18"/>
                <w:color w:val="auto"/>
              </w:rPr>
              <w:t>INCREASE IN CASH AND CASH EQUIVALENTS</w:t>
            </w: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628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72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14.4</w:t>
            </w:r>
          </w:p>
        </w:tc>
        <w:tc>
          <w:tcPr>
            <w:tcW w:w="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1.6</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4.6</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80" w:type="dxa"/>
            <w:vAlign w:val="bottom"/>
            <w:tcBorders>
              <w:right w:val="single" w:sz="8" w:color="auto"/>
            </w:tcBorders>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280" w:type="dxa"/>
            <w:vAlign w:val="bottom"/>
          </w:tcPr>
          <w:p>
            <w:pPr>
              <w:ind w:left="220"/>
              <w:spacing w:after="0"/>
              <w:rPr>
                <w:sz w:val="20"/>
                <w:szCs w:val="20"/>
                <w:color w:val="auto"/>
              </w:rPr>
            </w:pPr>
            <w:r>
              <w:rPr>
                <w:rFonts w:ascii="Arial" w:cs="Arial" w:eastAsia="Arial" w:hAnsi="Arial"/>
                <w:sz w:val="18"/>
                <w:szCs w:val="18"/>
                <w:color w:val="auto"/>
              </w:rPr>
              <w:t>Beginning of period</w:t>
            </w:r>
          </w:p>
        </w:tc>
        <w:tc>
          <w:tcPr>
            <w:tcW w:w="140" w:type="dxa"/>
            <w:vAlign w:val="bottom"/>
          </w:tcPr>
          <w:p>
            <w:pPr>
              <w:spacing w:after="0"/>
              <w:rPr>
                <w:sz w:val="18"/>
                <w:szCs w:val="18"/>
                <w:color w:val="auto"/>
              </w:rPr>
            </w:pPr>
          </w:p>
        </w:tc>
        <w:tc>
          <w:tcPr>
            <w:tcW w:w="1720" w:type="dxa"/>
            <w:vAlign w:val="bottom"/>
            <w:tcBorders>
              <w:right w:val="single" w:sz="8" w:color="auto"/>
            </w:tcBorders>
            <w:gridSpan w:val="2"/>
          </w:tcPr>
          <w:p>
            <w:pPr>
              <w:jc w:val="right"/>
              <w:ind w:right="680"/>
              <w:spacing w:after="0"/>
              <w:rPr>
                <w:sz w:val="20"/>
                <w:szCs w:val="20"/>
                <w:color w:val="auto"/>
              </w:rPr>
            </w:pPr>
            <w:r>
              <w:rPr>
                <w:rFonts w:ascii="Arial" w:cs="Arial" w:eastAsia="Arial" w:hAnsi="Arial"/>
                <w:sz w:val="18"/>
                <w:szCs w:val="18"/>
                <w:color w:val="auto"/>
              </w:rPr>
              <w:t>8.3</w:t>
            </w:r>
          </w:p>
        </w:tc>
        <w:tc>
          <w:tcPr>
            <w:tcW w:w="5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6.7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2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80" w:type="dxa"/>
            <w:vAlign w:val="bottom"/>
            <w:tcBorders>
              <w:right w:val="single" w:sz="8" w:color="auto"/>
            </w:tcBorders>
          </w:tcPr>
          <w:p>
            <w:pPr>
              <w:spacing w:after="0"/>
              <w:rPr>
                <w:sz w:val="2"/>
                <w:szCs w:val="2"/>
                <w:color w:val="auto"/>
              </w:rPr>
            </w:pPr>
          </w:p>
        </w:tc>
        <w:tc>
          <w:tcPr>
            <w:tcW w:w="5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End of period</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right w:val="single" w:sz="8" w:color="auto"/>
            </w:tcBorders>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22.7</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right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Continued</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40" w:type="dxa"/>
            <w:vAlign w:val="bottom"/>
            <w:gridSpan w:val="3"/>
          </w:tcPr>
          <w:p>
            <w:pPr>
              <w:ind w:left="20"/>
              <w:spacing w:after="0"/>
              <w:rPr>
                <w:sz w:val="20"/>
                <w:szCs w:val="20"/>
                <w:color w:val="auto"/>
              </w:rPr>
            </w:pPr>
            <w:r>
              <w:rPr>
                <w:rFonts w:ascii="Arial" w:cs="Arial" w:eastAsia="Arial" w:hAnsi="Arial"/>
                <w:sz w:val="14"/>
                <w:szCs w:val="14"/>
                <w:b w:val="1"/>
                <w:bCs w:val="1"/>
                <w:color w:val="auto"/>
              </w:rPr>
              <w:t>Period February 13,</w:t>
            </w:r>
          </w:p>
        </w:tc>
        <w:tc>
          <w:tcPr>
            <w:tcW w:w="580" w:type="dxa"/>
            <w:vAlign w:val="bottom"/>
          </w:tcPr>
          <w:p>
            <w:pPr>
              <w:spacing w:after="0"/>
              <w:rPr>
                <w:sz w:val="14"/>
                <w:szCs w:val="14"/>
                <w:color w:val="auto"/>
              </w:rPr>
            </w:pPr>
          </w:p>
        </w:tc>
        <w:tc>
          <w:tcPr>
            <w:tcW w:w="1200" w:type="dxa"/>
            <w:vAlign w:val="bottom"/>
            <w:gridSpan w:val="2"/>
          </w:tcPr>
          <w:p>
            <w:pPr>
              <w:spacing w:after="0"/>
              <w:rPr>
                <w:sz w:val="20"/>
                <w:szCs w:val="20"/>
                <w:color w:val="auto"/>
              </w:rPr>
            </w:pPr>
            <w:r>
              <w:rPr>
                <w:rFonts w:ascii="Arial" w:cs="Arial" w:eastAsia="Arial" w:hAnsi="Arial"/>
                <w:sz w:val="14"/>
                <w:szCs w:val="14"/>
                <w:b w:val="1"/>
                <w:bCs w:val="1"/>
                <w:color w:val="auto"/>
                <w:w w:val="85"/>
              </w:rPr>
              <w:t>Period December 29,</w:t>
            </w:r>
          </w:p>
        </w:tc>
        <w:tc>
          <w:tcPr>
            <w:tcW w:w="620" w:type="dxa"/>
            <w:vAlign w:val="bottom"/>
          </w:tcPr>
          <w:p>
            <w:pPr>
              <w:spacing w:after="0"/>
              <w:rPr>
                <w:sz w:val="14"/>
                <w:szCs w:val="14"/>
                <w:color w:val="auto"/>
              </w:rPr>
            </w:pPr>
          </w:p>
        </w:tc>
        <w:tc>
          <w:tcPr>
            <w:tcW w:w="8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5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8"/>
              </w:rPr>
              <w:t>2006 through</w:t>
            </w: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center"/>
              <w:ind w:right="76"/>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59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70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jc w:val="center"/>
              <w:ind w:right="57"/>
              <w:spacing w:after="0" w:line="149" w:lineRule="exact"/>
              <w:rPr>
                <w:sz w:val="20"/>
                <w:szCs w:val="20"/>
                <w:color w:val="auto"/>
              </w:rPr>
            </w:pPr>
            <w:r>
              <w:rPr>
                <w:rFonts w:ascii="Arial" w:cs="Arial" w:eastAsia="Arial" w:hAnsi="Arial"/>
                <w:sz w:val="14"/>
                <w:szCs w:val="14"/>
                <w:b w:val="1"/>
                <w:bCs w:val="1"/>
                <w:color w:val="auto"/>
                <w:w w:val="88"/>
              </w:rPr>
              <w:t>February 12,</w:t>
            </w:r>
          </w:p>
        </w:tc>
        <w:tc>
          <w:tcPr>
            <w:tcW w:w="620" w:type="dxa"/>
            <w:vAlign w:val="bottom"/>
          </w:tcPr>
          <w:p>
            <w:pPr>
              <w:spacing w:after="0"/>
              <w:rPr>
                <w:sz w:val="12"/>
                <w:szCs w:val="12"/>
                <w:color w:val="auto"/>
              </w:rPr>
            </w:pPr>
          </w:p>
        </w:tc>
        <w:tc>
          <w:tcPr>
            <w:tcW w:w="8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3"/>
              </w:rPr>
              <w:t>September 28,</w:t>
            </w:r>
          </w:p>
        </w:tc>
      </w:tr>
      <w:tr>
        <w:trPr>
          <w:trHeight w:val="175"/>
        </w:trPr>
        <w:tc>
          <w:tcPr>
            <w:tcW w:w="59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2007</w:t>
            </w: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3"/>
              </w:rPr>
              <w:t>2007</w:t>
            </w:r>
          </w:p>
        </w:tc>
        <w:tc>
          <w:tcPr>
            <w:tcW w:w="6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76"/>
              <w:spacing w:after="0"/>
              <w:rPr>
                <w:sz w:val="20"/>
                <w:szCs w:val="20"/>
                <w:color w:val="auto"/>
              </w:rPr>
            </w:pPr>
            <w:r>
              <w:rPr>
                <w:rFonts w:ascii="Arial" w:cs="Arial" w:eastAsia="Arial" w:hAnsi="Arial"/>
                <w:sz w:val="14"/>
                <w:szCs w:val="14"/>
                <w:b w:val="1"/>
                <w:bCs w:val="1"/>
                <w:color w:val="auto"/>
                <w:w w:val="83"/>
              </w:rPr>
              <w:t>2006</w:t>
            </w:r>
          </w:p>
        </w:tc>
      </w:tr>
      <w:tr>
        <w:trPr>
          <w:trHeight w:val="210"/>
        </w:trPr>
        <w:tc>
          <w:tcPr>
            <w:tcW w:w="5960" w:type="dxa"/>
            <w:vAlign w:val="bottom"/>
            <w:shd w:val="clear" w:color="auto" w:fill="CCEEFF"/>
          </w:tcPr>
          <w:p>
            <w:pPr>
              <w:spacing w:after="0"/>
              <w:rPr>
                <w:sz w:val="20"/>
                <w:szCs w:val="20"/>
                <w:color w:val="auto"/>
              </w:rPr>
            </w:pPr>
            <w:r>
              <w:rPr>
                <w:rFonts w:ascii="Arial" w:cs="Arial" w:eastAsia="Arial" w:hAnsi="Arial"/>
                <w:sz w:val="18"/>
                <w:szCs w:val="18"/>
                <w:color w:val="auto"/>
              </w:rPr>
              <w:t>Supplemental disclosure of non-cash financing and investing activity:</w:t>
            </w:r>
          </w:p>
        </w:tc>
        <w:tc>
          <w:tcPr>
            <w:tcW w:w="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60" w:type="dxa"/>
            <w:vAlign w:val="bottom"/>
            <w:tcBorders>
              <w:right w:val="single" w:sz="8" w:color="CCEEFF"/>
            </w:tcBorders>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Contribution for severance plan payments</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1.3</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40" w:type="dxa"/>
            <w:vAlign w:val="bottom"/>
          </w:tcPr>
          <w:p>
            <w:pPr>
              <w:ind w:left="820"/>
              <w:spacing w:after="0"/>
              <w:rPr>
                <w:sz w:val="20"/>
                <w:szCs w:val="20"/>
                <w:color w:val="auto"/>
              </w:rPr>
            </w:pPr>
            <w:r>
              <w:rPr>
                <w:rFonts w:ascii="Arial" w:cs="Arial" w:eastAsia="Arial" w:hAnsi="Arial"/>
                <w:sz w:val="18"/>
                <w:szCs w:val="18"/>
                <w:color w:val="auto"/>
                <w:w w:val="79"/>
              </w:rPr>
              <w:t>0.4</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ind w:left="440"/>
              <w:spacing w:after="0"/>
              <w:rPr>
                <w:sz w:val="20"/>
                <w:szCs w:val="20"/>
                <w:color w:val="auto"/>
              </w:rPr>
            </w:pPr>
            <w:r>
              <w:rPr>
                <w:rFonts w:ascii="Arial" w:cs="Arial" w:eastAsia="Arial" w:hAnsi="Arial"/>
                <w:sz w:val="18"/>
                <w:szCs w:val="18"/>
                <w:color w:val="auto"/>
                <w:w w:val="79"/>
              </w:rPr>
              <w:t>3.5</w:t>
            </w: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distributions payable to members</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22.7</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Contributions from members collected after period end</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3.8</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Increase in property and equipment not requiring cash in the period</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0.3</w:t>
            </w:r>
          </w:p>
        </w:tc>
      </w:tr>
      <w:tr>
        <w:trPr>
          <w:trHeight w:val="208"/>
        </w:trPr>
        <w:tc>
          <w:tcPr>
            <w:tcW w:w="5960" w:type="dxa"/>
            <w:vAlign w:val="bottom"/>
          </w:tcPr>
          <w:p>
            <w:pPr>
              <w:ind w:left="440"/>
              <w:spacing w:after="0"/>
              <w:rPr>
                <w:sz w:val="20"/>
                <w:szCs w:val="20"/>
                <w:color w:val="auto"/>
              </w:rPr>
            </w:pPr>
            <w:r>
              <w:rPr>
                <w:rFonts w:ascii="Arial" w:cs="Arial" w:eastAsia="Arial" w:hAnsi="Arial"/>
                <w:sz w:val="18"/>
                <w:szCs w:val="18"/>
                <w:color w:val="auto"/>
                <w:w w:val="95"/>
              </w:rPr>
              <w:t>Liability and equity recorded upon recognition of deferred tax assets and</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22"/>
        </w:trPr>
        <w:tc>
          <w:tcPr>
            <w:tcW w:w="5960" w:type="dxa"/>
            <w:vAlign w:val="bottom"/>
          </w:tcPr>
          <w:p>
            <w:pPr>
              <w:ind w:left="660"/>
              <w:spacing w:after="0"/>
              <w:rPr>
                <w:sz w:val="20"/>
                <w:szCs w:val="20"/>
                <w:color w:val="auto"/>
              </w:rPr>
            </w:pPr>
            <w:r>
              <w:rPr>
                <w:rFonts w:ascii="Arial" w:cs="Arial" w:eastAsia="Arial" w:hAnsi="Arial"/>
                <w:sz w:val="18"/>
                <w:szCs w:val="18"/>
                <w:color w:val="auto"/>
              </w:rPr>
              <w:t>liabilities related to IPO-date transactions:</w:t>
            </w:r>
          </w:p>
        </w:tc>
        <w:tc>
          <w:tcPr>
            <w:tcW w:w="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60" w:type="dxa"/>
            <w:vAlign w:val="bottom"/>
            <w:tcBorders>
              <w:right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r>
      <w:tr>
        <w:trPr>
          <w:trHeight w:val="218"/>
        </w:trPr>
        <w:tc>
          <w:tcPr>
            <w:tcW w:w="59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Taxes payable to founding members</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123.5</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ind w:left="880"/>
              <w:spacing w:after="0"/>
              <w:rPr>
                <w:sz w:val="20"/>
                <w:szCs w:val="20"/>
                <w:color w:val="auto"/>
              </w:rPr>
            </w:pPr>
            <w:r>
              <w:rPr>
                <w:rFonts w:ascii="Arial" w:cs="Arial" w:eastAsia="Arial" w:hAnsi="Arial"/>
                <w:sz w:val="18"/>
                <w:szCs w:val="18"/>
                <w:color w:val="auto"/>
              </w:rPr>
              <w:t>Additional paid-in-capital</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121.4</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 offering costs reclassified to equity</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4.7</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40"/>
              <w:spacing w:after="0"/>
              <w:rPr>
                <w:sz w:val="20"/>
                <w:szCs w:val="20"/>
                <w:color w:val="auto"/>
              </w:rPr>
            </w:pPr>
            <w:r>
              <w:rPr>
                <w:rFonts w:ascii="Arial" w:cs="Arial" w:eastAsia="Arial" w:hAnsi="Arial"/>
                <w:sz w:val="18"/>
                <w:szCs w:val="18"/>
                <w:color w:val="auto"/>
                <w:w w:val="79"/>
              </w:rPr>
              <w:t>1.0</w:t>
            </w:r>
          </w:p>
        </w:tc>
      </w:tr>
      <w:tr>
        <w:trPr>
          <w:trHeight w:val="216"/>
        </w:trPr>
        <w:tc>
          <w:tcPr>
            <w:tcW w:w="5960" w:type="dxa"/>
            <w:vAlign w:val="bottom"/>
          </w:tcPr>
          <w:p>
            <w:pPr>
              <w:spacing w:after="0"/>
              <w:rPr>
                <w:sz w:val="20"/>
                <w:szCs w:val="20"/>
                <w:color w:val="auto"/>
              </w:rPr>
            </w:pPr>
            <w:r>
              <w:rPr>
                <w:rFonts w:ascii="Arial" w:cs="Arial" w:eastAsia="Arial" w:hAnsi="Arial"/>
                <w:sz w:val="18"/>
                <w:szCs w:val="18"/>
                <w:color w:val="auto"/>
              </w:rPr>
              <w:t>Supplemental disclosure of cash flow information:</w:t>
            </w:r>
          </w:p>
        </w:tc>
        <w:tc>
          <w:tcPr>
            <w:tcW w:w="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r>
      <w:tr>
        <w:trPr>
          <w:trHeight w:val="216"/>
        </w:trPr>
        <w:tc>
          <w:tcPr>
            <w:tcW w:w="59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Cash paid for interest</w:t>
            </w:r>
          </w:p>
        </w:tc>
        <w:tc>
          <w:tcPr>
            <w:tcW w:w="54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30.5</w:t>
            </w:r>
          </w:p>
        </w:tc>
        <w:tc>
          <w:tcPr>
            <w:tcW w:w="74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ind w:left="820"/>
              <w:spacing w:after="0"/>
              <w:rPr>
                <w:sz w:val="20"/>
                <w:szCs w:val="20"/>
                <w:color w:val="auto"/>
              </w:rPr>
            </w:pPr>
            <w:r>
              <w:rPr>
                <w:rFonts w:ascii="Arial" w:cs="Arial" w:eastAsia="Arial" w:hAnsi="Arial"/>
                <w:sz w:val="18"/>
                <w:szCs w:val="18"/>
                <w:color w:val="auto"/>
                <w:w w:val="79"/>
              </w:rPr>
              <w:t>0.1</w:t>
            </w:r>
          </w:p>
        </w:tc>
        <w:tc>
          <w:tcPr>
            <w:tcW w:w="78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w:t>
            </w:r>
          </w:p>
        </w:tc>
      </w:tr>
      <w:tr>
        <w:trPr>
          <w:trHeight w:val="216"/>
        </w:trPr>
        <w:tc>
          <w:tcPr>
            <w:tcW w:w="5960" w:type="dxa"/>
            <w:vAlign w:val="bottom"/>
          </w:tcPr>
          <w:p>
            <w:pPr>
              <w:ind w:left="440"/>
              <w:spacing w:after="0"/>
              <w:rPr>
                <w:sz w:val="20"/>
                <w:szCs w:val="20"/>
                <w:color w:val="auto"/>
              </w:rPr>
            </w:pPr>
            <w:r>
              <w:rPr>
                <w:rFonts w:ascii="Arial" w:cs="Arial" w:eastAsia="Arial" w:hAnsi="Arial"/>
                <w:sz w:val="18"/>
                <w:szCs w:val="18"/>
                <w:color w:val="auto"/>
              </w:rPr>
              <w:t>Cash paid for income taxes</w:t>
            </w:r>
          </w:p>
        </w:tc>
        <w:tc>
          <w:tcPr>
            <w:tcW w:w="540" w:type="dxa"/>
            <w:vAlign w:val="bottom"/>
            <w:gridSpan w:val="2"/>
          </w:tcPr>
          <w:p>
            <w:pPr>
              <w:ind w:left="400"/>
              <w:spacing w:after="0"/>
              <w:rPr>
                <w:sz w:val="20"/>
                <w:szCs w:val="20"/>
                <w:color w:val="auto"/>
              </w:rPr>
            </w:pPr>
            <w:r>
              <w:rPr>
                <w:rFonts w:ascii="Arial" w:cs="Arial" w:eastAsia="Arial" w:hAnsi="Arial"/>
                <w:sz w:val="18"/>
                <w:szCs w:val="18"/>
                <w:color w:val="auto"/>
              </w:rPr>
              <w:t>$</w:t>
            </w:r>
          </w:p>
        </w:tc>
        <w:tc>
          <w:tcPr>
            <w:tcW w:w="170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2.7</w:t>
            </w:r>
          </w:p>
        </w:tc>
        <w:tc>
          <w:tcPr>
            <w:tcW w:w="74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040" w:type="dxa"/>
            <w:vAlign w:val="bottom"/>
          </w:tcPr>
          <w:p>
            <w:pPr>
              <w:ind w:left="78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660" w:type="dxa"/>
            <w:vAlign w:val="bottom"/>
          </w:tcPr>
          <w:p>
            <w:pPr>
              <w:ind w:left="400"/>
              <w:spacing w:after="0"/>
              <w:rPr>
                <w:sz w:val="20"/>
                <w:szCs w:val="20"/>
                <w:color w:val="auto"/>
              </w:rPr>
            </w:pPr>
            <w:r>
              <w:rPr>
                <w:rFonts w:ascii="Arial" w:cs="Arial" w:eastAsia="Arial" w:hAnsi="Arial"/>
                <w:sz w:val="18"/>
                <w:szCs w:val="18"/>
                <w:color w:val="auto"/>
              </w:rPr>
              <w:t>—</w:t>
            </w:r>
          </w:p>
        </w:tc>
      </w:tr>
    </w:tbl>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9" w:lineRule="exact"/>
        <w:rPr>
          <w:sz w:val="20"/>
          <w:szCs w:val="20"/>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THE COMPANY</w:t>
      </w:r>
    </w:p>
    <w:p>
      <w:pPr>
        <w:spacing w:after="0" w:line="96" w:lineRule="exact"/>
        <w:rPr>
          <w:rFonts w:ascii="Arial" w:cs="Arial" w:eastAsia="Arial" w:hAnsi="Arial"/>
          <w:sz w:val="18"/>
          <w:szCs w:val="18"/>
          <w:b w:val="1"/>
          <w:bCs w:val="1"/>
          <w:color w:val="auto"/>
        </w:rPr>
      </w:pPr>
    </w:p>
    <w:p>
      <w:pPr>
        <w:ind w:left="4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National CineMedia, Inc. (“NCM, Inc.”) was incorporated in the state of Delaware on October 5, 2006 as a holding company with the sole purpose of becoming a member and sole manager of National CineMedia, LLC (“NCM LLC”). NCM LLC commenced operations on April 1, 2005 and operates the largest digital in-theatre network in North America that allows NCM to distribute advertising, business meeting, and Fathom and other event services under long-term exhibitor services agreements (“ESAs”) with American Multi-Cinema, Inc. (“AMC”), a wholly owned subsidiary of AMC Entertainment, Inc. (“AMCE”), Regal Cinemas, Inc. (“RCM”), a wholly owned subsidiary of Regal Entertainment Group (“Regal”), and Cinemark USA, Inc. (“Cinemark USA”), a wholly owned subsidiary of Cinemark Holdings, Inc. (“Cinemark”). AMC, Regal and Cinemark and their affiliates are referred to in this document as “founding members”. NCM LLC also provides such services to certain third-party theater circuits under Network Affiliate Agreements which expire at various dates.</w:t>
      </w:r>
    </w:p>
    <w:p>
      <w:pPr>
        <w:spacing w:after="0" w:line="260" w:lineRule="exact"/>
        <w:rPr>
          <w:rFonts w:ascii="Arial" w:cs="Arial" w:eastAsia="Arial" w:hAnsi="Arial"/>
          <w:sz w:val="18"/>
          <w:szCs w:val="18"/>
          <w:b w:val="1"/>
          <w:bCs w:val="1"/>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INITIAL PUBLIC OFFERING AND RELATED TRANSACTIONS</w:t>
      </w:r>
    </w:p>
    <w:p>
      <w:pPr>
        <w:spacing w:after="0" w:line="96" w:lineRule="exact"/>
        <w:rPr>
          <w:rFonts w:ascii="Arial" w:cs="Arial" w:eastAsia="Arial" w:hAnsi="Arial"/>
          <w:sz w:val="18"/>
          <w:szCs w:val="18"/>
          <w:b w:val="1"/>
          <w:bCs w:val="1"/>
          <w:color w:val="auto"/>
        </w:rPr>
      </w:pPr>
    </w:p>
    <w:p>
      <w:pPr>
        <w:ind w:left="4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 February 13, 2007, NCM, Inc. closed its initial public offering (“IPO”) of 42,000,000 shares of common stock at a price to the public of $21.00 per share. NCM, Inc. received net proceeds of approximately $824.6 million, after deducting underwriting discounts and commissions and offering expenses of approximately $57.4 million. After various transactions completed in connection with the IPO, the public stockholders, through NCM, Inc., obtained a 44.8% interest in NCM LLC. As the managing member of NCM LLC, NCM, Inc. consolidates the operations of NCM LLC. The terms “NCM”, “the Company” or “we” shall be deemed to include the consolidated entity when used in discussions included herein regarding the current operations or assets of the entities.</w:t>
      </w:r>
    </w:p>
    <w:p>
      <w:pPr>
        <w:spacing w:after="0" w:line="63" w:lineRule="exact"/>
        <w:rPr>
          <w:rFonts w:ascii="Arial" w:cs="Arial" w:eastAsia="Arial" w:hAnsi="Arial"/>
          <w:sz w:val="18"/>
          <w:szCs w:val="18"/>
          <w:b w:val="1"/>
          <w:bCs w:val="1"/>
          <w:color w:val="auto"/>
        </w:rPr>
      </w:pPr>
    </w:p>
    <w:p>
      <w:pPr>
        <w:ind w:left="4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NCM, Inc. used the net proceeds from the IPO to purchase a 44.8% interest in NCM LLC, paying NCM LLC $746.1 million, which included reimbursement to NCM LLC for expenses it advanced related to the IPO and paying the founding members $78.5 million for a portion of the NCM LLC units owned by them. NCM LLC paid $686.3 million of the funds received from NCM, Inc. to the founding members as consideration for their agreement to modify the then-existing exhibitor services agreements. The remaining proceeds received by NCM LLC from NCM, Inc. of $59.8 million, together with the $709.8 million net proceeds from NCM LLC’s new senior secured credit facility, were used to redeem $769.5 million in NCM LLC preferred units held by the founding members. The preferred units were created immediately prior to the IPO in a non-cash recapitalization of each membership unit into one common unit and one preferred unit. Immediately prior to this non-cash recapitalization, the existing common units and employee unit options were split on a 44,291-to-1 basis. All unit and per unit amounts in these financial statements reflect the impact of this split. At September 27, 2007, NCM LLC had 93,850,951 membership units outstanding, of which 42,000,000 (44.8%) were owned by NCM, Inc., 21,230,712 (22.6%) were owned by RCM, 17,474,890 (18.6%) were owned by AMC, and 13,145,349 (14.0%) were owned by Cinemark.</w:t>
      </w:r>
    </w:p>
    <w:p>
      <w:pPr>
        <w:spacing w:after="0" w:line="41" w:lineRule="exact"/>
        <w:rPr>
          <w:rFonts w:ascii="Arial" w:cs="Arial" w:eastAsia="Arial" w:hAnsi="Arial"/>
          <w:sz w:val="18"/>
          <w:szCs w:val="18"/>
          <w:b w:val="1"/>
          <w:bCs w:val="1"/>
          <w:color w:val="auto"/>
        </w:rPr>
      </w:pPr>
    </w:p>
    <w:p>
      <w:pPr>
        <w:ind w:left="460"/>
        <w:spacing w:after="0" w:line="286" w:lineRule="auto"/>
        <w:rPr>
          <w:rFonts w:ascii="Arial" w:cs="Arial" w:eastAsia="Arial" w:hAnsi="Arial"/>
          <w:sz w:val="18"/>
          <w:szCs w:val="18"/>
          <w:b w:val="1"/>
          <w:bCs w:val="1"/>
          <w:color w:val="auto"/>
        </w:rPr>
      </w:pPr>
      <w:r>
        <w:rPr>
          <w:rFonts w:ascii="Arial" w:cs="Arial" w:eastAsia="Arial" w:hAnsi="Arial"/>
          <w:sz w:val="16"/>
          <w:szCs w:val="16"/>
          <w:color w:val="auto"/>
        </w:rPr>
        <w:t>Under the amended and restated ESAs with the founding members, subject to limited exceptions, NCM LLC is the exclusive provider of advertising services to the founding members for a 30-year term (with a five-year right of first refusal at the end of the term) and meetings and event services to the founding members for an initial five-year term, with an automatic five-year renewal providing certain financial tests are met. In exchange for the right to provide these services to the founding members, NCM LLC is required to pay to the founding members a theatre access fee which is a specified calculation based on the attendance at the founding member theatres and the number of digital screens in founding member theatres. Prior to the IPO, NCM LLC paid to the founding members a percentage of NCM LLC’s advertising revenue as advertising circuit share. Upon the completion of the IPO, the founding members assigned to NCM LLC all “legacy contracts”, which are generally contracts for advertising sold by the founding members prior to the formation of NCM LLC but which were unfulfilled at the date of formation. In addition, the founding members made additional time available for sale by NCM LLC, subject to a first right to purchase the time, if needed, by the founding members to fulfill advertising obligations with their in-theatre beverage concessionaries. NCM, Inc. also entered into employment agreements with five executive officers to carry out obligations entered into pursuant to a management services agreement between NCM, Inc. and NCM LLC.</w:t>
      </w:r>
    </w:p>
    <w:p>
      <w:pPr>
        <w:spacing w:after="0" w:line="242" w:lineRule="exact"/>
        <w:rPr>
          <w:rFonts w:ascii="Arial" w:cs="Arial" w:eastAsia="Arial" w:hAnsi="Arial"/>
          <w:sz w:val="18"/>
          <w:szCs w:val="18"/>
          <w:b w:val="1"/>
          <w:bCs w:val="1"/>
          <w:color w:val="auto"/>
        </w:rPr>
      </w:pPr>
    </w:p>
    <w:p>
      <w:pPr>
        <w:ind w:left="460" w:hanging="452"/>
        <w:spacing w:after="0"/>
        <w:tabs>
          <w:tab w:leader="none" w:pos="46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96" w:lineRule="exact"/>
        <w:rPr>
          <w:rFonts w:ascii="Arial" w:cs="Arial" w:eastAsia="Arial" w:hAnsi="Arial"/>
          <w:sz w:val="18"/>
          <w:szCs w:val="18"/>
          <w:b w:val="1"/>
          <w:bCs w:val="1"/>
          <w:color w:val="auto"/>
        </w:rPr>
      </w:pPr>
    </w:p>
    <w:p>
      <w:pPr>
        <w:jc w:val="both"/>
        <w:ind w:left="460" w:right="14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The December 28, 2006 consolidated balance sheet information is derived from the audited financial statements of NCM, Inc. and NCM LLC included in our annual report on Form 10-K for the fiscal year ended December 28, 2006 filed with the Securities and Exchange Commission on March 28, 2007. (At December 28, 2006, NCM, Inc. had been formed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20"/>
        <w:spacing w:after="0" w:line="291" w:lineRule="auto"/>
        <w:rPr>
          <w:sz w:val="20"/>
          <w:szCs w:val="20"/>
          <w:color w:val="auto"/>
        </w:rPr>
      </w:pPr>
      <w:r>
        <w:rPr>
          <w:rFonts w:ascii="Arial" w:cs="Arial" w:eastAsia="Arial" w:hAnsi="Arial"/>
          <w:sz w:val="16"/>
          <w:szCs w:val="16"/>
          <w:color w:val="auto"/>
        </w:rPr>
        <w:t>but was not capitalized; therefore, its balance sheet at that date is not presented herein.) The unaudited condensed consolidated financial statements contained herein should be read in conjunction with the audited consolidated financial statements and notes thereto. The results of operations for the period ended September 27, 2007 are presented in two periods, reflecting operations prior to and subsequent to the IPO. The period from December 29, 2006 through February 12, 2007 is referred to as the “2007 pre-IPO period”. The period from February 13, 2007 through September 27, 2007 is referred to as the “2007 post-IPO period”. Separate periods have been presented because there were significant changes at the time of the IPO due to the ESA modifications and related expenses thereunder, and significant changes to revenue arrangements and contracts with the founding members.</w:t>
      </w:r>
    </w:p>
    <w:p>
      <w:pPr>
        <w:spacing w:after="0" w:line="39" w:lineRule="exact"/>
        <w:rPr>
          <w:sz w:val="20"/>
          <w:szCs w:val="20"/>
          <w:color w:val="auto"/>
        </w:rPr>
      </w:pPr>
    </w:p>
    <w:p>
      <w:pPr>
        <w:ind w:left="460"/>
        <w:spacing w:after="0" w:line="291" w:lineRule="auto"/>
        <w:rPr>
          <w:sz w:val="20"/>
          <w:szCs w:val="20"/>
          <w:color w:val="auto"/>
        </w:rPr>
      </w:pPr>
      <w:r>
        <w:rPr>
          <w:rFonts w:ascii="Arial" w:cs="Arial" w:eastAsia="Arial" w:hAnsi="Arial"/>
          <w:sz w:val="16"/>
          <w:szCs w:val="16"/>
          <w:color w:val="auto"/>
        </w:rPr>
        <w:t>The financial statements for both the 2007 pre-IPO period and 2007 post-IPO period give effect to allocations of revenues and expenses made using relative percentages of founding member attendance or days in each period, discrete events and other methods management considered to be a reasonable reflection of the results for such periods. The historical financial data of NCM LLC may not be indicative of the Company’s future performance nor will such data reflect what its financial position and results of operations would have been had it operated as an independent publicly traded company during the periods presented. In addition, as a result of the various related-party agreements discussed in Note 8, the operating results as presented are not necessarily indicative of the results that would have occurred if all agreements were with non-related third parties.</w:t>
      </w:r>
    </w:p>
    <w:p>
      <w:pPr>
        <w:spacing w:after="0" w:line="39" w:lineRule="exact"/>
        <w:rPr>
          <w:sz w:val="20"/>
          <w:szCs w:val="20"/>
          <w:color w:val="auto"/>
        </w:rPr>
      </w:pPr>
    </w:p>
    <w:p>
      <w:pPr>
        <w:ind w:left="460" w:right="40"/>
        <w:spacing w:after="0" w:line="290" w:lineRule="auto"/>
        <w:rPr>
          <w:sz w:val="20"/>
          <w:szCs w:val="20"/>
          <w:color w:val="auto"/>
        </w:rPr>
      </w:pPr>
      <w:r>
        <w:rPr>
          <w:rFonts w:ascii="Arial" w:cs="Arial" w:eastAsia="Arial" w:hAnsi="Arial"/>
          <w:sz w:val="16"/>
          <w:szCs w:val="16"/>
          <w:color w:val="auto"/>
        </w:rPr>
        <w:t>The Company has prepared the unaudited condensed consolidated balance sheet as of September 27, 2007 and the unaudited condensed consolidated statements of operations and cash flows for the quarter and nine-month periods ended September 28, 2006, and the period December 29, 2006 through February 12, 2007 and the quarter ended September 27, 2007 and the period February 13, 2007 through September 27, 2007 in accordance with accounting principles generally accepted in the United States of America for interim financial information and the rules and regulations of the Securities and Exchange Commission. Accordingly, certain information and footnote disclosures typically included in an annual report have been condensed or omitted for this quarterly report. In the opinion of management, all adjustments (which include only normal recurring adjustments) necessary to present fairly in all material respects the financial position, results of operations and cash flows for all periods presented have been made.</w:t>
      </w:r>
    </w:p>
    <w:p>
      <w:pPr>
        <w:spacing w:after="0" w:line="37" w:lineRule="exact"/>
        <w:rPr>
          <w:sz w:val="20"/>
          <w:szCs w:val="20"/>
          <w:color w:val="auto"/>
        </w:rPr>
      </w:pPr>
    </w:p>
    <w:p>
      <w:pPr>
        <w:ind w:left="460" w:right="20"/>
        <w:spacing w:after="0" w:line="306" w:lineRule="auto"/>
        <w:rPr>
          <w:sz w:val="20"/>
          <w:szCs w:val="20"/>
          <w:color w:val="auto"/>
        </w:rPr>
      </w:pPr>
      <w:r>
        <w:rPr>
          <w:rFonts w:ascii="Arial" w:cs="Arial" w:eastAsia="Arial" w:hAnsi="Arial"/>
          <w:sz w:val="16"/>
          <w:szCs w:val="16"/>
          <w:color w:val="auto"/>
        </w:rPr>
        <w:t>The balance sheet of NCM LLC at December 28, 2006 reflects the carryover basis of the founding members in the assets contributed by RCM and AMC. At formation, and through the date of the IPO, NCM LLC was a joint venture. As stated in Emerging Issues Task Force (“EITF”) Issue 94-8 concerning the formation of a joint venture, “...it is developed practice to record the contributed businesses at predecessor basis.”</w:t>
      </w:r>
    </w:p>
    <w:p>
      <w:pPr>
        <w:spacing w:after="0" w:line="26" w:lineRule="exact"/>
        <w:rPr>
          <w:sz w:val="20"/>
          <w:szCs w:val="20"/>
          <w:color w:val="auto"/>
        </w:rPr>
      </w:pPr>
    </w:p>
    <w:p>
      <w:pPr>
        <w:ind w:left="460" w:right="20"/>
        <w:spacing w:after="0" w:line="288" w:lineRule="auto"/>
        <w:rPr>
          <w:sz w:val="20"/>
          <w:szCs w:val="20"/>
          <w:color w:val="auto"/>
        </w:rPr>
      </w:pPr>
      <w:r>
        <w:rPr>
          <w:rFonts w:ascii="Arial" w:cs="Arial" w:eastAsia="Arial" w:hAnsi="Arial"/>
          <w:sz w:val="16"/>
          <w:szCs w:val="16"/>
          <w:color w:val="auto"/>
        </w:rPr>
        <w:t>The founding members received all of the proceeds from the IPO and the related issuance of debt, except for amounts needed to pay out-of-pocket costs of the financings, and $10.0 million to repay outstanding amounts under NCM LLC’s then-existing revolving line of credit agreement. In conformity with accounting guidance of the Securities and Exchange Commission concerning monetary consideration paid to promoters, such as the founding members, in exchange for property conveyed by the promoters, the excess over predecessor cost is treated as a special distribution. Because the founding members had no cost basis in the ESAs, all payments to the founding members with the proceeds of the IPO and related debt, amounting to approximately $1.456 billion, have been accounted for as distributions, except for the payments to liquidate accounts payable to the founding members arising from the ESAs. The distributions by NCM LLC to the founding members made at the date of the IPO resulted in a consolidated stockholders’ deficit. As a minority interest cannot be shown as an asset, the founding members’ interest in NCM LLC’s members’ equity is included in distributions in excess of paid in capital in the accompanying September 27, 2007 balance sheet.</w:t>
      </w:r>
    </w:p>
    <w:p>
      <w:pPr>
        <w:spacing w:after="0" w:line="39" w:lineRule="exact"/>
        <w:rPr>
          <w:sz w:val="20"/>
          <w:szCs w:val="20"/>
          <w:color w:val="auto"/>
        </w:rPr>
      </w:pPr>
    </w:p>
    <w:p>
      <w:pPr>
        <w:ind w:left="460" w:right="240"/>
        <w:spacing w:after="0" w:line="370" w:lineRule="auto"/>
        <w:rPr>
          <w:sz w:val="20"/>
          <w:szCs w:val="20"/>
          <w:color w:val="auto"/>
        </w:rPr>
      </w:pPr>
      <w:r>
        <w:rPr>
          <w:rFonts w:ascii="Arial" w:cs="Arial" w:eastAsia="Arial" w:hAnsi="Arial"/>
          <w:sz w:val="15"/>
          <w:szCs w:val="15"/>
          <w:color w:val="auto"/>
        </w:rPr>
        <w:t>The Company operates on a 52-week fiscal year, with the fiscal year ending on the first Thursday after December 25, which, in certain years, results in a 53-week year. The meetings and event services operations are operating segments but do not meet the quantitative thresholds for segment reporting.</w:t>
      </w:r>
    </w:p>
    <w:p>
      <w:pPr>
        <w:spacing w:after="0" w:line="178"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96" w:lineRule="exact"/>
        <w:rPr>
          <w:rFonts w:ascii="Arial" w:cs="Arial" w:eastAsia="Arial" w:hAnsi="Arial"/>
          <w:sz w:val="18"/>
          <w:szCs w:val="18"/>
          <w:b w:val="1"/>
          <w:bCs w:val="1"/>
          <w:color w:val="auto"/>
        </w:rPr>
      </w:pPr>
    </w:p>
    <w:p>
      <w:pPr>
        <w:ind w:left="460" w:right="20"/>
        <w:spacing w:after="0" w:line="254" w:lineRule="auto"/>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Consolidation—</w:t>
      </w:r>
      <w:r>
        <w:rPr>
          <w:rFonts w:ascii="Arial" w:cs="Arial" w:eastAsia="Arial" w:hAnsi="Arial"/>
          <w:sz w:val="18"/>
          <w:szCs w:val="18"/>
          <w:color w:val="auto"/>
        </w:rPr>
        <w:t>NCM, Inc. consolidates the accounts of NCM LLC under the provision of EITF Issue No. 04-5, “Determining Whether a General Partner,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General Partners as a Group, Controls a Limited Partnership or Similar Entity When the Limited Partners Have Certain Rights.” Under EITF 04-5, a managing member of a limited liability company (“LLC”) is presumed to control the LLC, unless the non-managing members have the right to dissolve the entity or remove the managing member without cause, or if the non-managing members have substantive participating rights. The non-managing members of NCM LLC do not have either dissolution rights or removal rights. NCM, Inc. has evaluated the provisions of the NCM LLC membership agreement and has concluded that the various rights of the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60"/>
        <w:spacing w:after="0" w:line="268" w:lineRule="auto"/>
        <w:rPr>
          <w:sz w:val="20"/>
          <w:szCs w:val="20"/>
          <w:color w:val="auto"/>
        </w:rPr>
      </w:pPr>
      <w:r>
        <w:rPr>
          <w:rFonts w:ascii="Arial" w:cs="Arial" w:eastAsia="Arial" w:hAnsi="Arial"/>
          <w:sz w:val="18"/>
          <w:szCs w:val="18"/>
          <w:color w:val="auto"/>
        </w:rPr>
        <w:t>non-managing members are not substantive participation rights under EITF 04-5, as they do not limit NCM, Inc.’s ability to make decisions in the ordinary course of business.</w:t>
      </w:r>
    </w:p>
    <w:p>
      <w:pPr>
        <w:spacing w:after="0" w:line="51" w:lineRule="exact"/>
        <w:rPr>
          <w:sz w:val="20"/>
          <w:szCs w:val="20"/>
          <w:color w:val="auto"/>
        </w:rPr>
      </w:pPr>
    </w:p>
    <w:p>
      <w:pPr>
        <w:jc w:val="both"/>
        <w:ind w:left="460"/>
        <w:spacing w:after="0" w:line="254" w:lineRule="auto"/>
        <w:rPr>
          <w:sz w:val="20"/>
          <w:szCs w:val="20"/>
          <w:color w:val="auto"/>
        </w:rPr>
      </w:pPr>
      <w:r>
        <w:rPr>
          <w:rFonts w:ascii="Arial" w:cs="Arial" w:eastAsia="Arial" w:hAnsi="Arial"/>
          <w:sz w:val="18"/>
          <w:szCs w:val="18"/>
          <w:b w:val="1"/>
          <w:bCs w:val="1"/>
          <w:i w:val="1"/>
          <w:iCs w:val="1"/>
          <w:color w:val="auto"/>
        </w:rPr>
        <w:t>Revenue Recognition</w:t>
      </w:r>
      <w:r>
        <w:rPr>
          <w:rFonts w:ascii="Arial" w:cs="Arial" w:eastAsia="Arial" w:hAnsi="Arial"/>
          <w:sz w:val="18"/>
          <w:szCs w:val="18"/>
          <w:color w:val="auto"/>
        </w:rPr>
        <w:t>—Advertising revenue and administrative fees from legacy contracts are recognized in the period in which an advertising contract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fulfilled against the contracted theatre attendees. Deferred revenue refers to the unearned portion of advertising contracts. All deferred revenue is classified as a current liability. Meetings and events revenue is recognized in the period in which the event is held. Legacy contracts are advertising contracts with the founding members prior to the formation of NCM LLC, which were not assigned to NCM LLC until the IPO was completed. Administrative fees earned by the Company prior to the IPO for its services in fulfilling the legacy contracts were based on a percentage of legacy contract revenue (32% during 2006 and the 2007 pre-IPO period).</w:t>
      </w:r>
    </w:p>
    <w:p>
      <w:pPr>
        <w:spacing w:after="0" w:line="63" w:lineRule="exact"/>
        <w:rPr>
          <w:sz w:val="20"/>
          <w:szCs w:val="20"/>
          <w:color w:val="auto"/>
        </w:rPr>
      </w:pPr>
    </w:p>
    <w:p>
      <w:pPr>
        <w:ind w:left="460" w:right="100"/>
        <w:spacing w:after="0" w:line="332" w:lineRule="auto"/>
        <w:rPr>
          <w:sz w:val="20"/>
          <w:szCs w:val="20"/>
          <w:color w:val="auto"/>
        </w:rPr>
      </w:pPr>
      <w:r>
        <w:rPr>
          <w:rFonts w:ascii="Arial" w:cs="Arial" w:eastAsia="Arial" w:hAnsi="Arial"/>
          <w:sz w:val="16"/>
          <w:szCs w:val="16"/>
          <w:b w:val="1"/>
          <w:bCs w:val="1"/>
          <w:i w:val="1"/>
          <w:iCs w:val="1"/>
          <w:color w:val="auto"/>
        </w:rPr>
        <w:t>Operating Costs</w:t>
      </w:r>
      <w:r>
        <w:rPr>
          <w:rFonts w:ascii="Arial" w:cs="Arial" w:eastAsia="Arial" w:hAnsi="Arial"/>
          <w:sz w:val="16"/>
          <w:szCs w:val="16"/>
          <w:color w:val="auto"/>
        </w:rPr>
        <w:t>—Advertising-related operating costs primarily include personnel and other costs related to advertising fulfillment, and to a lesser degree,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production costs of non-digital advertising, and payments due to unaffiliated theatres circuits under the “Network Affiliate Agreements.”</w:t>
      </w:r>
    </w:p>
    <w:p>
      <w:pPr>
        <w:spacing w:after="0" w:line="4"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Meeting and event operating costs include equipment rental, catering, movie tickets acquired primarily from the founding members, revenue share under the amended and restated ESAs and other direct costs of the meeting or event.</w:t>
      </w:r>
    </w:p>
    <w:p>
      <w:pPr>
        <w:spacing w:after="0" w:line="51" w:lineRule="exact"/>
        <w:rPr>
          <w:sz w:val="20"/>
          <w:szCs w:val="20"/>
          <w:color w:val="auto"/>
        </w:rPr>
      </w:pPr>
    </w:p>
    <w:p>
      <w:pPr>
        <w:ind w:left="460" w:right="80"/>
        <w:spacing w:after="0" w:line="256" w:lineRule="auto"/>
        <w:rPr>
          <w:sz w:val="20"/>
          <w:szCs w:val="20"/>
          <w:color w:val="auto"/>
        </w:rPr>
      </w:pPr>
      <w:r>
        <w:rPr>
          <w:rFonts w:ascii="Arial" w:cs="Arial" w:eastAsia="Arial" w:hAnsi="Arial"/>
          <w:sz w:val="18"/>
          <w:szCs w:val="18"/>
          <w:color w:val="auto"/>
        </w:rPr>
        <w:t>In the 2007 pre-IPO period, circuit share costs were fees payable to the founding members for the right to exhibit advertisements within the theatres, based on a percentage of advertising revenue. In the 2007 post-IPO period, under the amended and restated ESAs, a payment to the founding members of a theatre access fee, in lieu of circuit share expense, comprised of a payment per theatre attendee and a payment per digital screen, both of which escalate over time, is reflected in expense.</w:t>
      </w:r>
    </w:p>
    <w:p>
      <w:pPr>
        <w:spacing w:after="0" w:line="62" w:lineRule="exact"/>
        <w:rPr>
          <w:sz w:val="20"/>
          <w:szCs w:val="20"/>
          <w:color w:val="auto"/>
        </w:rPr>
      </w:pPr>
    </w:p>
    <w:p>
      <w:pPr>
        <w:ind w:left="460" w:right="140"/>
        <w:spacing w:after="0" w:line="259" w:lineRule="auto"/>
        <w:rPr>
          <w:sz w:val="20"/>
          <w:szCs w:val="20"/>
          <w:color w:val="auto"/>
        </w:rPr>
      </w:pPr>
      <w:r>
        <w:rPr>
          <w:rFonts w:ascii="Arial" w:cs="Arial" w:eastAsia="Arial" w:hAnsi="Arial"/>
          <w:sz w:val="18"/>
          <w:szCs w:val="18"/>
          <w:color w:val="auto"/>
        </w:rPr>
        <w:t>Network costs include personnel, satellite bandwidth, repairs, and other costs of maintaining and operating the digital network and preparing advertising and other content for transmission across the digital network. These costs relate primarily to the advertising business and to a lesser extent to the meetings and events business.</w:t>
      </w:r>
    </w:p>
    <w:p>
      <w:pPr>
        <w:spacing w:after="0" w:line="59" w:lineRule="exact"/>
        <w:rPr>
          <w:sz w:val="20"/>
          <w:szCs w:val="20"/>
          <w:color w:val="auto"/>
        </w:rPr>
      </w:pPr>
    </w:p>
    <w:p>
      <w:pPr>
        <w:ind w:left="460" w:right="60"/>
        <w:spacing w:after="0" w:line="259"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color w:val="auto"/>
        </w:rPr>
        <w:t>—All highly liquid debt instruments and investments purchased with an original maturity of three months or less are classified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as cash equivalents. Periodically these are cash balances in a bank in excess of the federally insured limits or in the form of a money market demand account with a major financial institution.</w:t>
      </w:r>
    </w:p>
    <w:p>
      <w:pPr>
        <w:spacing w:after="0" w:line="59" w:lineRule="exact"/>
        <w:rPr>
          <w:sz w:val="20"/>
          <w:szCs w:val="20"/>
          <w:color w:val="auto"/>
        </w:rPr>
      </w:pPr>
    </w:p>
    <w:p>
      <w:pPr>
        <w:ind w:left="460" w:right="20"/>
        <w:spacing w:after="0" w:line="298" w:lineRule="auto"/>
        <w:rPr>
          <w:sz w:val="20"/>
          <w:szCs w:val="20"/>
          <w:color w:val="auto"/>
        </w:rPr>
      </w:pPr>
      <w:r>
        <w:rPr>
          <w:rFonts w:ascii="Arial" w:cs="Arial" w:eastAsia="Arial" w:hAnsi="Arial"/>
          <w:sz w:val="16"/>
          <w:szCs w:val="16"/>
          <w:b w:val="1"/>
          <w:bCs w:val="1"/>
          <w:i w:val="1"/>
          <w:iCs w:val="1"/>
          <w:color w:val="auto"/>
        </w:rPr>
        <w:t>Receivables</w:t>
      </w:r>
      <w:r>
        <w:rPr>
          <w:rFonts w:ascii="Arial" w:cs="Arial" w:eastAsia="Arial" w:hAnsi="Arial"/>
          <w:sz w:val="16"/>
          <w:szCs w:val="16"/>
          <w:color w:val="auto"/>
        </w:rPr>
        <w:t>—Bad debts are provided for using the allowance for doubtful accounts method based on historical experience and management’s evaluation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outstanding receivables at the end of the period. Trade accounts receivable are uncollateralized and represent a large number of geographically dispersed debtors. At September 27, 2007, there is one advertising agency group representing approximately 28% of our outstanding gross receivable balance. This risk is reduced by dealing with large, nationwide firms who have a strong industry reputation.</w:t>
      </w:r>
    </w:p>
    <w:p>
      <w:pPr>
        <w:spacing w:after="0" w:line="32" w:lineRule="exact"/>
        <w:rPr>
          <w:sz w:val="20"/>
          <w:szCs w:val="20"/>
          <w:color w:val="auto"/>
        </w:rPr>
      </w:pPr>
    </w:p>
    <w:p>
      <w:pPr>
        <w:ind w:left="460" w:right="200"/>
        <w:spacing w:after="0" w:line="256" w:lineRule="auto"/>
        <w:rPr>
          <w:sz w:val="20"/>
          <w:szCs w:val="20"/>
          <w:color w:val="auto"/>
        </w:rPr>
      </w:pPr>
      <w:r>
        <w:rPr>
          <w:rFonts w:ascii="Arial" w:cs="Arial" w:eastAsia="Arial" w:hAnsi="Arial"/>
          <w:sz w:val="18"/>
          <w:szCs w:val="18"/>
          <w:b w:val="1"/>
          <w:bCs w:val="1"/>
          <w:i w:val="1"/>
          <w:iCs w:val="1"/>
          <w:color w:val="auto"/>
        </w:rPr>
        <w:t>Property and Equipment</w:t>
      </w:r>
      <w:r>
        <w:rPr>
          <w:rFonts w:ascii="Arial" w:cs="Arial" w:eastAsia="Arial" w:hAnsi="Arial"/>
          <w:sz w:val="18"/>
          <w:szCs w:val="18"/>
          <w:color w:val="auto"/>
        </w:rPr>
        <w:t>—Property and equipment is stated at cost, net of accumulated depreciation or amortization. Major renewals and improvements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are capitalized, while replacements, maintenance, and repairs that do not improve or extend the lives of the respective assets are expensed currently. In general, the equipment associated with the digital network that is located at the theatre is owned by the founding members, while equipment outside the theatre is owned by the Company.</w:t>
      </w:r>
    </w:p>
    <w:p>
      <w:pPr>
        <w:spacing w:after="0" w:line="62" w:lineRule="exact"/>
        <w:rPr>
          <w:sz w:val="20"/>
          <w:szCs w:val="20"/>
          <w:color w:val="auto"/>
        </w:rPr>
      </w:pPr>
    </w:p>
    <w:p>
      <w:pPr>
        <w:ind w:left="460" w:right="120"/>
        <w:spacing w:after="0" w:line="294" w:lineRule="auto"/>
        <w:rPr>
          <w:sz w:val="20"/>
          <w:szCs w:val="20"/>
          <w:color w:val="auto"/>
        </w:rPr>
      </w:pPr>
      <w:r>
        <w:rPr>
          <w:rFonts w:ascii="Arial" w:cs="Arial" w:eastAsia="Arial" w:hAnsi="Arial"/>
          <w:sz w:val="16"/>
          <w:szCs w:val="16"/>
          <w:b w:val="1"/>
          <w:bCs w:val="1"/>
          <w:i w:val="1"/>
          <w:iCs w:val="1"/>
          <w:color w:val="auto"/>
        </w:rPr>
        <w:t>Amounts Due to/from Founding Members</w:t>
      </w:r>
      <w:r>
        <w:rPr>
          <w:rFonts w:ascii="Arial" w:cs="Arial" w:eastAsia="Arial" w:hAnsi="Arial"/>
          <w:sz w:val="16"/>
          <w:szCs w:val="16"/>
          <w:color w:val="auto"/>
        </w:rPr>
        <w:t>—In the 2007 pre-IPO period, amounts due to/from founding members included circuit share costs and cost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reimbursements, net of the administrative fees earned on Legacy Contracts. Amounts due to/from founding members in the 2007 post-IPO period include amounts due for the theatre access fee, offset by a receivable for advertising time purchased by the founding members, as well as revenue share earned for meetings and events plus any amounts outstanding under other contractually obligated payments. Payments to or received from the founding members against outstanding balances are made monthly.</w:t>
      </w:r>
    </w:p>
    <w:p>
      <w:pPr>
        <w:spacing w:after="0" w:line="35" w:lineRule="exact"/>
        <w:rPr>
          <w:sz w:val="20"/>
          <w:szCs w:val="20"/>
          <w:color w:val="auto"/>
        </w:rPr>
      </w:pPr>
    </w:p>
    <w:p>
      <w:pPr>
        <w:ind w:left="460" w:right="40"/>
        <w:spacing w:after="0" w:line="254" w:lineRule="auto"/>
        <w:rPr>
          <w:sz w:val="20"/>
          <w:szCs w:val="20"/>
          <w:color w:val="auto"/>
        </w:rPr>
      </w:pPr>
      <w:r>
        <w:rPr>
          <w:rFonts w:ascii="Arial" w:cs="Arial" w:eastAsia="Arial" w:hAnsi="Arial"/>
          <w:sz w:val="18"/>
          <w:szCs w:val="18"/>
          <w:b w:val="1"/>
          <w:bCs w:val="1"/>
          <w:i w:val="1"/>
          <w:iCs w:val="1"/>
          <w:color w:val="auto"/>
        </w:rPr>
        <w:t>Network Affiliate Agreements</w:t>
      </w:r>
      <w:r>
        <w:rPr>
          <w:rFonts w:ascii="Arial" w:cs="Arial" w:eastAsia="Arial" w:hAnsi="Arial"/>
          <w:sz w:val="18"/>
          <w:szCs w:val="18"/>
          <w:color w:val="auto"/>
        </w:rPr>
        <w:t>—Network affiliate agreements were contributed at NCM LLC’s formation at the net book value of the founding members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are amortized on a straight-line basis over the remaining life of the agreement. These agreements require payment to the affiliate of a percentage of the advertising revenue associated with the advertisements played in affiliate theatres, and also specify minimum payments that must be made. Amortization expense related to the network affiliate agreements was $0.0 million, $0.1 million, $0.2 million, $0.1 million and $0.7 million for the quarter ended September 27, 2007, quarter ended September 28, 2006, 2007 post-IPO period, 2007 pre-IPO period and the nine month period ended September 28, 2006, respectively.</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160"/>
        <w:spacing w:after="0" w:line="256" w:lineRule="auto"/>
        <w:rPr>
          <w:sz w:val="20"/>
          <w:szCs w:val="20"/>
          <w:color w:val="auto"/>
        </w:rPr>
      </w:pPr>
      <w:r>
        <w:rPr>
          <w:rFonts w:ascii="Arial" w:cs="Arial" w:eastAsia="Arial" w:hAnsi="Arial"/>
          <w:sz w:val="18"/>
          <w:szCs w:val="18"/>
          <w:b w:val="1"/>
          <w:bCs w:val="1"/>
          <w:i w:val="1"/>
          <w:iCs w:val="1"/>
          <w:color w:val="auto"/>
        </w:rPr>
        <w:t>Investments</w:t>
      </w:r>
      <w:r>
        <w:rPr>
          <w:rFonts w:ascii="Arial" w:cs="Arial" w:eastAsia="Arial" w:hAnsi="Arial"/>
          <w:sz w:val="18"/>
          <w:szCs w:val="18"/>
          <w:color w:val="auto"/>
        </w:rPr>
        <w:t>—The Company’s investments are classified as available-for-sale and are carried at estimated fair value with any unrealized gains, as well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losses that we consider to be temporary, reported net of tax in other comprehensive income within stockholders’ equity. If the Company determines that impairment in the value of investment securities is other than temporary, based on various factors including management’s judgment, then the related loss would be recorded in the consolidated statement of operations.</w:t>
      </w:r>
    </w:p>
    <w:p>
      <w:pPr>
        <w:spacing w:after="0" w:line="62" w:lineRule="exact"/>
        <w:rPr>
          <w:sz w:val="20"/>
          <w:szCs w:val="20"/>
          <w:color w:val="auto"/>
        </w:rPr>
      </w:pPr>
    </w:p>
    <w:p>
      <w:pPr>
        <w:ind w:left="460" w:right="240"/>
        <w:spacing w:after="0" w:line="268" w:lineRule="auto"/>
        <w:rPr>
          <w:sz w:val="20"/>
          <w:szCs w:val="20"/>
          <w:color w:val="auto"/>
        </w:rPr>
      </w:pPr>
      <w:r>
        <w:rPr>
          <w:rFonts w:ascii="Arial" w:cs="Arial" w:eastAsia="Arial" w:hAnsi="Arial"/>
          <w:sz w:val="18"/>
          <w:szCs w:val="18"/>
          <w:b w:val="1"/>
          <w:bCs w:val="1"/>
          <w:i w:val="1"/>
          <w:iCs w:val="1"/>
          <w:color w:val="auto"/>
        </w:rPr>
        <w:t>Income Taxes</w:t>
      </w:r>
      <w:r>
        <w:rPr>
          <w:rFonts w:ascii="Arial" w:cs="Arial" w:eastAsia="Arial" w:hAnsi="Arial"/>
          <w:sz w:val="18"/>
          <w:szCs w:val="18"/>
          <w:color w:val="auto"/>
        </w:rPr>
        <w:t>—In the 2007 pre-IPO and 2006 periods, as a limited liability company, NCM LLC’s taxable income or loss was allocated to the founding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members and, therefore, no provision or liability for income taxes was included in the financial statements.</w:t>
      </w:r>
    </w:p>
    <w:p>
      <w:pPr>
        <w:spacing w:after="0" w:line="51" w:lineRule="exact"/>
        <w:rPr>
          <w:sz w:val="20"/>
          <w:szCs w:val="20"/>
          <w:color w:val="auto"/>
        </w:rPr>
      </w:pPr>
    </w:p>
    <w:p>
      <w:pPr>
        <w:ind w:left="460" w:right="40"/>
        <w:spacing w:after="0" w:line="289" w:lineRule="auto"/>
        <w:rPr>
          <w:sz w:val="20"/>
          <w:szCs w:val="20"/>
          <w:color w:val="auto"/>
        </w:rPr>
      </w:pPr>
      <w:r>
        <w:rPr>
          <w:rFonts w:ascii="Arial" w:cs="Arial" w:eastAsia="Arial" w:hAnsi="Arial"/>
          <w:sz w:val="16"/>
          <w:szCs w:val="16"/>
          <w:color w:val="auto"/>
        </w:rPr>
        <w:t>Effective with the 2007 post-IPO period, income taxes are accounted for under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In addition, income tax rules and regulations are subject to interpretation and the application of those rules and regulations require judgment by the Company and may be challenged by the taxation authorities. Deferred tax assets and liabilities are measured using enacted tax rates expected to apply to taxable income in the years in which those temporary differences are expected to be recovered or settled. The effect on deferred tax assets and liabilities of a change in tax rates will be recognized in income in the period that includes the enactment date. The Company will record a valuation allowance if it is deemed more likely than not that its deferred income tax assets will not be realized, which will be assessed on an on-going basis.</w:t>
      </w:r>
    </w:p>
    <w:p>
      <w:pPr>
        <w:spacing w:after="0" w:line="37" w:lineRule="exact"/>
        <w:rPr>
          <w:sz w:val="20"/>
          <w:szCs w:val="20"/>
          <w:color w:val="auto"/>
        </w:rPr>
      </w:pPr>
    </w:p>
    <w:p>
      <w:pPr>
        <w:ind w:left="460"/>
        <w:spacing w:after="0" w:line="310" w:lineRule="auto"/>
        <w:rPr>
          <w:sz w:val="20"/>
          <w:szCs w:val="20"/>
          <w:color w:val="auto"/>
        </w:rPr>
      </w:pPr>
      <w:r>
        <w:rPr>
          <w:rFonts w:ascii="Arial" w:cs="Arial" w:eastAsia="Arial" w:hAnsi="Arial"/>
          <w:sz w:val="15"/>
          <w:szCs w:val="15"/>
          <w:b w:val="1"/>
          <w:bCs w:val="1"/>
          <w:i w:val="1"/>
          <w:iCs w:val="1"/>
          <w:color w:val="auto"/>
        </w:rPr>
        <w:t>Interest Rate Swap</w:t>
      </w:r>
      <w:r>
        <w:rPr>
          <w:rFonts w:ascii="Arial" w:cs="Arial" w:eastAsia="Arial" w:hAnsi="Arial"/>
          <w:sz w:val="15"/>
          <w:szCs w:val="15"/>
          <w:color w:val="auto"/>
        </w:rPr>
        <w:t>—NCM LLC has entered into interest rate swap agreements which qualify for and have been designated as a cash flow hedge against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interest rate exposure on $550.0 million of the variable rate debt obligations under the senior secured credit facility. The interest rate swap agreements have the effect of converting a portion of our variable rate debt to a fixed rate of 6.734%. Both at inception and on an on-going basis we perform an effectiveness test using the hypothetical derivative method. The fair value of the interest rate swap is recorded on the Company’s unaudited condensed consolidated balance sheet as an asset or liability with the change in fair value recorded in other comprehensive income since the instruments were determined to be perfectly effective at September 27, 2007. There were no amounts reclassified into current earnings due to ineffectiveness during the periods presented. The fair value of the Company’s interest rate swap is based on dealer quotes, and represents an estimate of the amount the Company would receive or pay to terminate the agreements taking into consideration various factors, including current interest rates and the forward yield curve for 3-month LIBOR.</w:t>
      </w:r>
    </w:p>
    <w:p>
      <w:pPr>
        <w:spacing w:after="0" w:line="2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Comprehensive Income</w:t>
      </w:r>
      <w:r>
        <w:rPr>
          <w:rFonts w:ascii="Arial" w:cs="Arial" w:eastAsia="Arial" w:hAnsi="Arial"/>
          <w:sz w:val="18"/>
          <w:szCs w:val="18"/>
          <w:color w:val="auto"/>
        </w:rPr>
        <w:t>—The components of comprehensive income (loss) are as follows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6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87"/>
              </w:rPr>
              <w:t>Period</w:t>
            </w: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7"/>
              </w:rPr>
              <w:t>Period</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94"/>
              </w:rPr>
              <w:t>Quarter</w:t>
            </w:r>
          </w:p>
        </w:tc>
        <w:tc>
          <w:tcPr>
            <w:tcW w:w="220" w:type="dxa"/>
            <w:vAlign w:val="bottom"/>
          </w:tcPr>
          <w:p>
            <w:pPr>
              <w:spacing w:after="0"/>
              <w:rPr>
                <w:sz w:val="12"/>
                <w:szCs w:val="12"/>
                <w:color w:val="auto"/>
              </w:rPr>
            </w:pPr>
          </w:p>
        </w:tc>
        <w:tc>
          <w:tcPr>
            <w:tcW w:w="13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February 13,</w:t>
            </w:r>
          </w:p>
        </w:tc>
        <w:tc>
          <w:tcPr>
            <w:tcW w:w="4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Quarter</w:t>
            </w:r>
          </w:p>
        </w:tc>
        <w:tc>
          <w:tcPr>
            <w:tcW w:w="20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w w:val="84"/>
              </w:rPr>
              <w:t>Ended</w:t>
            </w:r>
          </w:p>
        </w:tc>
        <w:tc>
          <w:tcPr>
            <w:tcW w:w="220" w:type="dxa"/>
            <w:vAlign w:val="bottom"/>
          </w:tcPr>
          <w:p>
            <w:pPr>
              <w:spacing w:after="0"/>
              <w:rPr>
                <w:sz w:val="12"/>
                <w:szCs w:val="12"/>
                <w:color w:val="auto"/>
              </w:rPr>
            </w:pPr>
          </w:p>
        </w:tc>
        <w:tc>
          <w:tcPr>
            <w:tcW w:w="13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2007 through</w:t>
            </w:r>
          </w:p>
        </w:tc>
        <w:tc>
          <w:tcPr>
            <w:tcW w:w="42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2006 through</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3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220" w:type="dxa"/>
            <w:vAlign w:val="bottom"/>
          </w:tcPr>
          <w:p>
            <w:pPr>
              <w:spacing w:after="0"/>
              <w:rPr>
                <w:sz w:val="12"/>
                <w:szCs w:val="12"/>
                <w:color w:val="auto"/>
              </w:rPr>
            </w:pPr>
          </w:p>
        </w:tc>
        <w:tc>
          <w:tcPr>
            <w:tcW w:w="1380" w:type="dxa"/>
            <w:vAlign w:val="bottom"/>
            <w:gridSpan w:val="3"/>
          </w:tcPr>
          <w:p>
            <w:pPr>
              <w:jc w:val="center"/>
              <w:ind w:right="56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420" w:type="dxa"/>
            <w:vAlign w:val="bottom"/>
          </w:tcPr>
          <w:p>
            <w:pPr>
              <w:spacing w:after="0"/>
              <w:rPr>
                <w:sz w:val="12"/>
                <w:szCs w:val="12"/>
                <w:color w:val="auto"/>
              </w:rPr>
            </w:pPr>
          </w:p>
        </w:tc>
        <w:tc>
          <w:tcPr>
            <w:tcW w:w="10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12,</w:t>
            </w:r>
          </w:p>
        </w:tc>
        <w:tc>
          <w:tcPr>
            <w:tcW w:w="220" w:type="dxa"/>
            <w:vAlign w:val="bottom"/>
          </w:tcPr>
          <w:p>
            <w:pPr>
              <w:spacing w:after="0"/>
              <w:rPr>
                <w:sz w:val="12"/>
                <w:szCs w:val="12"/>
                <w:color w:val="auto"/>
              </w:rPr>
            </w:pPr>
          </w:p>
        </w:tc>
        <w:tc>
          <w:tcPr>
            <w:tcW w:w="1100" w:type="dxa"/>
            <w:vAlign w:val="bottom"/>
            <w:gridSpan w:val="3"/>
          </w:tcPr>
          <w:p>
            <w:pPr>
              <w:jc w:val="center"/>
              <w:ind w:right="280"/>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200" w:type="dxa"/>
            <w:vAlign w:val="bottom"/>
          </w:tcPr>
          <w:p>
            <w:pPr>
              <w:spacing w:after="0"/>
              <w:rPr>
                <w:sz w:val="12"/>
                <w:szCs w:val="12"/>
                <w:color w:val="auto"/>
              </w:rPr>
            </w:pPr>
          </w:p>
        </w:tc>
        <w:tc>
          <w:tcPr>
            <w:tcW w:w="900" w:type="dxa"/>
            <w:vAlign w:val="bottom"/>
            <w:gridSpan w:val="3"/>
          </w:tcPr>
          <w:p>
            <w:pPr>
              <w:jc w:val="center"/>
              <w:ind w:right="40"/>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0" w:type="dxa"/>
            <w:vAlign w:val="bottom"/>
          </w:tcPr>
          <w:p>
            <w:pPr>
              <w:spacing w:after="0"/>
              <w:rPr>
                <w:sz w:val="1"/>
                <w:szCs w:val="1"/>
                <w:color w:val="auto"/>
              </w:rPr>
            </w:pPr>
          </w:p>
        </w:tc>
      </w:tr>
      <w:tr>
        <w:trPr>
          <w:trHeight w:val="175"/>
        </w:trPr>
        <w:tc>
          <w:tcPr>
            <w:tcW w:w="36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9"/>
              </w:rPr>
              <w:t>2007</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3"/>
              </w:rPr>
              <w:t>2007</w:t>
            </w:r>
          </w:p>
        </w:tc>
        <w:tc>
          <w:tcPr>
            <w:tcW w:w="5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2007</w:t>
            </w: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83"/>
              </w:rPr>
              <w:t>2006</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 (LOSS):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tcBorders>
              <w:right w:val="single" w:sz="8" w:color="CCEEFF"/>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680" w:type="dxa"/>
            <w:vAlign w:val="bottom"/>
          </w:tcPr>
          <w:p>
            <w:pPr>
              <w:ind w:left="440"/>
              <w:spacing w:after="0"/>
              <w:rPr>
                <w:sz w:val="20"/>
                <w:szCs w:val="20"/>
                <w:color w:val="auto"/>
              </w:rPr>
            </w:pPr>
            <w:r>
              <w:rPr>
                <w:rFonts w:ascii="Arial" w:cs="Arial" w:eastAsia="Arial" w:hAnsi="Arial"/>
                <w:sz w:val="18"/>
                <w:szCs w:val="18"/>
                <w:color w:val="auto"/>
              </w:rPr>
              <w:t>Net Income (Loss) (as reported on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660"/>
              <w:spacing w:after="0"/>
              <w:rPr>
                <w:sz w:val="20"/>
                <w:szCs w:val="20"/>
                <w:color w:val="auto"/>
              </w:rPr>
            </w:pPr>
            <w:r>
              <w:rPr>
                <w:rFonts w:ascii="Arial" w:cs="Arial" w:eastAsia="Arial" w:hAnsi="Arial"/>
                <w:sz w:val="18"/>
                <w:szCs w:val="18"/>
                <w:color w:val="auto"/>
                <w:w w:val="94"/>
              </w:rPr>
              <w:t>Condensed Consolidated Statements of</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60" w:type="dxa"/>
            <w:vAlign w:val="bottom"/>
            <w:tcBorders>
              <w:right w:val="single" w:sz="8" w:color="auto"/>
            </w:tcBorders>
          </w:tcPr>
          <w:p>
            <w:pPr>
              <w:spacing w:after="0"/>
              <w:rPr>
                <w:sz w:val="18"/>
                <w:szCs w:val="18"/>
                <w:color w:val="auto"/>
              </w:rPr>
            </w:pPr>
          </w:p>
        </w:tc>
        <w:tc>
          <w:tcPr>
            <w:tcW w:w="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680" w:type="dxa"/>
            <w:vAlign w:val="bottom"/>
          </w:tcPr>
          <w:p>
            <w:pPr>
              <w:ind w:left="660"/>
              <w:spacing w:after="0"/>
              <w:rPr>
                <w:sz w:val="20"/>
                <w:szCs w:val="20"/>
                <w:color w:val="auto"/>
              </w:rPr>
            </w:pPr>
            <w:r>
              <w:rPr>
                <w:rFonts w:ascii="Arial" w:cs="Arial" w:eastAsia="Arial" w:hAnsi="Arial"/>
                <w:sz w:val="18"/>
                <w:szCs w:val="18"/>
                <w:color w:val="auto"/>
              </w:rPr>
              <w:t>Operations), net of tax</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9.2</w:t>
            </w:r>
          </w:p>
        </w:tc>
        <w:tc>
          <w:tcPr>
            <w:tcW w:w="260" w:type="dxa"/>
            <w:vAlign w:val="bottom"/>
          </w:tcPr>
          <w:p>
            <w:pPr>
              <w:spacing w:after="0"/>
              <w:rPr>
                <w:sz w:val="19"/>
                <w:szCs w:val="19"/>
                <w:color w:val="auto"/>
              </w:rPr>
            </w:pP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16.6</w:t>
            </w:r>
          </w:p>
        </w:tc>
        <w:tc>
          <w:tcPr>
            <w:tcW w:w="560" w:type="dxa"/>
            <w:vAlign w:val="bottom"/>
            <w:tcBorders>
              <w:right w:val="single" w:sz="8" w:color="auto"/>
            </w:tcBorders>
          </w:tcPr>
          <w:p>
            <w:pPr>
              <w:spacing w:after="0"/>
              <w:rPr>
                <w:sz w:val="19"/>
                <w:szCs w:val="19"/>
                <w:color w:val="auto"/>
              </w:rPr>
            </w:pP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(0.6)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09"/>
        </w:trPr>
        <w:tc>
          <w:tcPr>
            <w:tcW w:w="3680" w:type="dxa"/>
            <w:vAlign w:val="bottom"/>
            <w:shd w:val="clear" w:color="auto" w:fill="CCEEFF"/>
          </w:tcPr>
          <w:p>
            <w:pPr>
              <w:ind w:left="440"/>
              <w:spacing w:after="0"/>
              <w:rPr>
                <w:sz w:val="20"/>
                <w:szCs w:val="20"/>
                <w:color w:val="auto"/>
              </w:rPr>
            </w:pPr>
            <w:r>
              <w:rPr>
                <w:rFonts w:ascii="Arial" w:cs="Arial" w:eastAsia="Arial" w:hAnsi="Arial"/>
                <w:sz w:val="18"/>
                <w:szCs w:val="18"/>
                <w:color w:val="auto"/>
                <w:w w:val="94"/>
              </w:rPr>
              <w:t>Unrealized gain/(loss) on cash flow hedge,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560" w:type="dxa"/>
            <w:vAlign w:val="bottom"/>
            <w:tcBorders>
              <w:right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36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net of tax</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tcBorders>
              <w:right w:val="single" w:sz="8" w:color="auto"/>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(0.2)</w:t>
            </w:r>
          </w:p>
        </w:tc>
        <w:tc>
          <w:tcPr>
            <w:tcW w:w="4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6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3680" w:type="dxa"/>
            <w:vAlign w:val="bottom"/>
            <w:vMerge w:val="restart"/>
          </w:tcPr>
          <w:p>
            <w:pPr>
              <w:ind w:left="880"/>
              <w:spacing w:after="0"/>
              <w:rPr>
                <w:sz w:val="20"/>
                <w:szCs w:val="20"/>
                <w:color w:val="auto"/>
              </w:rPr>
            </w:pPr>
            <w:r>
              <w:rPr>
                <w:rFonts w:ascii="Arial" w:cs="Arial" w:eastAsia="Arial" w:hAnsi="Arial"/>
                <w:sz w:val="18"/>
                <w:szCs w:val="18"/>
                <w:color w:val="auto"/>
              </w:rPr>
              <w:t>Total, net of tax</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680" w:type="dxa"/>
            <w:vAlign w:val="bottom"/>
            <w:vMerge w:val="continue"/>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3.8</w:t>
            </w:r>
          </w:p>
        </w:tc>
        <w:tc>
          <w:tcPr>
            <w:tcW w:w="260" w:type="dxa"/>
            <w:vAlign w:val="bottom"/>
          </w:tcPr>
          <w:p>
            <w:pPr>
              <w:spacing w:after="0"/>
              <w:rPr>
                <w:sz w:val="19"/>
                <w:szCs w:val="19"/>
                <w:color w:val="auto"/>
              </w:rPr>
            </w:pPr>
          </w:p>
        </w:tc>
        <w:tc>
          <w:tcPr>
            <w:tcW w:w="38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16.4</w:t>
            </w:r>
          </w:p>
        </w:tc>
        <w:tc>
          <w:tcPr>
            <w:tcW w:w="560" w:type="dxa"/>
            <w:vAlign w:val="bottom"/>
            <w:tcBorders>
              <w:right w:val="single" w:sz="8" w:color="auto"/>
            </w:tcBorders>
          </w:tcPr>
          <w:p>
            <w:pPr>
              <w:spacing w:after="0"/>
              <w:rPr>
                <w:sz w:val="19"/>
                <w:szCs w:val="19"/>
                <w:color w:val="auto"/>
              </w:rPr>
            </w:pPr>
          </w:p>
        </w:tc>
        <w:tc>
          <w:tcPr>
            <w:tcW w:w="56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920" w:type="dxa"/>
            <w:vAlign w:val="bottom"/>
            <w:gridSpan w:val="2"/>
          </w:tcPr>
          <w:p>
            <w:pPr>
              <w:ind w:left="380"/>
              <w:spacing w:after="0"/>
              <w:rPr>
                <w:sz w:val="20"/>
                <w:szCs w:val="20"/>
                <w:color w:val="auto"/>
              </w:rPr>
            </w:pPr>
            <w:r>
              <w:rPr>
                <w:rFonts w:ascii="Arial" w:cs="Arial" w:eastAsia="Arial" w:hAnsi="Arial"/>
                <w:sz w:val="18"/>
                <w:szCs w:val="18"/>
                <w:color w:val="auto"/>
              </w:rPr>
              <w:t>(4.2)</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ind w:left="400"/>
              <w:spacing w:after="0"/>
              <w:rPr>
                <w:sz w:val="20"/>
                <w:szCs w:val="20"/>
                <w:color w:val="auto"/>
              </w:rPr>
            </w:pPr>
            <w:r>
              <w:rPr>
                <w:rFonts w:ascii="Arial" w:cs="Arial" w:eastAsia="Arial" w:hAnsi="Arial"/>
                <w:sz w:val="18"/>
                <w:szCs w:val="18"/>
                <w:color w:val="auto"/>
              </w:rPr>
              <w:t>(0.6)</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right="160"/>
        <w:spacing w:after="0" w:line="259" w:lineRule="auto"/>
        <w:rPr>
          <w:sz w:val="20"/>
          <w:szCs w:val="20"/>
          <w:color w:val="auto"/>
        </w:rPr>
      </w:pPr>
      <w:r>
        <w:rPr>
          <w:rFonts w:ascii="Arial" w:cs="Arial" w:eastAsia="Arial" w:hAnsi="Arial"/>
          <w:sz w:val="18"/>
          <w:szCs w:val="18"/>
          <w:b w:val="1"/>
          <w:bCs w:val="1"/>
          <w:i w:val="1"/>
          <w:iCs w:val="1"/>
          <w:color w:val="auto"/>
        </w:rPr>
        <w:t>Share-Based Compensation</w:t>
      </w:r>
      <w:r>
        <w:rPr>
          <w:rFonts w:ascii="Arial" w:cs="Arial" w:eastAsia="Arial" w:hAnsi="Arial"/>
          <w:sz w:val="18"/>
          <w:szCs w:val="18"/>
          <w:color w:val="auto"/>
        </w:rPr>
        <w:t>—Stock-based employee compensation is accounted for at fair value under Statement of Financial Accounting Standards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(“SFAS”) No. 123(R), </w:t>
      </w:r>
      <w:r>
        <w:rPr>
          <w:rFonts w:ascii="Arial" w:cs="Arial" w:eastAsia="Arial" w:hAnsi="Arial"/>
          <w:sz w:val="18"/>
          <w:szCs w:val="18"/>
          <w:i w:val="1"/>
          <w:iCs w:val="1"/>
          <w:color w:val="auto"/>
        </w:rPr>
        <w:t>Share-Based Payment</w:t>
      </w:r>
      <w:r>
        <w:rPr>
          <w:rFonts w:ascii="Arial" w:cs="Arial" w:eastAsia="Arial" w:hAnsi="Arial"/>
          <w:sz w:val="18"/>
          <w:szCs w:val="18"/>
          <w:color w:val="auto"/>
        </w:rPr>
        <w:t>. The Company adopted SFAS No. 123(R) on December 30, 2005 prospectively for new equity based grants, as there were no equity based grants prior to the date of adoption.</w:t>
      </w:r>
    </w:p>
    <w:p>
      <w:pPr>
        <w:spacing w:after="0" w:line="59" w:lineRule="exact"/>
        <w:rPr>
          <w:sz w:val="20"/>
          <w:szCs w:val="20"/>
          <w:color w:val="auto"/>
        </w:rPr>
      </w:pPr>
    </w:p>
    <w:p>
      <w:pPr>
        <w:jc w:val="both"/>
        <w:ind w:left="460" w:right="160"/>
        <w:spacing w:after="0" w:line="256" w:lineRule="auto"/>
        <w:rPr>
          <w:sz w:val="20"/>
          <w:szCs w:val="20"/>
          <w:color w:val="auto"/>
        </w:rPr>
      </w:pPr>
      <w:r>
        <w:rPr>
          <w:rFonts w:ascii="Arial" w:cs="Arial" w:eastAsia="Arial" w:hAnsi="Arial"/>
          <w:sz w:val="18"/>
          <w:szCs w:val="18"/>
          <w:b w:val="1"/>
          <w:bCs w:val="1"/>
          <w:i w:val="1"/>
          <w:iCs w:val="1"/>
          <w:color w:val="auto"/>
        </w:rPr>
        <w:t>Estimates</w:t>
      </w:r>
      <w:r>
        <w:rPr>
          <w:rFonts w:ascii="Arial" w:cs="Arial" w:eastAsia="Arial" w:hAnsi="Arial"/>
          <w:sz w:val="18"/>
          <w:szCs w:val="18"/>
          <w:color w:val="auto"/>
        </w:rPr>
        <w:t>—The preparation of financial statements in conformity with accounting principles generally accepted in the United States of America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to make estimates and assumptions that affect the reported amounts of assets and liabilities and disclosure of contingent assets and liabilities at the date of the financial statements and the reported amounts of revenues and expenses during the reporting period. Significant estimates include those related to the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reserve for uncollectible accounts receivable, deferred revenue, equity-based compensation and the valuation of investments in absence of market data.</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Actual results could differ from those estimates.</w:t>
      </w:r>
    </w:p>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Reclassifications</w:t>
      </w:r>
      <w:r>
        <w:rPr>
          <w:rFonts w:ascii="Arial" w:cs="Arial" w:eastAsia="Arial" w:hAnsi="Arial"/>
          <w:sz w:val="16"/>
          <w:szCs w:val="16"/>
          <w:color w:val="auto"/>
        </w:rPr>
        <w:t>—Certain amounts in prior years’ financial statements have been reclassified to conform to the current year presentation.</w:t>
      </w:r>
    </w:p>
    <w:p>
      <w:pPr>
        <w:spacing w:after="0" w:line="310"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RECENT ACCOUNTING PRONOUNCEMENTS</w:t>
      </w:r>
    </w:p>
    <w:p>
      <w:pPr>
        <w:spacing w:after="0" w:line="96" w:lineRule="exact"/>
        <w:rPr>
          <w:rFonts w:ascii="Arial" w:cs="Arial" w:eastAsia="Arial" w:hAnsi="Arial"/>
          <w:sz w:val="18"/>
          <w:szCs w:val="18"/>
          <w:b w:val="1"/>
          <w:bCs w:val="1"/>
          <w:color w:val="auto"/>
        </w:rPr>
      </w:pPr>
    </w:p>
    <w:p>
      <w:pPr>
        <w:ind w:left="460" w:right="4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 xml:space="preserve">During June 2006, the Financial Accounting Standards Board (“FASB”) issued Interpretation No. (“FIN”) 48, </w:t>
      </w:r>
      <w:r>
        <w:rPr>
          <w:rFonts w:ascii="Arial" w:cs="Arial" w:eastAsia="Arial" w:hAnsi="Arial"/>
          <w:sz w:val="16"/>
          <w:szCs w:val="16"/>
          <w:i w:val="1"/>
          <w:iCs w:val="1"/>
          <w:color w:val="auto"/>
        </w:rPr>
        <w:t>Accounting for Uncertainty in Income Taxes</w:t>
      </w:r>
      <w:r>
        <w:rPr>
          <w:rFonts w:ascii="Arial" w:cs="Arial" w:eastAsia="Arial" w:hAnsi="Arial"/>
          <w:sz w:val="16"/>
          <w:szCs w:val="16"/>
          <w:color w:val="auto"/>
        </w:rPr>
        <w:t xml:space="preserve"> </w:t>
      </w:r>
      <w:r>
        <w:rPr>
          <w:rFonts w:ascii="Arial" w:cs="Arial" w:eastAsia="Arial" w:hAnsi="Arial"/>
          <w:sz w:val="16"/>
          <w:szCs w:val="16"/>
          <w:i w:val="1"/>
          <w:iCs w:val="1"/>
          <w:color w:val="auto"/>
        </w:rPr>
        <w:t>—an interpretation of FASB Statement No. 109</w:t>
      </w:r>
      <w:r>
        <w:rPr>
          <w:rFonts w:ascii="Arial" w:cs="Arial" w:eastAsia="Arial" w:hAnsi="Arial"/>
          <w:sz w:val="16"/>
          <w:szCs w:val="16"/>
          <w:color w:val="auto"/>
        </w:rPr>
        <w:t>. This interpretation clarifies the accounting for uncertainty in income taxes recognized in an enterprise’s</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financial statements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and prescribes a recognition threshold and measurement attribute for the financial statement recognition and measurement of a tax position taken or expected to be taken in a tax return. This interpretation also provides guidance on derecognition, classification, interest and penalties, accounting in interim periods, disclosure, and transition. This interpretation is effective for fiscal years beginning after December 15, 2006. The Company adopted this interpretation on February 13, 2007, the date at which the Company began to account for income taxes within its consolidated accounts. The impact of the Company’s assessment of its tax positions in accordance with FIN 48 did not have a material effect on the Company’s results of operations, financial condition or liquidity.</w:t>
      </w:r>
    </w:p>
    <w:p>
      <w:pPr>
        <w:spacing w:after="0" w:line="37" w:lineRule="exact"/>
        <w:rPr>
          <w:rFonts w:ascii="Arial" w:cs="Arial" w:eastAsia="Arial" w:hAnsi="Arial"/>
          <w:sz w:val="18"/>
          <w:szCs w:val="18"/>
          <w:b w:val="1"/>
          <w:bCs w:val="1"/>
          <w:color w:val="auto"/>
        </w:rPr>
      </w:pPr>
    </w:p>
    <w:p>
      <w:pPr>
        <w:ind w:left="460" w:right="28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 xml:space="preserve">During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No. 157 establishes a framework for measuring fair value in GAAP, and expands disclosures about fair value measurements. SFAS No. 157 is effective for fiscal years beginning after November 15, 2007. The Company expects its investment in IdeaCast, Inc. (see Note 7) to be measured for fair value based on unobservable inputs (level 3) and is assessing the impact that SFAS No. 157 will have on its results of operations, financial condition and liquidity, which it does not expect to be significant.</w:t>
      </w:r>
    </w:p>
    <w:p>
      <w:pPr>
        <w:spacing w:after="0" w:line="31" w:lineRule="exact"/>
        <w:rPr>
          <w:rFonts w:ascii="Arial" w:cs="Arial" w:eastAsia="Arial" w:hAnsi="Arial"/>
          <w:sz w:val="18"/>
          <w:szCs w:val="18"/>
          <w:b w:val="1"/>
          <w:bCs w:val="1"/>
          <w:color w:val="auto"/>
        </w:rPr>
      </w:pPr>
    </w:p>
    <w:p>
      <w:pPr>
        <w:ind w:left="460" w:right="2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 xml:space="preserve">In June 2007, the FASB ratified EITF Issue 06-11, </w:t>
      </w:r>
      <w:r>
        <w:rPr>
          <w:rFonts w:ascii="Arial" w:cs="Arial" w:eastAsia="Arial" w:hAnsi="Arial"/>
          <w:sz w:val="18"/>
          <w:szCs w:val="18"/>
          <w:i w:val="1"/>
          <w:iCs w:val="1"/>
          <w:color w:val="auto"/>
        </w:rPr>
        <w:t>Accounting for Income Tax Benefits of Dividends on Share-Based Payment Awards,</w:t>
      </w:r>
      <w:r>
        <w:rPr>
          <w:rFonts w:ascii="Arial" w:cs="Arial" w:eastAsia="Arial" w:hAnsi="Arial"/>
          <w:sz w:val="18"/>
          <w:szCs w:val="18"/>
          <w:color w:val="auto"/>
        </w:rPr>
        <w:t xml:space="preserve"> which requires that tax benefits generated by dividends paid during the vesting period on certain equity-classified, share-based compensation awards be classified as additional paid-in capital and included in a pool of excess tax benefits available to absorb tax deficiencies from share-based payment awards. EITF 06-11 is effective for annual period beginning after December 15, 2007. The Company is assessing the impact that EITF 06-11 will have on its financial statements, which it does not expect to be significant.</w:t>
      </w:r>
    </w:p>
    <w:p>
      <w:pPr>
        <w:spacing w:after="0" w:line="61" w:lineRule="exact"/>
        <w:rPr>
          <w:rFonts w:ascii="Arial" w:cs="Arial" w:eastAsia="Arial" w:hAnsi="Arial"/>
          <w:sz w:val="18"/>
          <w:szCs w:val="18"/>
          <w:b w:val="1"/>
          <w:bCs w:val="1"/>
          <w:color w:val="auto"/>
        </w:rPr>
      </w:pPr>
    </w:p>
    <w:p>
      <w:pPr>
        <w:ind w:left="460"/>
        <w:spacing w:after="0" w:line="323" w:lineRule="auto"/>
        <w:rPr>
          <w:rFonts w:ascii="Arial" w:cs="Arial" w:eastAsia="Arial" w:hAnsi="Arial"/>
          <w:sz w:val="18"/>
          <w:szCs w:val="18"/>
          <w:b w:val="1"/>
          <w:bCs w:val="1"/>
          <w:color w:val="auto"/>
        </w:rPr>
      </w:pPr>
      <w:r>
        <w:rPr>
          <w:rFonts w:ascii="Arial" w:cs="Arial" w:eastAsia="Arial" w:hAnsi="Arial"/>
          <w:sz w:val="15"/>
          <w:szCs w:val="15"/>
          <w:color w:val="auto"/>
        </w:rPr>
        <w:t xml:space="preserve">During February 2007, the FASB issued SFAS No. 159, </w:t>
      </w:r>
      <w:r>
        <w:rPr>
          <w:rFonts w:ascii="Arial" w:cs="Arial" w:eastAsia="Arial" w:hAnsi="Arial"/>
          <w:sz w:val="15"/>
          <w:szCs w:val="15"/>
          <w:i w:val="1"/>
          <w:iCs w:val="1"/>
          <w:color w:val="auto"/>
        </w:rPr>
        <w:t>The Fair Value Option for Financial Assets and Financial Liabilities – Including an Amendment of</w:t>
      </w:r>
      <w:r>
        <w:rPr>
          <w:rFonts w:ascii="Arial" w:cs="Arial" w:eastAsia="Arial" w:hAnsi="Arial"/>
          <w:sz w:val="15"/>
          <w:szCs w:val="15"/>
          <w:color w:val="auto"/>
        </w:rPr>
        <w:t xml:space="preserve"> </w:t>
      </w:r>
      <w:r>
        <w:rPr>
          <w:rFonts w:ascii="Arial" w:cs="Arial" w:eastAsia="Arial" w:hAnsi="Arial"/>
          <w:sz w:val="15"/>
          <w:szCs w:val="15"/>
          <w:i w:val="1"/>
          <w:iCs w:val="1"/>
          <w:color w:val="auto"/>
        </w:rPr>
        <w:t>FASB Statement No. 115</w:t>
      </w:r>
      <w:r>
        <w:rPr>
          <w:rFonts w:ascii="Arial" w:cs="Arial" w:eastAsia="Arial" w:hAnsi="Arial"/>
          <w:sz w:val="15"/>
          <w:szCs w:val="15"/>
          <w:color w:val="auto"/>
        </w:rPr>
        <w:t>. This statement permits entities to choose to measure many financial instruments and certain other items at fair value and report</w:t>
      </w:r>
      <w:r>
        <w:rPr>
          <w:rFonts w:ascii="Arial" w:cs="Arial" w:eastAsia="Arial" w:hAnsi="Arial"/>
          <w:sz w:val="15"/>
          <w:szCs w:val="15"/>
          <w:i w:val="1"/>
          <w:iCs w:val="1"/>
          <w:color w:val="auto"/>
        </w:rPr>
        <w:t xml:space="preserve"> </w:t>
      </w:r>
      <w:r>
        <w:rPr>
          <w:rFonts w:ascii="Arial" w:cs="Arial" w:eastAsia="Arial" w:hAnsi="Arial"/>
          <w:sz w:val="15"/>
          <w:szCs w:val="15"/>
          <w:color w:val="auto"/>
        </w:rPr>
        <w:t>unrealized gains and losses on these investments in earnings. SFAS No. 159 is effective for fiscal years beginning after November 15, 2007. The Company is assessing the impact that SFAS No. 159 will have on its results of operations, financial condition and liquidity, which it does not expect to be significant.</w:t>
      </w:r>
    </w:p>
    <w:p>
      <w:pPr>
        <w:spacing w:after="0" w:line="213" w:lineRule="exact"/>
        <w:rPr>
          <w:rFonts w:ascii="Arial" w:cs="Arial" w:eastAsia="Arial" w:hAnsi="Arial"/>
          <w:sz w:val="18"/>
          <w:szCs w:val="18"/>
          <w:b w:val="1"/>
          <w:bCs w:val="1"/>
          <w:color w:val="auto"/>
        </w:rPr>
      </w:pPr>
    </w:p>
    <w:p>
      <w:pPr>
        <w:ind w:left="460" w:hanging="452"/>
        <w:spacing w:after="0"/>
        <w:tabs>
          <w:tab w:leader="none" w:pos="4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96"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The components of the provision for income taxes for income from operations are as follows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5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jc w:val="center"/>
              <w:ind w:right="80"/>
              <w:spacing w:after="0"/>
              <w:rPr>
                <w:sz w:val="20"/>
                <w:szCs w:val="20"/>
                <w:color w:val="auto"/>
              </w:rPr>
            </w:pPr>
            <w:r>
              <w:rPr>
                <w:rFonts w:ascii="Arial" w:cs="Arial" w:eastAsia="Arial" w:hAnsi="Arial"/>
                <w:sz w:val="14"/>
                <w:szCs w:val="14"/>
                <w:b w:val="1"/>
                <w:bCs w:val="1"/>
                <w:color w:val="auto"/>
                <w:w w:val="87"/>
              </w:rPr>
              <w:t>Period</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February 13,</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8"/>
              </w:rPr>
              <w:t>Quarter Ended</w:t>
            </w:r>
          </w:p>
        </w:tc>
        <w:tc>
          <w:tcPr>
            <w:tcW w:w="8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2007 through</w:t>
            </w:r>
          </w:p>
        </w:tc>
        <w:tc>
          <w:tcPr>
            <w:tcW w:w="0" w:type="dxa"/>
            <w:vAlign w:val="bottom"/>
          </w:tcPr>
          <w:p>
            <w:pPr>
              <w:spacing w:after="0"/>
              <w:rPr>
                <w:sz w:val="1"/>
                <w:szCs w:val="1"/>
                <w:color w:val="auto"/>
              </w:rPr>
            </w:pPr>
          </w:p>
        </w:tc>
      </w:tr>
      <w:tr>
        <w:trPr>
          <w:trHeight w:val="149"/>
        </w:trPr>
        <w:tc>
          <w:tcPr>
            <w:tcW w:w="3520" w:type="dxa"/>
            <w:vAlign w:val="bottom"/>
          </w:tcPr>
          <w:p>
            <w:pPr>
              <w:spacing w:after="0"/>
              <w:rPr>
                <w:sz w:val="12"/>
                <w:szCs w:val="12"/>
                <w:color w:val="auto"/>
              </w:rPr>
            </w:pPr>
          </w:p>
        </w:tc>
        <w:tc>
          <w:tcPr>
            <w:tcW w:w="4420" w:type="dxa"/>
            <w:vAlign w:val="bottom"/>
          </w:tcPr>
          <w:p>
            <w:pPr>
              <w:spacing w:after="0"/>
              <w:rPr>
                <w:sz w:val="12"/>
                <w:szCs w:val="12"/>
                <w:color w:val="auto"/>
              </w:rPr>
            </w:pPr>
          </w:p>
        </w:tc>
        <w:tc>
          <w:tcPr>
            <w:tcW w:w="900" w:type="dxa"/>
            <w:vAlign w:val="bottom"/>
            <w:gridSpan w:val="2"/>
          </w:tcPr>
          <w:p>
            <w:pPr>
              <w:jc w:val="right"/>
              <w:spacing w:after="0" w:line="149" w:lineRule="exact"/>
              <w:rPr>
                <w:sz w:val="20"/>
                <w:szCs w:val="20"/>
                <w:color w:val="auto"/>
              </w:rPr>
            </w:pPr>
            <w:r>
              <w:rPr>
                <w:rFonts w:ascii="Arial" w:cs="Arial" w:eastAsia="Arial" w:hAnsi="Arial"/>
                <w:sz w:val="14"/>
                <w:szCs w:val="14"/>
                <w:b w:val="1"/>
                <w:bCs w:val="1"/>
                <w:color w:val="auto"/>
                <w:w w:val="87"/>
              </w:rPr>
              <w:t>September 27,</w:t>
            </w:r>
          </w:p>
        </w:tc>
        <w:tc>
          <w:tcPr>
            <w:tcW w:w="840" w:type="dxa"/>
            <w:vAlign w:val="bottom"/>
          </w:tcPr>
          <w:p>
            <w:pPr>
              <w:spacing w:after="0"/>
              <w:rPr>
                <w:sz w:val="12"/>
                <w:szCs w:val="12"/>
                <w:color w:val="auto"/>
              </w:rPr>
            </w:pPr>
          </w:p>
        </w:tc>
        <w:tc>
          <w:tcPr>
            <w:tcW w:w="82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0" w:type="dxa"/>
            <w:vAlign w:val="bottom"/>
          </w:tcPr>
          <w:p>
            <w:pPr>
              <w:spacing w:after="0"/>
              <w:rPr>
                <w:sz w:val="1"/>
                <w:szCs w:val="1"/>
                <w:color w:val="auto"/>
              </w:rPr>
            </w:pPr>
          </w:p>
        </w:tc>
      </w:tr>
      <w:tr>
        <w:trPr>
          <w:trHeight w:val="161"/>
        </w:trPr>
        <w:tc>
          <w:tcPr>
            <w:tcW w:w="352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2007</w:t>
            </w:r>
          </w:p>
        </w:tc>
        <w:tc>
          <w:tcPr>
            <w:tcW w:w="8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3"/>
              </w:rPr>
              <w:t>2007</w:t>
            </w:r>
          </w:p>
        </w:tc>
        <w:tc>
          <w:tcPr>
            <w:tcW w:w="0" w:type="dxa"/>
            <w:vAlign w:val="bottom"/>
          </w:tcPr>
          <w:p>
            <w:pPr>
              <w:spacing w:after="0"/>
              <w:rPr>
                <w:sz w:val="1"/>
                <w:szCs w:val="1"/>
                <w:color w:val="auto"/>
              </w:rPr>
            </w:pPr>
          </w:p>
        </w:tc>
      </w:tr>
      <w:tr>
        <w:trPr>
          <w:trHeight w:val="210"/>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Federal and State :</w:t>
            </w:r>
          </w:p>
        </w:tc>
        <w:tc>
          <w:tcPr>
            <w:tcW w:w="44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440"/>
              <w:spacing w:after="0"/>
              <w:rPr>
                <w:sz w:val="20"/>
                <w:szCs w:val="20"/>
                <w:color w:val="auto"/>
              </w:rPr>
            </w:pPr>
            <w:r>
              <w:rPr>
                <w:rFonts w:ascii="Arial" w:cs="Arial" w:eastAsia="Arial" w:hAnsi="Arial"/>
                <w:sz w:val="18"/>
                <w:szCs w:val="18"/>
                <w:color w:val="auto"/>
              </w:rPr>
              <w:t>Current</w:t>
            </w:r>
          </w:p>
        </w:tc>
        <w:tc>
          <w:tcPr>
            <w:tcW w:w="4620" w:type="dxa"/>
            <w:vAlign w:val="bottom"/>
            <w:gridSpan w:val="2"/>
          </w:tcPr>
          <w:p>
            <w:pPr>
              <w:ind w:left="4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11.9</w:t>
            </w:r>
          </w:p>
        </w:tc>
        <w:tc>
          <w:tcPr>
            <w:tcW w:w="10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35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Deferred</w:t>
            </w:r>
          </w:p>
        </w:tc>
        <w:tc>
          <w:tcPr>
            <w:tcW w:w="44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8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21"/>
        </w:trPr>
        <w:tc>
          <w:tcPr>
            <w:tcW w:w="3520" w:type="dxa"/>
            <w:vAlign w:val="bottom"/>
          </w:tcPr>
          <w:p>
            <w:pPr>
              <w:spacing w:after="0"/>
              <w:rPr>
                <w:sz w:val="20"/>
                <w:szCs w:val="20"/>
                <w:color w:val="auto"/>
              </w:rPr>
            </w:pPr>
            <w:r>
              <w:rPr>
                <w:rFonts w:ascii="Arial" w:cs="Arial" w:eastAsia="Arial" w:hAnsi="Arial"/>
                <w:sz w:val="18"/>
                <w:szCs w:val="18"/>
                <w:color w:val="auto"/>
              </w:rPr>
              <w:t>Total income tax provision</w:t>
            </w:r>
          </w:p>
        </w:tc>
        <w:tc>
          <w:tcPr>
            <w:tcW w:w="4620" w:type="dxa"/>
            <w:vAlign w:val="bottom"/>
            <w:gridSpan w:val="2"/>
          </w:tcPr>
          <w:p>
            <w:pPr>
              <w:ind w:left="44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15.2</w:t>
            </w:r>
          </w:p>
        </w:tc>
        <w:tc>
          <w:tcPr>
            <w:tcW w:w="1000" w:type="dxa"/>
            <w:vAlign w:val="bottom"/>
            <w:gridSpan w:val="2"/>
          </w:tcPr>
          <w:p>
            <w:pPr>
              <w:jc w:val="right"/>
              <w:ind w:right="12"/>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4420" w:type="dxa"/>
            <w:vAlign w:val="bottom"/>
            <w:vMerge w:val="restart"/>
          </w:tcPr>
          <w:p>
            <w:pPr>
              <w:jc w:val="right"/>
              <w:ind w:right="2512"/>
              <w:spacing w:after="0"/>
              <w:rPr>
                <w:sz w:val="20"/>
                <w:szCs w:val="20"/>
                <w:color w:val="auto"/>
              </w:rPr>
            </w:pPr>
            <w:r>
              <w:rPr>
                <w:rFonts w:ascii="Arial" w:cs="Arial" w:eastAsia="Arial" w:hAnsi="Arial"/>
                <w:sz w:val="18"/>
                <w:szCs w:val="18"/>
                <w:color w:val="auto"/>
              </w:rPr>
              <w:t>10</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520" w:type="dxa"/>
            <w:vAlign w:val="bottom"/>
          </w:tcPr>
          <w:p>
            <w:pPr>
              <w:spacing w:after="0"/>
              <w:rPr>
                <w:sz w:val="24"/>
                <w:szCs w:val="24"/>
                <w:color w:val="auto"/>
              </w:rPr>
            </w:pPr>
          </w:p>
        </w:tc>
        <w:tc>
          <w:tcPr>
            <w:tcW w:w="442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A reconciliation of the provision for income taxes as reported and the amount computed by multiplying the income before taxes and minority interest by the U.S. federal statutory rate of 35% was (in millions):</w:t>
      </w:r>
    </w:p>
    <w:p>
      <w:pPr>
        <w:sectPr>
          <w:pgSz w:w="11900" w:h="16838" w:orient="portrait"/>
          <w:cols w:equalWidth="0" w:num="1">
            <w:col w:w="11380"/>
          </w:cols>
          <w:pgMar w:left="240" w:top="459" w:right="2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460"/>
        <w:spacing w:after="0"/>
        <w:rPr>
          <w:sz w:val="20"/>
          <w:szCs w:val="20"/>
          <w:color w:val="auto"/>
        </w:rPr>
      </w:pPr>
      <w:r>
        <w:rPr>
          <w:rFonts w:ascii="Arial" w:cs="Arial" w:eastAsia="Arial" w:hAnsi="Arial"/>
          <w:sz w:val="15"/>
          <w:szCs w:val="15"/>
          <w:color w:val="auto"/>
        </w:rPr>
        <w:t>Provision calculated at federal statutory income tax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-103505</wp:posOffset>
            </wp:positionV>
            <wp:extent cx="666369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State and local income taxes, net of federal benefit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-129540</wp:posOffset>
            </wp:positionV>
            <wp:extent cx="666369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663690" cy="137160"/>
                    </a:xfrm>
                    <a:prstGeom prst="rect">
                      <a:avLst/>
                    </a:prstGeom>
                    <a:noFill/>
                  </pic:spPr>
                </pic:pic>
              </a:graphicData>
            </a:graphic>
          </wp:anchor>
        </w:drawing>
      </w:r>
    </w:p>
    <w:p>
      <w:pPr>
        <w:spacing w:after="0" w:line="1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Total income tax provision</w:t>
      </w:r>
    </w:p>
    <w:p>
      <w:pPr>
        <w:spacing w:after="0" w:line="20" w:lineRule="exact"/>
        <w:rPr>
          <w:sz w:val="20"/>
          <w:szCs w:val="20"/>
          <w:color w:val="auto"/>
        </w:rPr>
      </w:pPr>
      <w:r>
        <w:rPr>
          <w:sz w:val="20"/>
          <w:szCs w:val="20"/>
          <w:color w:val="auto"/>
        </w:rPr>
        <w:br w:type="column"/>
      </w:r>
    </w:p>
    <w:p>
      <w:pPr>
        <w:spacing w:after="0" w:line="297" w:lineRule="exact"/>
        <w:rPr>
          <w:sz w:val="20"/>
          <w:szCs w:val="20"/>
          <w:color w:val="auto"/>
        </w:rPr>
      </w:pPr>
    </w:p>
    <w:p>
      <w:pPr>
        <w:jc w:val="center"/>
        <w:ind w:right="113"/>
        <w:spacing w:after="0"/>
        <w:rPr>
          <w:sz w:val="20"/>
          <w:szCs w:val="20"/>
          <w:color w:val="auto"/>
        </w:rPr>
      </w:pPr>
      <w:r>
        <w:rPr>
          <w:rFonts w:ascii="Arial" w:cs="Arial" w:eastAsia="Arial" w:hAnsi="Arial"/>
          <w:sz w:val="14"/>
          <w:szCs w:val="14"/>
          <w:b w:val="1"/>
          <w:bCs w:val="1"/>
          <w:color w:val="auto"/>
        </w:rPr>
        <w:t>Quarter</w:t>
      </w:r>
    </w:p>
    <w:p>
      <w:pPr>
        <w:jc w:val="center"/>
        <w:ind w:right="113"/>
        <w:spacing w:after="0" w:line="223" w:lineRule="auto"/>
        <w:rPr>
          <w:sz w:val="20"/>
          <w:szCs w:val="20"/>
          <w:color w:val="auto"/>
        </w:rPr>
      </w:pPr>
      <w:r>
        <w:rPr>
          <w:rFonts w:ascii="Arial" w:cs="Arial" w:eastAsia="Arial" w:hAnsi="Arial"/>
          <w:sz w:val="14"/>
          <w:szCs w:val="14"/>
          <w:b w:val="1"/>
          <w:bCs w:val="1"/>
          <w:color w:val="auto"/>
        </w:rPr>
        <w:t>Ended</w:t>
      </w:r>
    </w:p>
    <w:p>
      <w:pPr>
        <w:spacing w:after="0" w:line="1" w:lineRule="exact"/>
        <w:rPr>
          <w:sz w:val="20"/>
          <w:szCs w:val="20"/>
          <w:color w:val="auto"/>
        </w:rPr>
      </w:pPr>
    </w:p>
    <w:p>
      <w:pPr>
        <w:jc w:val="center"/>
        <w:ind w:right="113"/>
        <w:spacing w:after="0"/>
        <w:rPr>
          <w:sz w:val="20"/>
          <w:szCs w:val="20"/>
          <w:color w:val="auto"/>
        </w:rPr>
      </w:pPr>
      <w:r>
        <w:rPr>
          <w:rFonts w:ascii="Arial" w:cs="Arial" w:eastAsia="Arial" w:hAnsi="Arial"/>
          <w:sz w:val="11"/>
          <w:szCs w:val="11"/>
          <w:b w:val="1"/>
          <w:bCs w:val="1"/>
          <w:color w:val="auto"/>
        </w:rPr>
        <w:t>September 27,</w:t>
      </w:r>
    </w:p>
    <w:p>
      <w:pPr>
        <w:spacing w:after="0" w:line="21" w:lineRule="exact"/>
        <w:rPr>
          <w:sz w:val="20"/>
          <w:szCs w:val="20"/>
          <w:color w:val="auto"/>
        </w:rPr>
      </w:pPr>
    </w:p>
    <w:p>
      <w:pPr>
        <w:jc w:val="center"/>
        <w:ind w:right="113"/>
        <w:spacing w:after="0"/>
        <w:rPr>
          <w:sz w:val="20"/>
          <w:szCs w:val="20"/>
          <w:color w:val="auto"/>
        </w:rPr>
      </w:pP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232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ind w:left="524" w:hanging="524"/>
        <w:spacing w:after="0"/>
        <w:tabs>
          <w:tab w:leader="none" w:pos="524" w:val="left"/>
        </w:tabs>
        <w:numPr>
          <w:ilvl w:val="0"/>
          <w:numId w:val="4"/>
        </w:numPr>
        <w:rPr>
          <w:rFonts w:ascii="Arial" w:cs="Arial" w:eastAsia="Arial" w:hAnsi="Arial"/>
          <w:sz w:val="15"/>
          <w:szCs w:val="15"/>
          <w:color w:val="auto"/>
        </w:rPr>
      </w:pPr>
      <w:r>
        <w:rPr>
          <w:rFonts w:ascii="Arial" w:cs="Arial" w:eastAsia="Arial" w:hAnsi="Arial"/>
          <w:sz w:val="15"/>
          <w:szCs w:val="15"/>
          <w:color w:val="auto"/>
        </w:rPr>
        <w:t>13.2</w:t>
      </w:r>
    </w:p>
    <w:p>
      <w:pPr>
        <w:spacing w:after="0" w:line="42" w:lineRule="exact"/>
        <w:rPr>
          <w:rFonts w:ascii="Arial" w:cs="Arial" w:eastAsia="Arial" w:hAnsi="Arial"/>
          <w:sz w:val="15"/>
          <w:szCs w:val="15"/>
          <w:color w:val="auto"/>
        </w:rPr>
      </w:pPr>
    </w:p>
    <w:p>
      <w:pPr>
        <w:ind w:left="604"/>
        <w:spacing w:after="0"/>
        <w:rPr>
          <w:rFonts w:ascii="Arial" w:cs="Arial" w:eastAsia="Arial" w:hAnsi="Arial"/>
          <w:sz w:val="15"/>
          <w:szCs w:val="15"/>
          <w:color w:val="auto"/>
        </w:rPr>
      </w:pPr>
      <w:r>
        <w:rPr>
          <w:rFonts w:ascii="Arial" w:cs="Arial" w:eastAsia="Arial" w:hAnsi="Arial"/>
          <w:sz w:val="15"/>
          <w:szCs w:val="15"/>
          <w:color w:val="auto"/>
        </w:rPr>
        <w:t>1.9</w:t>
      </w:r>
    </w:p>
    <w:p>
      <w:pPr>
        <w:spacing w:after="0" w:line="43" w:lineRule="exact"/>
        <w:rPr>
          <w:rFonts w:ascii="Arial" w:cs="Arial" w:eastAsia="Arial" w:hAnsi="Arial"/>
          <w:sz w:val="15"/>
          <w:szCs w:val="15"/>
          <w:color w:val="auto"/>
        </w:rPr>
      </w:pPr>
    </w:p>
    <w:p>
      <w:pPr>
        <w:ind w:left="604"/>
        <w:spacing w:after="0"/>
        <w:rPr>
          <w:rFonts w:ascii="Arial" w:cs="Arial" w:eastAsia="Arial" w:hAnsi="Arial"/>
          <w:sz w:val="15"/>
          <w:szCs w:val="15"/>
          <w:color w:val="auto"/>
        </w:rPr>
      </w:pPr>
      <w:r>
        <w:rPr>
          <w:rFonts w:ascii="Arial" w:cs="Arial" w:eastAsia="Arial" w:hAnsi="Arial"/>
          <w:sz w:val="15"/>
          <w:szCs w:val="15"/>
          <w:color w:val="auto"/>
        </w:rPr>
        <w:t>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232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44" w:lineRule="exact"/>
        <w:rPr>
          <w:sz w:val="20"/>
          <w:szCs w:val="20"/>
          <w:color w:val="auto"/>
        </w:rPr>
      </w:pPr>
    </w:p>
    <w:p>
      <w:pPr>
        <w:ind w:left="524" w:hanging="524"/>
        <w:spacing w:after="0"/>
        <w:tabs>
          <w:tab w:leader="none" w:pos="524" w:val="left"/>
        </w:tabs>
        <w:numPr>
          <w:ilvl w:val="0"/>
          <w:numId w:val="5"/>
        </w:numPr>
        <w:rPr>
          <w:rFonts w:ascii="Arial" w:cs="Arial" w:eastAsia="Arial" w:hAnsi="Arial"/>
          <w:sz w:val="15"/>
          <w:szCs w:val="15"/>
          <w:color w:val="auto"/>
        </w:rPr>
      </w:pPr>
      <w:r>
        <w:rPr>
          <w:rFonts w:ascii="Arial" w:cs="Arial" w:eastAsia="Arial" w:hAnsi="Arial"/>
          <w:sz w:val="15"/>
          <w:szCs w:val="15"/>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5232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50165</wp:posOffset>
            </wp:positionV>
            <wp:extent cx="5232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417"/>
        <w:spacing w:after="0"/>
        <w:rPr>
          <w:sz w:val="20"/>
          <w:szCs w:val="20"/>
          <w:color w:val="auto"/>
        </w:rPr>
      </w:pPr>
      <w:r>
        <w:rPr>
          <w:rFonts w:ascii="Arial" w:cs="Arial" w:eastAsia="Arial" w:hAnsi="Arial"/>
          <w:sz w:val="14"/>
          <w:szCs w:val="14"/>
          <w:b w:val="1"/>
          <w:bCs w:val="1"/>
          <w:color w:val="auto"/>
        </w:rPr>
        <w:t>Period</w:t>
      </w:r>
    </w:p>
    <w:p>
      <w:pPr>
        <w:spacing w:after="0" w:line="2" w:lineRule="exact"/>
        <w:rPr>
          <w:sz w:val="20"/>
          <w:szCs w:val="20"/>
          <w:color w:val="auto"/>
        </w:rPr>
      </w:pPr>
    </w:p>
    <w:p>
      <w:pPr>
        <w:jc w:val="center"/>
        <w:ind w:right="417"/>
        <w:spacing w:after="0"/>
        <w:rPr>
          <w:sz w:val="20"/>
          <w:szCs w:val="20"/>
          <w:color w:val="auto"/>
        </w:rPr>
      </w:pPr>
      <w:r>
        <w:rPr>
          <w:rFonts w:ascii="Arial" w:cs="Arial" w:eastAsia="Arial" w:hAnsi="Arial"/>
          <w:sz w:val="12"/>
          <w:szCs w:val="12"/>
          <w:b w:val="1"/>
          <w:bCs w:val="1"/>
          <w:color w:val="auto"/>
        </w:rPr>
        <w:t>February 13,</w:t>
      </w:r>
    </w:p>
    <w:p>
      <w:pPr>
        <w:spacing w:after="0" w:line="11" w:lineRule="exact"/>
        <w:rPr>
          <w:sz w:val="20"/>
          <w:szCs w:val="20"/>
          <w:color w:val="auto"/>
        </w:rPr>
      </w:pPr>
    </w:p>
    <w:p>
      <w:pPr>
        <w:jc w:val="center"/>
        <w:ind w:right="417"/>
        <w:spacing w:after="0"/>
        <w:rPr>
          <w:sz w:val="20"/>
          <w:szCs w:val="20"/>
          <w:color w:val="auto"/>
        </w:rPr>
      </w:pPr>
      <w:r>
        <w:rPr>
          <w:rFonts w:ascii="Arial" w:cs="Arial" w:eastAsia="Arial" w:hAnsi="Arial"/>
          <w:sz w:val="12"/>
          <w:szCs w:val="12"/>
          <w:b w:val="1"/>
          <w:bCs w:val="1"/>
          <w:color w:val="auto"/>
        </w:rPr>
        <w:t>2007 through</w:t>
      </w:r>
    </w:p>
    <w:p>
      <w:pPr>
        <w:spacing w:after="0" w:line="11" w:lineRule="exact"/>
        <w:rPr>
          <w:sz w:val="20"/>
          <w:szCs w:val="20"/>
          <w:color w:val="auto"/>
        </w:rPr>
      </w:pPr>
    </w:p>
    <w:p>
      <w:pPr>
        <w:jc w:val="center"/>
        <w:ind w:right="417"/>
        <w:spacing w:after="0"/>
        <w:rPr>
          <w:sz w:val="20"/>
          <w:szCs w:val="20"/>
          <w:color w:val="auto"/>
        </w:rPr>
      </w:pPr>
      <w:r>
        <w:rPr>
          <w:rFonts w:ascii="Arial" w:cs="Arial" w:eastAsia="Arial" w:hAnsi="Arial"/>
          <w:sz w:val="11"/>
          <w:szCs w:val="11"/>
          <w:b w:val="1"/>
          <w:bCs w:val="1"/>
          <w:color w:val="auto"/>
        </w:rPr>
        <w:t>September 27,</w:t>
      </w:r>
    </w:p>
    <w:p>
      <w:pPr>
        <w:spacing w:after="0" w:line="21" w:lineRule="exact"/>
        <w:rPr>
          <w:sz w:val="20"/>
          <w:szCs w:val="20"/>
          <w:color w:val="auto"/>
        </w:rPr>
      </w:pPr>
    </w:p>
    <w:p>
      <w:pPr>
        <w:jc w:val="center"/>
        <w:ind w:right="417"/>
        <w:spacing w:after="0"/>
        <w:rPr>
          <w:sz w:val="20"/>
          <w:szCs w:val="20"/>
          <w:color w:val="auto"/>
        </w:rPr>
      </w:pPr>
      <w:r>
        <w:rPr>
          <w:rFonts w:ascii="Arial" w:cs="Arial" w:eastAsia="Arial" w:hAnsi="Arial"/>
          <w:sz w:val="14"/>
          <w:szCs w:val="14"/>
          <w:b w:val="1"/>
          <w:bCs w:val="1"/>
          <w:color w:val="auto"/>
        </w:rPr>
        <w:t>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-7620</wp:posOffset>
            </wp:positionV>
            <wp:extent cx="5232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ind w:left="523" w:hanging="523"/>
        <w:spacing w:after="0"/>
        <w:tabs>
          <w:tab w:leader="none" w:pos="523" w:val="left"/>
        </w:tabs>
        <w:numPr>
          <w:ilvl w:val="0"/>
          <w:numId w:val="6"/>
        </w:numPr>
        <w:rPr>
          <w:rFonts w:ascii="Arial" w:cs="Arial" w:eastAsia="Arial" w:hAnsi="Arial"/>
          <w:sz w:val="15"/>
          <w:szCs w:val="15"/>
          <w:color w:val="auto"/>
        </w:rPr>
      </w:pPr>
      <w:r>
        <w:rPr>
          <w:rFonts w:ascii="Arial" w:cs="Arial" w:eastAsia="Arial" w:hAnsi="Arial"/>
          <w:sz w:val="15"/>
          <w:szCs w:val="15"/>
          <w:color w:val="auto"/>
        </w:rPr>
        <w:t>24.6</w:t>
      </w:r>
    </w:p>
    <w:p>
      <w:pPr>
        <w:spacing w:after="0" w:line="42" w:lineRule="exact"/>
        <w:rPr>
          <w:rFonts w:ascii="Arial" w:cs="Arial" w:eastAsia="Arial" w:hAnsi="Arial"/>
          <w:sz w:val="15"/>
          <w:szCs w:val="15"/>
          <w:color w:val="auto"/>
        </w:rPr>
      </w:pPr>
    </w:p>
    <w:p>
      <w:pPr>
        <w:ind w:left="603"/>
        <w:spacing w:after="0"/>
        <w:rPr>
          <w:rFonts w:ascii="Arial" w:cs="Arial" w:eastAsia="Arial" w:hAnsi="Arial"/>
          <w:sz w:val="15"/>
          <w:szCs w:val="15"/>
          <w:color w:val="auto"/>
        </w:rPr>
      </w:pPr>
      <w:r>
        <w:rPr>
          <w:rFonts w:ascii="Arial" w:cs="Arial" w:eastAsia="Arial" w:hAnsi="Arial"/>
          <w:sz w:val="15"/>
          <w:szCs w:val="15"/>
          <w:color w:val="auto"/>
        </w:rPr>
        <w:t>3.5</w:t>
      </w:r>
    </w:p>
    <w:p>
      <w:pPr>
        <w:spacing w:after="0" w:line="43" w:lineRule="exact"/>
        <w:rPr>
          <w:rFonts w:ascii="Arial" w:cs="Arial" w:eastAsia="Arial" w:hAnsi="Arial"/>
          <w:sz w:val="15"/>
          <w:szCs w:val="15"/>
          <w:color w:val="auto"/>
        </w:rPr>
      </w:pPr>
    </w:p>
    <w:p>
      <w:pPr>
        <w:ind w:left="603"/>
        <w:spacing w:after="0"/>
        <w:rPr>
          <w:rFonts w:ascii="Arial" w:cs="Arial" w:eastAsia="Arial" w:hAnsi="Arial"/>
          <w:sz w:val="15"/>
          <w:szCs w:val="15"/>
          <w:color w:val="auto"/>
        </w:rPr>
      </w:pPr>
      <w:r>
        <w:rPr>
          <w:rFonts w:ascii="Arial" w:cs="Arial" w:eastAsia="Arial" w:hAnsi="Arial"/>
          <w:sz w:val="15"/>
          <w:szCs w:val="15"/>
          <w:color w:val="auto"/>
        </w:rPr>
        <w:t>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29210</wp:posOffset>
            </wp:positionV>
            <wp:extent cx="5232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44" w:lineRule="exact"/>
        <w:rPr>
          <w:sz w:val="20"/>
          <w:szCs w:val="20"/>
          <w:color w:val="auto"/>
        </w:rPr>
      </w:pPr>
    </w:p>
    <w:p>
      <w:pPr>
        <w:ind w:left="523" w:hanging="523"/>
        <w:spacing w:after="0"/>
        <w:tabs>
          <w:tab w:leader="none" w:pos="523" w:val="left"/>
        </w:tabs>
        <w:numPr>
          <w:ilvl w:val="0"/>
          <w:numId w:val="7"/>
        </w:numPr>
        <w:rPr>
          <w:rFonts w:ascii="Arial" w:cs="Arial" w:eastAsia="Arial" w:hAnsi="Arial"/>
          <w:sz w:val="15"/>
          <w:szCs w:val="15"/>
          <w:color w:val="auto"/>
        </w:rPr>
      </w:pPr>
      <w:r>
        <w:rPr>
          <w:rFonts w:ascii="Arial" w:cs="Arial" w:eastAsia="Arial" w:hAnsi="Arial"/>
          <w:sz w:val="15"/>
          <w:szCs w:val="15"/>
          <w:color w:val="auto"/>
        </w:rPr>
        <w:t>28.3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33020</wp:posOffset>
            </wp:positionV>
            <wp:extent cx="5232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2324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50165</wp:posOffset>
            </wp:positionV>
            <wp:extent cx="5232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23240" cy="8890"/>
                    </a:xfrm>
                    <a:prstGeom prst="rect">
                      <a:avLst/>
                    </a:prstGeom>
                    <a:noFill/>
                  </pic:spPr>
                </pic:pic>
              </a:graphicData>
            </a:graphic>
          </wp:anchor>
        </w:drawing>
      </w:r>
    </w:p>
    <w:p>
      <w:pPr>
        <w:spacing w:after="0" w:line="234" w:lineRule="exact"/>
        <w:rPr>
          <w:sz w:val="20"/>
          <w:szCs w:val="20"/>
          <w:color w:val="auto"/>
        </w:rPr>
      </w:pPr>
    </w:p>
    <w:p>
      <w:pPr>
        <w:sectPr>
          <w:pgSz w:w="11900" w:h="16838" w:orient="portrait"/>
          <w:cols w:equalWidth="0" w:num="3">
            <w:col w:w="7756" w:space="720"/>
            <w:col w:w="941" w:space="720"/>
            <w:col w:w="1243"/>
          </w:cols>
          <w:pgMar w:left="240" w:top="459" w:right="279" w:bottom="1440" w:gutter="0" w:footer="0" w:header="0"/>
          <w:type w:val="continuous"/>
        </w:sectPr>
      </w:pPr>
    </w:p>
    <w:p>
      <w:pPr>
        <w:spacing w:after="0" w:line="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Significant components of the Company’s deferred tax assets and deferred tax liability consisted of the following (in millions):</w:t>
      </w:r>
    </w:p>
    <w:p>
      <w:pPr>
        <w:spacing w:after="0" w:line="207" w:lineRule="exact"/>
        <w:rPr>
          <w:sz w:val="20"/>
          <w:szCs w:val="20"/>
          <w:color w:val="auto"/>
        </w:rPr>
      </w:pPr>
    </w:p>
    <w:p>
      <w:pPr>
        <w:jc w:val="center"/>
        <w:ind w:left="9680"/>
        <w:spacing w:after="0"/>
        <w:rPr>
          <w:sz w:val="20"/>
          <w:szCs w:val="20"/>
          <w:color w:val="auto"/>
        </w:rPr>
      </w:pPr>
      <w:r>
        <w:rPr>
          <w:rFonts w:ascii="Arial" w:cs="Arial" w:eastAsia="Arial" w:hAnsi="Arial"/>
          <w:sz w:val="14"/>
          <w:szCs w:val="14"/>
          <w:b w:val="1"/>
          <w:bCs w:val="1"/>
          <w:color w:val="auto"/>
        </w:rPr>
        <w:t>As of</w:t>
      </w:r>
    </w:p>
    <w:p>
      <w:pPr>
        <w:jc w:val="center"/>
        <w:ind w:left="9680"/>
        <w:spacing w:after="0" w:line="223" w:lineRule="auto"/>
        <w:rPr>
          <w:sz w:val="20"/>
          <w:szCs w:val="20"/>
          <w:color w:val="auto"/>
        </w:rPr>
      </w:pPr>
      <w:r>
        <w:rPr>
          <w:rFonts w:ascii="Arial" w:cs="Arial" w:eastAsia="Arial" w:hAnsi="Arial"/>
          <w:sz w:val="14"/>
          <w:szCs w:val="14"/>
          <w:b w:val="1"/>
          <w:bCs w:val="1"/>
          <w:color w:val="auto"/>
        </w:rPr>
        <w:t>September 27,</w:t>
      </w:r>
    </w:p>
    <w:p>
      <w:pPr>
        <w:jc w:val="center"/>
        <w:ind w:left="9680"/>
        <w:spacing w:after="0" w:line="220" w:lineRule="auto"/>
        <w:rPr>
          <w:sz w:val="20"/>
          <w:szCs w:val="20"/>
          <w:color w:val="auto"/>
        </w:rPr>
      </w:pPr>
      <w:r>
        <w:rPr>
          <w:rFonts w:ascii="Arial" w:cs="Arial" w:eastAsia="Arial" w:hAnsi="Arial"/>
          <w:sz w:val="14"/>
          <w:szCs w:val="14"/>
          <w:b w:val="1"/>
          <w:bCs w:val="1"/>
          <w:color w:val="auto"/>
        </w:rPr>
        <w:t>2007</w:t>
      </w:r>
    </w:p>
    <w:tbl>
      <w:tblPr>
        <w:tblLayout w:type="fixed"/>
        <w:tblInd w:w="460" w:type="dxa"/>
        <w:tblCellMar>
          <w:top w:w="0" w:type="dxa"/>
          <w:left w:w="0" w:type="dxa"/>
          <w:bottom w:w="0" w:type="dxa"/>
          <w:right w:w="0" w:type="dxa"/>
        </w:tblCellMar>
      </w:tblPr>
      <w:tr>
        <w:trPr>
          <w:trHeight w:val="210"/>
        </w:trPr>
        <w:tc>
          <w:tcPr>
            <w:tcW w:w="96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r>
      <w:tr>
        <w:trPr>
          <w:trHeight w:val="216"/>
        </w:trPr>
        <w:tc>
          <w:tcPr>
            <w:tcW w:w="9680" w:type="dxa"/>
            <w:vAlign w:val="bottom"/>
          </w:tcPr>
          <w:p>
            <w:pPr>
              <w:ind w:left="440"/>
              <w:spacing w:after="0"/>
              <w:rPr>
                <w:sz w:val="20"/>
                <w:szCs w:val="20"/>
                <w:color w:val="auto"/>
              </w:rPr>
            </w:pPr>
            <w:r>
              <w:rPr>
                <w:rFonts w:ascii="Arial" w:cs="Arial" w:eastAsia="Arial" w:hAnsi="Arial"/>
                <w:sz w:val="18"/>
                <w:szCs w:val="18"/>
                <w:color w:val="auto"/>
              </w:rPr>
              <w:t>Excess of tax basis in assets over book basis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290.2</w:t>
            </w:r>
          </w:p>
        </w:tc>
      </w:tr>
      <w:tr>
        <w:trPr>
          <w:trHeight w:val="216"/>
        </w:trPr>
        <w:tc>
          <w:tcPr>
            <w:tcW w:w="9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22"/>
        </w:trPr>
        <w:tc>
          <w:tcPr>
            <w:tcW w:w="9680" w:type="dxa"/>
            <w:vAlign w:val="bottom"/>
          </w:tcPr>
          <w:p>
            <w:pPr>
              <w:spacing w:after="0"/>
              <w:rPr>
                <w:sz w:val="20"/>
                <w:szCs w:val="20"/>
                <w:color w:val="auto"/>
              </w:rPr>
            </w:pPr>
            <w:r>
              <w:rPr>
                <w:rFonts w:ascii="Arial" w:cs="Arial" w:eastAsia="Arial" w:hAnsi="Arial"/>
                <w:sz w:val="18"/>
                <w:szCs w:val="18"/>
                <w:color w:val="auto"/>
              </w:rPr>
              <w:t>Total deferred tax assets</w:t>
            </w: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300.2</w:t>
            </w:r>
          </w:p>
        </w:tc>
      </w:tr>
      <w:tr>
        <w:trPr>
          <w:trHeight w:val="20"/>
        </w:trPr>
        <w:tc>
          <w:tcPr>
            <w:tcW w:w="9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r>
        <w:trPr>
          <w:trHeight w:val="211"/>
        </w:trPr>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Deferred tax liabilities:</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r>
      <w:tr>
        <w:trPr>
          <w:trHeight w:val="216"/>
        </w:trPr>
        <w:tc>
          <w:tcPr>
            <w:tcW w:w="9680" w:type="dxa"/>
            <w:vAlign w:val="bottom"/>
          </w:tcPr>
          <w:p>
            <w:pPr>
              <w:ind w:left="440"/>
              <w:spacing w:after="0"/>
              <w:rPr>
                <w:sz w:val="20"/>
                <w:szCs w:val="20"/>
                <w:color w:val="auto"/>
              </w:rPr>
            </w:pPr>
            <w:r>
              <w:rPr>
                <w:rFonts w:ascii="Arial" w:cs="Arial" w:eastAsia="Arial" w:hAnsi="Arial"/>
                <w:sz w:val="18"/>
                <w:szCs w:val="18"/>
                <w:color w:val="auto"/>
              </w:rPr>
              <w:t>Discount on liability for income taxes payable to founding members</w:t>
            </w:r>
          </w:p>
        </w:tc>
        <w:tc>
          <w:tcPr>
            <w:tcW w:w="260" w:type="dxa"/>
            <w:vAlign w:val="bottom"/>
          </w:tcPr>
          <w:p>
            <w:pPr>
              <w:jc w:val="right"/>
              <w:ind w:right="103"/>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55.8</w:t>
            </w:r>
          </w:p>
        </w:tc>
      </w:tr>
      <w:tr>
        <w:trPr>
          <w:trHeight w:val="216"/>
        </w:trPr>
        <w:tc>
          <w:tcPr>
            <w:tcW w:w="96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22"/>
        </w:trPr>
        <w:tc>
          <w:tcPr>
            <w:tcW w:w="9680" w:type="dxa"/>
            <w:vAlign w:val="bottom"/>
          </w:tcPr>
          <w:p>
            <w:pPr>
              <w:spacing w:after="0"/>
              <w:rPr>
                <w:sz w:val="20"/>
                <w:szCs w:val="20"/>
                <w:color w:val="auto"/>
              </w:rPr>
            </w:pPr>
            <w:r>
              <w:rPr>
                <w:rFonts w:ascii="Arial" w:cs="Arial" w:eastAsia="Arial" w:hAnsi="Arial"/>
                <w:sz w:val="18"/>
                <w:szCs w:val="18"/>
                <w:color w:val="auto"/>
              </w:rPr>
              <w:t>Total deferred tax liabilities</w:t>
            </w:r>
          </w:p>
        </w:tc>
        <w:tc>
          <w:tcPr>
            <w:tcW w:w="260" w:type="dxa"/>
            <w:vAlign w:val="bottom"/>
            <w:tcBorders>
              <w:bottom w:val="single" w:sz="8" w:color="auto"/>
            </w:tcBorders>
          </w:tcPr>
          <w:p>
            <w:pPr>
              <w:jc w:val="right"/>
              <w:ind w:right="103"/>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55.9</w:t>
            </w:r>
          </w:p>
        </w:tc>
      </w:tr>
      <w:tr>
        <w:trPr>
          <w:trHeight w:val="20"/>
        </w:trPr>
        <w:tc>
          <w:tcPr>
            <w:tcW w:w="96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provided total income taxes, as follows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6"/>
          </w:tcPr>
          <w:p>
            <w:pPr>
              <w:jc w:val="center"/>
              <w:ind w:right="420"/>
              <w:spacing w:after="0"/>
              <w:rPr>
                <w:sz w:val="20"/>
                <w:szCs w:val="20"/>
                <w:color w:val="auto"/>
              </w:rPr>
            </w:pPr>
            <w:r>
              <w:rPr>
                <w:rFonts w:ascii="Arial" w:cs="Arial" w:eastAsia="Arial" w:hAnsi="Arial"/>
                <w:sz w:val="14"/>
                <w:szCs w:val="14"/>
                <w:b w:val="1"/>
                <w:bCs w:val="1"/>
                <w:color w:val="auto"/>
                <w:w w:val="88"/>
              </w:rPr>
              <w:t>Quarter Ended September 27,</w:t>
            </w: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w w:val="96"/>
              </w:rPr>
              <w:t>Period February 13, 2007</w:t>
            </w:r>
          </w:p>
        </w:tc>
        <w:tc>
          <w:tcPr>
            <w:tcW w:w="0" w:type="dxa"/>
            <w:vAlign w:val="bottom"/>
          </w:tcPr>
          <w:p>
            <w:pPr>
              <w:spacing w:after="0"/>
              <w:rPr>
                <w:sz w:val="1"/>
                <w:szCs w:val="1"/>
                <w:color w:val="auto"/>
              </w:rPr>
            </w:pPr>
          </w:p>
        </w:tc>
      </w:tr>
      <w:tr>
        <w:trPr>
          <w:trHeight w:val="161"/>
        </w:trPr>
        <w:tc>
          <w:tcPr>
            <w:tcW w:w="4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Arial" w:cs="Arial" w:eastAsia="Arial" w:hAnsi="Arial"/>
                <w:sz w:val="14"/>
                <w:szCs w:val="14"/>
                <w:b w:val="1"/>
                <w:bCs w:val="1"/>
                <w:color w:val="auto"/>
              </w:rPr>
              <w:t>2007</w:t>
            </w: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20" w:type="dxa"/>
            <w:vAlign w:val="bottom"/>
            <w:gridSpan w:val="5"/>
          </w:tcPr>
          <w:p>
            <w:pPr>
              <w:jc w:val="right"/>
              <w:ind w:right="320"/>
              <w:spacing w:after="0"/>
              <w:rPr>
                <w:sz w:val="20"/>
                <w:szCs w:val="20"/>
                <w:color w:val="auto"/>
              </w:rPr>
            </w:pPr>
            <w:r>
              <w:rPr>
                <w:rFonts w:ascii="Arial" w:cs="Arial" w:eastAsia="Arial" w:hAnsi="Arial"/>
                <w:sz w:val="14"/>
                <w:szCs w:val="14"/>
                <w:b w:val="1"/>
                <w:bCs w:val="1"/>
                <w:color w:val="auto"/>
                <w:w w:val="89"/>
              </w:rPr>
              <w:t>through September 27, 2007</w:t>
            </w:r>
          </w:p>
        </w:tc>
        <w:tc>
          <w:tcPr>
            <w:tcW w:w="0" w:type="dxa"/>
            <w:vAlign w:val="bottom"/>
          </w:tcPr>
          <w:p>
            <w:pPr>
              <w:spacing w:after="0"/>
              <w:rPr>
                <w:sz w:val="1"/>
                <w:szCs w:val="1"/>
                <w:color w:val="auto"/>
              </w:rPr>
            </w:pPr>
          </w:p>
        </w:tc>
      </w:tr>
      <w:tr>
        <w:trPr>
          <w:trHeight w:val="129"/>
        </w:trPr>
        <w:tc>
          <w:tcPr>
            <w:tcW w:w="4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tcPr>
          <w:p>
            <w:pPr>
              <w:spacing w:after="0" w:line="129" w:lineRule="exact"/>
              <w:rPr>
                <w:sz w:val="20"/>
                <w:szCs w:val="20"/>
                <w:color w:val="auto"/>
              </w:rPr>
            </w:pPr>
            <w:r>
              <w:rPr>
                <w:rFonts w:ascii="Arial" w:cs="Arial" w:eastAsia="Arial" w:hAnsi="Arial"/>
                <w:sz w:val="14"/>
                <w:szCs w:val="14"/>
                <w:b w:val="1"/>
                <w:bCs w:val="1"/>
                <w:color w:val="auto"/>
              </w:rPr>
              <w:t>Pre-Tax</w:t>
            </w:r>
          </w:p>
        </w:tc>
        <w:tc>
          <w:tcPr>
            <w:tcW w:w="4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jc w:val="right"/>
              <w:ind w:right="79"/>
              <w:spacing w:after="0" w:line="129" w:lineRule="exact"/>
              <w:rPr>
                <w:sz w:val="20"/>
                <w:szCs w:val="20"/>
                <w:color w:val="auto"/>
              </w:rPr>
            </w:pPr>
            <w:r>
              <w:rPr>
                <w:rFonts w:ascii="Arial" w:cs="Arial" w:eastAsia="Arial" w:hAnsi="Arial"/>
                <w:sz w:val="14"/>
                <w:szCs w:val="14"/>
                <w:b w:val="1"/>
                <w:bCs w:val="1"/>
                <w:color w:val="auto"/>
                <w:w w:val="88"/>
              </w:rPr>
              <w:t>Income Tax</w:t>
            </w: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40" w:type="dxa"/>
            <w:vAlign w:val="bottom"/>
            <w:tcBorders>
              <w:top w:val="single" w:sz="8" w:color="auto"/>
            </w:tcBorders>
            <w:gridSpan w:val="3"/>
          </w:tcPr>
          <w:p>
            <w:pPr>
              <w:jc w:val="right"/>
              <w:ind w:right="700"/>
              <w:spacing w:after="0" w:line="129" w:lineRule="exact"/>
              <w:rPr>
                <w:sz w:val="20"/>
                <w:szCs w:val="20"/>
                <w:color w:val="auto"/>
              </w:rPr>
            </w:pPr>
            <w:r>
              <w:rPr>
                <w:rFonts w:ascii="Arial" w:cs="Arial" w:eastAsia="Arial" w:hAnsi="Arial"/>
                <w:sz w:val="14"/>
                <w:szCs w:val="14"/>
                <w:b w:val="1"/>
                <w:bCs w:val="1"/>
                <w:color w:val="auto"/>
              </w:rPr>
              <w:t>Pre-Tax</w:t>
            </w:r>
          </w:p>
        </w:tc>
        <w:tc>
          <w:tcPr>
            <w:tcW w:w="100" w:type="dxa"/>
            <w:vAlign w:val="bottom"/>
            <w:tcBorders>
              <w:top w:val="single" w:sz="8" w:color="auto"/>
            </w:tcBorders>
          </w:tcPr>
          <w:p>
            <w:pPr>
              <w:spacing w:after="0"/>
              <w:rPr>
                <w:sz w:val="11"/>
                <w:szCs w:val="11"/>
                <w:color w:val="auto"/>
              </w:rPr>
            </w:pPr>
          </w:p>
        </w:tc>
        <w:tc>
          <w:tcPr>
            <w:tcW w:w="800" w:type="dxa"/>
            <w:vAlign w:val="bottom"/>
            <w:tcBorders>
              <w:top w:val="single" w:sz="8" w:color="auto"/>
            </w:tcBorders>
          </w:tcPr>
          <w:p>
            <w:pPr>
              <w:jc w:val="right"/>
              <w:ind w:right="39"/>
              <w:spacing w:after="0" w:line="129" w:lineRule="exact"/>
              <w:rPr>
                <w:sz w:val="20"/>
                <w:szCs w:val="20"/>
                <w:color w:val="auto"/>
              </w:rPr>
            </w:pPr>
            <w:r>
              <w:rPr>
                <w:rFonts w:ascii="Arial" w:cs="Arial" w:eastAsia="Arial" w:hAnsi="Arial"/>
                <w:sz w:val="14"/>
                <w:szCs w:val="14"/>
                <w:b w:val="1"/>
                <w:bCs w:val="1"/>
                <w:color w:val="auto"/>
                <w:w w:val="85"/>
              </w:rPr>
              <w:t>Income Tax</w:t>
            </w: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4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w w:val="97"/>
              </w:rPr>
              <w:t>Provision</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b w:val="1"/>
                <w:bCs w:val="1"/>
                <w:color w:val="auto"/>
                <w:w w:val="93"/>
              </w:rPr>
              <w:t>Provision</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minority interest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2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w:t>
            </w:r>
          </w:p>
        </w:tc>
        <w:tc>
          <w:tcPr>
            <w:tcW w:w="32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Minority interest</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22.1</w:t>
            </w: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42.5</w:t>
            </w: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 net of minority interest</w:t>
            </w: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(9.0)</w:t>
            </w: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(3.6)</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8"/>
                <w:szCs w:val="18"/>
                <w:color w:val="auto"/>
              </w:rPr>
              <w:t>Total</w:t>
            </w: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20" w:type="dxa"/>
            <w:vAlign w:val="bottom"/>
            <w:vMerge w:val="continue"/>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20.5</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45.2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line="259" w:lineRule="auto"/>
        <w:rPr>
          <w:sz w:val="20"/>
          <w:szCs w:val="20"/>
          <w:color w:val="auto"/>
        </w:rPr>
      </w:pPr>
      <w:r>
        <w:rPr>
          <w:rFonts w:ascii="Arial" w:cs="Arial" w:eastAsia="Arial" w:hAnsi="Arial"/>
          <w:sz w:val="18"/>
          <w:szCs w:val="18"/>
          <w:color w:val="auto"/>
        </w:rPr>
        <w:t>The payments made to the founding members at the date of the IPO that were accounted for as distributions under generally accepted accounting principles created amortizable basis for federal income tax purposes. NCM, Inc. and the founding members entered into a tax receivable agreement under which NCM, Inc. will effectively make cash payments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459" w:right="279" w:bottom="1440" w:gutter="0" w:footer="0" w:header="0"/>
          <w:type w:val="continuous"/>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to the founding members in amounts equal to 90% of NCM, Inc.’s actual tax benefit realized as a result of this amortization. NCM, Inc. recorded a deferred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tax asset equal to the future tax benefits of the tax amortization, valued at $299.9 million and a credit to a long-term payable to founding members of</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$270.0 million, which was recorded at its original present value of $123.5 million. We recorded accretion of interest on the discounted payable related to</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tax sharing agreement of $2.7 million for the quarter ended September 27, 2007 and $6.9 million for the post-IPO period. The discount on the liability</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is a temporary difference that resulted in a deferred tax liability of $58.6 million at its original amount.</w:t>
      </w:r>
    </w:p>
    <w:p>
      <w:pPr>
        <w:spacing w:after="0" w:line="84" w:lineRule="exact"/>
        <w:rPr>
          <w:sz w:val="20"/>
          <w:szCs w:val="20"/>
          <w:color w:val="auto"/>
        </w:rPr>
      </w:pPr>
    </w:p>
    <w:p>
      <w:pPr>
        <w:ind w:left="460" w:right="20"/>
        <w:spacing w:after="0" w:line="255" w:lineRule="auto"/>
        <w:rPr>
          <w:sz w:val="20"/>
          <w:szCs w:val="20"/>
          <w:color w:val="auto"/>
        </w:rPr>
      </w:pPr>
      <w:r>
        <w:rPr>
          <w:rFonts w:ascii="Arial" w:cs="Arial" w:eastAsia="Arial" w:hAnsi="Arial"/>
          <w:sz w:val="18"/>
          <w:szCs w:val="18"/>
          <w:color w:val="auto"/>
        </w:rPr>
        <w:t>In assessing the realizable value of deferred tax assets, primarily arising in connection with the IPO, management considered whether it is more likely than not that some portion or all of the deferred tax assets will not be realized. The ultimate realization of deferred tax assets is dependent upon the generation of future taxable income during the periods in which these temporary differences become deductible. The Company has not recorded a valuation allowance against deferred tax assets at September 27, 2007 as management believes it is more likely than not that the deferred tax assets will be realized in future periods.</w:t>
      </w:r>
    </w:p>
    <w:p>
      <w:pPr>
        <w:spacing w:after="0" w:line="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Prior to February 13, 2007, as an LLC, NCM LLC allocated all of its earnings to its founding members.</w:t>
      </w:r>
    </w:p>
    <w:p>
      <w:pPr>
        <w:spacing w:after="0" w:line="287" w:lineRule="exact"/>
        <w:rPr>
          <w:sz w:val="20"/>
          <w:szCs w:val="20"/>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 IN AFFILIATE</w:t>
      </w:r>
    </w:p>
    <w:p>
      <w:pPr>
        <w:spacing w:after="0" w:line="96" w:lineRule="exact"/>
        <w:rPr>
          <w:rFonts w:ascii="Arial" w:cs="Arial" w:eastAsia="Arial" w:hAnsi="Arial"/>
          <w:sz w:val="18"/>
          <w:szCs w:val="18"/>
          <w:b w:val="1"/>
          <w:bCs w:val="1"/>
          <w:color w:val="auto"/>
        </w:rPr>
      </w:pPr>
    </w:p>
    <w:p>
      <w:pPr>
        <w:ind w:left="460"/>
        <w:spacing w:after="0" w:line="287" w:lineRule="auto"/>
        <w:rPr>
          <w:rFonts w:ascii="Arial" w:cs="Arial" w:eastAsia="Arial" w:hAnsi="Arial"/>
          <w:sz w:val="18"/>
          <w:szCs w:val="18"/>
          <w:b w:val="1"/>
          <w:bCs w:val="1"/>
          <w:color w:val="auto"/>
        </w:rPr>
      </w:pPr>
      <w:r>
        <w:rPr>
          <w:rFonts w:ascii="Arial" w:cs="Arial" w:eastAsia="Arial" w:hAnsi="Arial"/>
          <w:sz w:val="16"/>
          <w:szCs w:val="16"/>
          <w:color w:val="auto"/>
        </w:rPr>
        <w:t xml:space="preserve">On June 26, 2007, NCM LLC invested $5.0 million of cash in 6% convertible preferred stock of IdeaCast, Inc., a provider of advertising to fitness centers and health clubs throughout the United States. On September 27, 2007, NCM LLC invested an additional $2.0 million of cash in 6% convertible preferred stock of IdeaCast, Inc. The amount of IdeaCast, Inc. 6% convertible preferred stock owned by NCM LLC at September 27, 2007 is convertible into a minority interest of IdeaCast, Inc.’s common stock. The preferred stock is accounted for as an investment in debt securities per SFAS No. 115,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for Certain Investments in Debt and Equity Securities, </w:t>
      </w:r>
      <w:r>
        <w:rPr>
          <w:rFonts w:ascii="Arial" w:cs="Arial" w:eastAsia="Arial" w:hAnsi="Arial"/>
          <w:sz w:val="16"/>
          <w:szCs w:val="16"/>
          <w:color w:val="auto"/>
        </w:rPr>
        <w:t>due to the provisions in the agreement, which gave the Company a mandatory redemption right five</w:t>
      </w:r>
      <w:r>
        <w:rPr>
          <w:rFonts w:ascii="Arial" w:cs="Arial" w:eastAsia="Arial" w:hAnsi="Arial"/>
          <w:sz w:val="16"/>
          <w:szCs w:val="16"/>
          <w:i w:val="1"/>
          <w:iCs w:val="1"/>
          <w:color w:val="auto"/>
        </w:rPr>
        <w:t xml:space="preserve"> </w:t>
      </w:r>
      <w:r>
        <w:rPr>
          <w:rFonts w:ascii="Arial" w:cs="Arial" w:eastAsia="Arial" w:hAnsi="Arial"/>
          <w:sz w:val="16"/>
          <w:szCs w:val="16"/>
          <w:color w:val="auto"/>
        </w:rPr>
        <w:t>years after the date of investment. The securities are not held for trading purposes and are therefore by default and definition, classified as available-for-sale even though it is not the Company’s intent to sell these securities. The estimated fair value of the securities at September 27, 2007 is equal to cost based on management’s judgment, as these securities are not publicly traded. As a result, there were no gains or losses recorded in other comprehensive income for the investment in debt securities for the three or nine months ended September 27, 2007. Management’s assessment considered that there have been no significant changes in the prospects of IdeaCast’s business since the original investment and the decision to make a follow-on investment.</w:t>
      </w:r>
    </w:p>
    <w:p>
      <w:pPr>
        <w:spacing w:after="0" w:line="41" w:lineRule="exact"/>
        <w:rPr>
          <w:rFonts w:ascii="Arial" w:cs="Arial" w:eastAsia="Arial" w:hAnsi="Arial"/>
          <w:sz w:val="18"/>
          <w:szCs w:val="18"/>
          <w:b w:val="1"/>
          <w:bCs w:val="1"/>
          <w:color w:val="auto"/>
        </w:rPr>
      </w:pPr>
    </w:p>
    <w:p>
      <w:pPr>
        <w:ind w:left="460" w:right="20"/>
        <w:spacing w:after="0" w:line="298" w:lineRule="auto"/>
        <w:rPr>
          <w:rFonts w:ascii="Arial" w:cs="Arial" w:eastAsia="Arial" w:hAnsi="Arial"/>
          <w:sz w:val="18"/>
          <w:szCs w:val="18"/>
          <w:b w:val="1"/>
          <w:bCs w:val="1"/>
          <w:color w:val="auto"/>
        </w:rPr>
      </w:pPr>
      <w:r>
        <w:rPr>
          <w:rFonts w:ascii="Arial" w:cs="Arial" w:eastAsia="Arial" w:hAnsi="Arial"/>
          <w:sz w:val="16"/>
          <w:szCs w:val="16"/>
          <w:color w:val="auto"/>
        </w:rPr>
        <w:t xml:space="preserve">During September 2006, the FASB issued SFAS No. 157, </w:t>
      </w:r>
      <w:r>
        <w:rPr>
          <w:rFonts w:ascii="Arial" w:cs="Arial" w:eastAsia="Arial" w:hAnsi="Arial"/>
          <w:sz w:val="16"/>
          <w:szCs w:val="16"/>
          <w:i w:val="1"/>
          <w:iCs w:val="1"/>
          <w:color w:val="auto"/>
        </w:rPr>
        <w:t>Fair Value Measurements</w:t>
      </w:r>
      <w:r>
        <w:rPr>
          <w:rFonts w:ascii="Arial" w:cs="Arial" w:eastAsia="Arial" w:hAnsi="Arial"/>
          <w:sz w:val="16"/>
          <w:szCs w:val="16"/>
          <w:color w:val="auto"/>
        </w:rPr>
        <w:t>. SFAS No. 157 establishes a framework for measuring fair value in GAAP, and expands disclosures about fair value measurements. SFAS No. 157 is effective for us as of fiscal 2008. The Company expects our investment in IdeaCast, Inc. to be measured for fair value based on unobservable inputs (level 3) and is assessing the impact that SFAS No. 157 will have on our results of operations, financial condition and liquidity, which we do not expect to be significant.</w:t>
      </w:r>
    </w:p>
    <w:p>
      <w:pPr>
        <w:spacing w:after="0" w:line="31" w:lineRule="exact"/>
        <w:rPr>
          <w:rFonts w:ascii="Arial" w:cs="Arial" w:eastAsia="Arial" w:hAnsi="Arial"/>
          <w:sz w:val="18"/>
          <w:szCs w:val="18"/>
          <w:b w:val="1"/>
          <w:bCs w:val="1"/>
          <w:color w:val="auto"/>
        </w:rPr>
      </w:pPr>
    </w:p>
    <w:p>
      <w:pPr>
        <w:ind w:left="460" w:right="1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 further agreement was entered into whereby, at the option of NCM LLC during the period June 30, 2008 through December 2009, a further investment may be made by NCM LLC to purchase common stock of IdeaCast, Inc. at a predetermined valuation formula, to bring NCM LLC’s total investment to approximately 50.1% of the capital stock of IdeaCast, Inc. (on a fully diluted basis assuming conversion of all of the 6% convertible preferred stock). The option to purchase common stock of IdeaCast, Inc. has not yet been exercised. The companies also entered into a shared services agreement which will allow for cross-marketing and certain services to be provided between the companies at rates which will be determined on an arms length basis. The services provided by IdeaCast for the quarter ended September 27, 2007 and the 2007 post-IPO period were not material to NCM.</w:t>
      </w:r>
    </w:p>
    <w:p>
      <w:pPr>
        <w:spacing w:after="0" w:line="235" w:lineRule="exact"/>
        <w:rPr>
          <w:rFonts w:ascii="Arial" w:cs="Arial" w:eastAsia="Arial" w:hAnsi="Arial"/>
          <w:sz w:val="18"/>
          <w:szCs w:val="18"/>
          <w:b w:val="1"/>
          <w:bCs w:val="1"/>
          <w:color w:val="auto"/>
        </w:rPr>
      </w:pPr>
    </w:p>
    <w:p>
      <w:pPr>
        <w:ind w:left="460" w:hanging="452"/>
        <w:spacing w:after="0"/>
        <w:tabs>
          <w:tab w:leader="none" w:pos="4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w:t>
      </w:r>
    </w:p>
    <w:p>
      <w:pPr>
        <w:spacing w:after="0" w:line="96" w:lineRule="exact"/>
        <w:rPr>
          <w:rFonts w:ascii="Arial" w:cs="Arial" w:eastAsia="Arial" w:hAnsi="Arial"/>
          <w:sz w:val="18"/>
          <w:szCs w:val="18"/>
          <w:b w:val="1"/>
          <w:bCs w:val="1"/>
          <w:color w:val="auto"/>
        </w:rPr>
      </w:pPr>
    </w:p>
    <w:p>
      <w:pPr>
        <w:ind w:left="460" w:right="2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As of September 27, 2007, the Company has authorized capital stock of 120,000,000 shares of common stock, par value of $0.01 per share, and 10,000,000 shares of preferred stock, par value of $0.01 per share. The Company issued 42,000,000 shares of common stock and 268,184 restricted shares in connection with the IPO as described in Note 2 above. No shares of preferred stock were issued or outstanding at September 27, 2007. The Company has 2,576,000 shares reserved for issuance under its Equity Incentive Plan. As of September 27, 2007 and September 28, 2006, options to acquire 1,819,906 shares and 1,116,266 units, as converted, respectively, were outstanding under the equity incentive plan. As of September 27, 2007, 271,845 restricted shares were outstanding under the equity incentive plan.</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right="7980" w:hanging="452"/>
        <w:spacing w:after="0" w:line="391" w:lineRule="auto"/>
        <w:tabs>
          <w:tab w:leader="none" w:pos="449" w:val="left"/>
        </w:tabs>
        <w:numPr>
          <w:ilvl w:val="0"/>
          <w:numId w:val="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RELATED-PARTY TRANSACTIONS </w:t>
      </w:r>
      <w:r>
        <w:rPr>
          <w:rFonts w:ascii="Arial" w:cs="Arial" w:eastAsia="Arial" w:hAnsi="Arial"/>
          <w:sz w:val="16"/>
          <w:szCs w:val="16"/>
          <w:b w:val="1"/>
          <w:bCs w:val="1"/>
          <w:i w:val="1"/>
          <w:iCs w:val="1"/>
          <w:color w:val="auto"/>
        </w:rPr>
        <w:t>2007 Pre-IPO Period –</w:t>
      </w:r>
    </w:p>
    <w:p>
      <w:pPr>
        <w:ind w:left="460" w:right="320"/>
        <w:spacing w:after="0" w:line="259" w:lineRule="auto"/>
        <w:rPr>
          <w:rFonts w:ascii="Arial" w:cs="Arial" w:eastAsia="Arial" w:hAnsi="Arial"/>
          <w:sz w:val="16"/>
          <w:szCs w:val="16"/>
          <w:b w:val="1"/>
          <w:bCs w:val="1"/>
          <w:color w:val="auto"/>
        </w:rPr>
      </w:pPr>
      <w:r>
        <w:rPr>
          <w:rFonts w:ascii="Arial" w:cs="Arial" w:eastAsia="Arial" w:hAnsi="Arial"/>
          <w:sz w:val="18"/>
          <w:szCs w:val="18"/>
          <w:color w:val="auto"/>
        </w:rPr>
        <w:t>At the formation of NCM LLC and upon the admission of Cinemark as a founding member, circuit share arrangements and administrative services fee arrangements were in place with each founding member. Circuit share cost and administrative fee revenue by founding member were as follows (in millions):</w:t>
      </w:r>
    </w:p>
    <w:p>
      <w:pPr>
        <w:spacing w:after="0" w:line="164"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60" w:type="dxa"/>
            <w:vAlign w:val="bottom"/>
            <w:gridSpan w:val="4"/>
          </w:tcPr>
          <w:p>
            <w:pPr>
              <w:jc w:val="right"/>
              <w:ind w:right="179"/>
              <w:spacing w:after="0"/>
              <w:rPr>
                <w:sz w:val="20"/>
                <w:szCs w:val="20"/>
                <w:color w:val="auto"/>
              </w:rPr>
            </w:pPr>
            <w:r>
              <w:rPr>
                <w:rFonts w:ascii="Arial" w:cs="Arial" w:eastAsia="Arial" w:hAnsi="Arial"/>
                <w:sz w:val="14"/>
                <w:szCs w:val="14"/>
                <w:b w:val="1"/>
                <w:bCs w:val="1"/>
                <w:color w:val="auto"/>
                <w:w w:val="97"/>
              </w:rPr>
              <w:t>Pre-IPO Period December 29,</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60" w:type="dxa"/>
            <w:vAlign w:val="bottom"/>
            <w:gridSpan w:val="2"/>
          </w:tcPr>
          <w:p>
            <w:pPr>
              <w:jc w:val="right"/>
              <w:ind w:right="112"/>
              <w:spacing w:after="0"/>
              <w:rPr>
                <w:sz w:val="20"/>
                <w:szCs w:val="20"/>
                <w:color w:val="auto"/>
              </w:rPr>
            </w:pPr>
            <w:r>
              <w:rPr>
                <w:rFonts w:ascii="Arial" w:cs="Arial" w:eastAsia="Arial" w:hAnsi="Arial"/>
                <w:sz w:val="14"/>
                <w:szCs w:val="14"/>
                <w:b w:val="1"/>
                <w:bCs w:val="1"/>
                <w:color w:val="auto"/>
                <w:w w:val="88"/>
              </w:rPr>
              <w:t>Quarter Ended</w:t>
            </w: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gridSpan w:val="3"/>
          </w:tcPr>
          <w:p>
            <w:pPr>
              <w:jc w:val="right"/>
              <w:spacing w:after="0"/>
              <w:rPr>
                <w:sz w:val="20"/>
                <w:szCs w:val="20"/>
                <w:color w:val="auto"/>
              </w:rPr>
            </w:pPr>
            <w:r>
              <w:rPr>
                <w:rFonts w:ascii="Arial" w:cs="Arial" w:eastAsia="Arial" w:hAnsi="Arial"/>
                <w:sz w:val="14"/>
                <w:szCs w:val="14"/>
                <w:b w:val="1"/>
                <w:bCs w:val="1"/>
                <w:color w:val="auto"/>
              </w:rPr>
              <w:t>Nine Months Ended</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4"/>
                <w:szCs w:val="14"/>
                <w:b w:val="1"/>
                <w:bCs w:val="1"/>
                <w:color w:val="auto"/>
                <w:w w:val="92"/>
              </w:rPr>
              <w:t>2006 through February 12, 2007</w:t>
            </w:r>
          </w:p>
        </w:tc>
        <w:tc>
          <w:tcPr>
            <w:tcW w:w="460" w:type="dxa"/>
            <w:vAlign w:val="bottom"/>
          </w:tcPr>
          <w:p>
            <w:pPr>
              <w:spacing w:after="0"/>
              <w:rPr>
                <w:sz w:val="14"/>
                <w:szCs w:val="14"/>
                <w:color w:val="auto"/>
              </w:rPr>
            </w:pPr>
          </w:p>
        </w:tc>
        <w:tc>
          <w:tcPr>
            <w:tcW w:w="14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September 28, 2006</w:t>
            </w:r>
          </w:p>
        </w:tc>
        <w:tc>
          <w:tcPr>
            <w:tcW w:w="2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28, 2006</w:t>
            </w:r>
          </w:p>
        </w:tc>
        <w:tc>
          <w:tcPr>
            <w:tcW w:w="2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20" w:type="dxa"/>
            <w:vAlign w:val="bottom"/>
          </w:tcPr>
          <w:p>
            <w:pPr>
              <w:spacing w:after="0"/>
              <w:rPr>
                <w:sz w:val="11"/>
                <w:szCs w:val="11"/>
                <w:color w:val="auto"/>
              </w:rPr>
            </w:pPr>
          </w:p>
        </w:tc>
        <w:tc>
          <w:tcPr>
            <w:tcW w:w="56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94"/>
              </w:rPr>
              <w:t>Circuit</w:t>
            </w:r>
          </w:p>
        </w:tc>
        <w:tc>
          <w:tcPr>
            <w:tcW w:w="4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gridSpan w:val="2"/>
          </w:tcPr>
          <w:p>
            <w:pPr>
              <w:jc w:val="center"/>
              <w:ind w:right="20"/>
              <w:spacing w:after="0" w:line="129" w:lineRule="exact"/>
              <w:rPr>
                <w:sz w:val="20"/>
                <w:szCs w:val="20"/>
                <w:color w:val="auto"/>
              </w:rPr>
            </w:pPr>
            <w:r>
              <w:rPr>
                <w:rFonts w:ascii="Arial" w:cs="Arial" w:eastAsia="Arial" w:hAnsi="Arial"/>
                <w:sz w:val="14"/>
                <w:szCs w:val="14"/>
                <w:b w:val="1"/>
                <w:bCs w:val="1"/>
                <w:color w:val="auto"/>
                <w:w w:val="90"/>
              </w:rPr>
              <w:t>Circuit</w:t>
            </w:r>
          </w:p>
        </w:tc>
        <w:tc>
          <w:tcPr>
            <w:tcW w:w="4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80" w:type="dxa"/>
            <w:vAlign w:val="bottom"/>
            <w:gridSpan w:val="2"/>
          </w:tcPr>
          <w:p>
            <w:pPr>
              <w:jc w:val="center"/>
              <w:ind w:right="460"/>
              <w:spacing w:after="0" w:line="129" w:lineRule="exact"/>
              <w:rPr>
                <w:sz w:val="20"/>
                <w:szCs w:val="20"/>
                <w:color w:val="auto"/>
              </w:rPr>
            </w:pPr>
            <w:r>
              <w:rPr>
                <w:rFonts w:ascii="Arial" w:cs="Arial" w:eastAsia="Arial" w:hAnsi="Arial"/>
                <w:sz w:val="14"/>
                <w:szCs w:val="14"/>
                <w:b w:val="1"/>
                <w:bCs w:val="1"/>
                <w:color w:val="auto"/>
                <w:w w:val="94"/>
              </w:rPr>
              <w:t>Circuit</w:t>
            </w: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center"/>
              <w:ind w:right="2"/>
              <w:spacing w:after="0" w:line="149" w:lineRule="exact"/>
              <w:rPr>
                <w:sz w:val="20"/>
                <w:szCs w:val="20"/>
                <w:color w:val="auto"/>
              </w:rPr>
            </w:pPr>
            <w:r>
              <w:rPr>
                <w:rFonts w:ascii="Arial" w:cs="Arial" w:eastAsia="Arial" w:hAnsi="Arial"/>
                <w:sz w:val="14"/>
                <w:szCs w:val="14"/>
                <w:b w:val="1"/>
                <w:bCs w:val="1"/>
                <w:color w:val="auto"/>
                <w:w w:val="87"/>
              </w:rPr>
              <w:t>Share</w:t>
            </w:r>
          </w:p>
        </w:tc>
        <w:tc>
          <w:tcPr>
            <w:tcW w:w="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jc w:val="right"/>
              <w:ind w:right="99"/>
              <w:spacing w:after="0" w:line="149" w:lineRule="exact"/>
              <w:rPr>
                <w:sz w:val="20"/>
                <w:szCs w:val="20"/>
                <w:color w:val="auto"/>
              </w:rPr>
            </w:pPr>
            <w:r>
              <w:rPr>
                <w:rFonts w:ascii="Arial" w:cs="Arial" w:eastAsia="Arial" w:hAnsi="Arial"/>
                <w:sz w:val="14"/>
                <w:szCs w:val="14"/>
                <w:b w:val="1"/>
                <w:bCs w:val="1"/>
                <w:color w:val="auto"/>
                <w:w w:val="92"/>
              </w:rPr>
              <w:t>Administrative</w:t>
            </w:r>
          </w:p>
        </w:tc>
        <w:tc>
          <w:tcPr>
            <w:tcW w:w="460" w:type="dxa"/>
            <w:vAlign w:val="bottom"/>
          </w:tcPr>
          <w:p>
            <w:pPr>
              <w:spacing w:after="0"/>
              <w:rPr>
                <w:sz w:val="12"/>
                <w:szCs w:val="12"/>
                <w:color w:val="auto"/>
              </w:rPr>
            </w:pPr>
          </w:p>
        </w:tc>
        <w:tc>
          <w:tcPr>
            <w:tcW w:w="4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2"/>
              </w:rPr>
              <w:t>Share</w:t>
            </w:r>
          </w:p>
        </w:tc>
        <w:tc>
          <w:tcPr>
            <w:tcW w:w="440" w:type="dxa"/>
            <w:vAlign w:val="bottom"/>
          </w:tcPr>
          <w:p>
            <w:pPr>
              <w:spacing w:after="0"/>
              <w:rPr>
                <w:sz w:val="12"/>
                <w:szCs w:val="12"/>
                <w:color w:val="auto"/>
              </w:rPr>
            </w:pPr>
          </w:p>
        </w:tc>
        <w:tc>
          <w:tcPr>
            <w:tcW w:w="134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88"/>
              </w:rPr>
              <w:t>Administrative</w:t>
            </w:r>
          </w:p>
        </w:tc>
        <w:tc>
          <w:tcPr>
            <w:tcW w:w="88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7"/>
              </w:rPr>
              <w:t>Share</w:t>
            </w:r>
          </w:p>
        </w:tc>
        <w:tc>
          <w:tcPr>
            <w:tcW w:w="900" w:type="dxa"/>
            <w:vAlign w:val="bottom"/>
            <w:gridSpan w:val="3"/>
          </w:tcPr>
          <w:p>
            <w:pPr>
              <w:jc w:val="right"/>
              <w:ind w:right="20"/>
              <w:spacing w:after="0" w:line="149" w:lineRule="exact"/>
              <w:rPr>
                <w:sz w:val="20"/>
                <w:szCs w:val="20"/>
                <w:color w:val="auto"/>
              </w:rPr>
            </w:pPr>
            <w:r>
              <w:rPr>
                <w:rFonts w:ascii="Arial" w:cs="Arial" w:eastAsia="Arial" w:hAnsi="Arial"/>
                <w:sz w:val="14"/>
                <w:szCs w:val="14"/>
                <w:b w:val="1"/>
                <w:bCs w:val="1"/>
                <w:color w:val="auto"/>
                <w:w w:val="88"/>
              </w:rPr>
              <w:t>Administrative</w:t>
            </w:r>
          </w:p>
        </w:tc>
        <w:tc>
          <w:tcPr>
            <w:tcW w:w="0" w:type="dxa"/>
            <w:vAlign w:val="bottom"/>
          </w:tcPr>
          <w:p>
            <w:pPr>
              <w:spacing w:after="0"/>
              <w:rPr>
                <w:sz w:val="1"/>
                <w:szCs w:val="1"/>
                <w:color w:val="auto"/>
              </w:rPr>
            </w:pPr>
          </w:p>
        </w:tc>
      </w:tr>
      <w:tr>
        <w:trPr>
          <w:trHeight w:val="161"/>
        </w:trPr>
        <w:tc>
          <w:tcPr>
            <w:tcW w:w="38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center"/>
              <w:ind w:right="2"/>
              <w:spacing w:after="0"/>
              <w:rPr>
                <w:sz w:val="20"/>
                <w:szCs w:val="20"/>
                <w:color w:val="auto"/>
              </w:rPr>
            </w:pPr>
            <w:r>
              <w:rPr>
                <w:rFonts w:ascii="Arial" w:cs="Arial" w:eastAsia="Arial" w:hAnsi="Arial"/>
                <w:sz w:val="14"/>
                <w:szCs w:val="14"/>
                <w:b w:val="1"/>
                <w:bCs w:val="1"/>
                <w:color w:val="auto"/>
                <w:w w:val="83"/>
              </w:rPr>
              <w:t>Cost</w:t>
            </w:r>
          </w:p>
        </w:tc>
        <w:tc>
          <w:tcPr>
            <w:tcW w:w="4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4"/>
              </w:rPr>
              <w:t>Fee Revenue</w:t>
            </w:r>
          </w:p>
        </w:tc>
        <w:tc>
          <w:tcPr>
            <w:tcW w:w="460" w:type="dxa"/>
            <w:vAlign w:val="bottom"/>
          </w:tcPr>
          <w:p>
            <w:pPr>
              <w:spacing w:after="0"/>
              <w:rPr>
                <w:sz w:val="14"/>
                <w:szCs w:val="14"/>
                <w:color w:val="auto"/>
              </w:rPr>
            </w:pPr>
          </w:p>
        </w:tc>
        <w:tc>
          <w:tcPr>
            <w:tcW w:w="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Cost</w:t>
            </w: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8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w w:val="90"/>
              </w:rPr>
              <w:t>Fee Revenue</w:t>
            </w:r>
          </w:p>
        </w:tc>
        <w:tc>
          <w:tcPr>
            <w:tcW w:w="460" w:type="dxa"/>
            <w:vAlign w:val="bottom"/>
          </w:tcPr>
          <w:p>
            <w:pPr>
              <w:spacing w:after="0"/>
              <w:rPr>
                <w:sz w:val="14"/>
                <w:szCs w:val="14"/>
                <w:color w:val="auto"/>
              </w:rPr>
            </w:pPr>
          </w:p>
        </w:tc>
        <w:tc>
          <w:tcPr>
            <w:tcW w:w="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Cost</w:t>
            </w:r>
          </w:p>
        </w:tc>
        <w:tc>
          <w:tcPr>
            <w:tcW w:w="460" w:type="dxa"/>
            <w:vAlign w:val="bottom"/>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Fee Revenue</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AMC</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88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$ 11.1</w:t>
            </w:r>
          </w:p>
        </w:tc>
        <w:tc>
          <w:tcPr>
            <w:tcW w:w="1060" w:type="dxa"/>
            <w:vAlign w:val="bottom"/>
            <w:gridSpan w:val="2"/>
            <w:shd w:val="clear" w:color="auto" w:fill="CCEEFF"/>
          </w:tcPr>
          <w:p>
            <w:pPr>
              <w:jc w:val="right"/>
              <w:ind w:right="45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0.0</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79"/>
              </w:rPr>
              <w:t>$ 27.1</w:t>
            </w:r>
          </w:p>
        </w:tc>
        <w:tc>
          <w:tcPr>
            <w:tcW w:w="620" w:type="dxa"/>
            <w:vAlign w:val="bottom"/>
            <w:shd w:val="clear" w:color="auto" w:fill="CCEEFF"/>
          </w:tcPr>
          <w:p>
            <w:pPr>
              <w:jc w:val="right"/>
              <w:ind w:right="442"/>
              <w:spacing w:after="0"/>
              <w:rPr>
                <w:sz w:val="20"/>
                <w:szCs w:val="20"/>
                <w:color w:val="auto"/>
              </w:rPr>
            </w:pPr>
            <w:r>
              <w:rPr>
                <w:rFonts w:ascii="Arial" w:cs="Arial" w:eastAsia="Arial" w:hAnsi="Arial"/>
                <w:sz w:val="18"/>
                <w:szCs w:val="18"/>
                <w:color w:val="auto"/>
                <w:w w:val="79"/>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tcPr>
          <w:p>
            <w:pPr>
              <w:spacing w:after="0"/>
              <w:rPr>
                <w:sz w:val="20"/>
                <w:szCs w:val="20"/>
                <w:color w:val="auto"/>
              </w:rPr>
            </w:pPr>
            <w:r>
              <w:rPr>
                <w:rFonts w:ascii="Arial" w:cs="Arial" w:eastAsia="Arial" w:hAnsi="Arial"/>
                <w:sz w:val="18"/>
                <w:szCs w:val="18"/>
                <w:color w:val="auto"/>
              </w:rPr>
              <w:t>Cinemark</w:t>
            </w: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8.3</w:t>
            </w:r>
          </w:p>
        </w:tc>
        <w:tc>
          <w:tcPr>
            <w:tcW w:w="4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0.0</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18.9</w:t>
            </w:r>
          </w:p>
        </w:tc>
        <w:tc>
          <w:tcPr>
            <w:tcW w:w="620" w:type="dxa"/>
            <w:vAlign w:val="bottom"/>
          </w:tcPr>
          <w:p>
            <w:pPr>
              <w:spacing w:after="0"/>
              <w:rPr>
                <w:sz w:val="18"/>
                <w:szCs w:val="18"/>
                <w:color w:val="auto"/>
              </w:rPr>
            </w:pPr>
          </w:p>
        </w:tc>
        <w:tc>
          <w:tcPr>
            <w:tcW w:w="260" w:type="dxa"/>
            <w:vAlign w:val="bottom"/>
          </w:tcPr>
          <w:p>
            <w:pPr>
              <w:jc w:val="right"/>
              <w:spacing w:after="0"/>
              <w:rPr>
                <w:sz w:val="20"/>
                <w:szCs w:val="20"/>
                <w:color w:val="auto"/>
              </w:rPr>
            </w:pPr>
            <w:r>
              <w:rPr>
                <w:rFonts w:ascii="Arial" w:cs="Arial" w:eastAsia="Arial" w:hAnsi="Arial"/>
                <w:sz w:val="18"/>
                <w:szCs w:val="18"/>
                <w:color w:val="auto"/>
                <w:w w:val="95"/>
              </w:rPr>
              <w:t>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Regal</w:t>
            </w: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w:t>
            </w:r>
          </w:p>
        </w:tc>
        <w:tc>
          <w:tcPr>
            <w:tcW w:w="4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18.6</w:t>
            </w:r>
          </w:p>
        </w:tc>
        <w:tc>
          <w:tcPr>
            <w:tcW w:w="4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5"/>
              </w:rPr>
              <w:t>0.8</w:t>
            </w: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42.6</w:t>
            </w:r>
          </w:p>
        </w:tc>
        <w:tc>
          <w:tcPr>
            <w:tcW w:w="620" w:type="dxa"/>
            <w:vAlign w:val="bottom"/>
            <w:shd w:val="clear" w:color="auto" w:fill="CCEEFF"/>
          </w:tcPr>
          <w:p>
            <w:pPr>
              <w:spacing w:after="0"/>
              <w:rPr>
                <w:sz w:val="18"/>
                <w:szCs w:val="18"/>
                <w:color w:val="auto"/>
              </w:rPr>
            </w:pP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820" w:type="dxa"/>
            <w:vAlign w:val="bottom"/>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14.4</w:t>
            </w:r>
          </w:p>
        </w:tc>
        <w:tc>
          <w:tcPr>
            <w:tcW w:w="4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0.1</w:t>
            </w:r>
          </w:p>
        </w:tc>
        <w:tc>
          <w:tcPr>
            <w:tcW w:w="880" w:type="dxa"/>
            <w:vAlign w:val="bottom"/>
            <w:gridSpan w:val="3"/>
          </w:tcPr>
          <w:p>
            <w:pPr>
              <w:jc w:val="right"/>
              <w:ind w:right="20"/>
              <w:spacing w:after="0"/>
              <w:rPr>
                <w:sz w:val="20"/>
                <w:szCs w:val="20"/>
                <w:color w:val="auto"/>
              </w:rPr>
            </w:pPr>
            <w:r>
              <w:rPr>
                <w:rFonts w:ascii="Arial" w:cs="Arial" w:eastAsia="Arial" w:hAnsi="Arial"/>
                <w:sz w:val="18"/>
                <w:szCs w:val="18"/>
                <w:color w:val="auto"/>
              </w:rPr>
              <w:t>$ 38.0</w:t>
            </w:r>
          </w:p>
        </w:tc>
        <w:tc>
          <w:tcPr>
            <w:tcW w:w="1060" w:type="dxa"/>
            <w:vAlign w:val="bottom"/>
            <w:gridSpan w:val="2"/>
          </w:tcPr>
          <w:p>
            <w:pPr>
              <w:jc w:val="right"/>
              <w:ind w:right="452"/>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460"/>
              <w:spacing w:after="0"/>
              <w:rPr>
                <w:sz w:val="20"/>
                <w:szCs w:val="20"/>
                <w:color w:val="auto"/>
              </w:rPr>
            </w:pPr>
            <w:r>
              <w:rPr>
                <w:rFonts w:ascii="Arial" w:cs="Arial" w:eastAsia="Arial" w:hAnsi="Arial"/>
                <w:sz w:val="18"/>
                <w:szCs w:val="18"/>
                <w:color w:val="auto"/>
                <w:w w:val="95"/>
              </w:rPr>
              <w:t>0.8</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w w:val="79"/>
              </w:rPr>
              <w:t>$ 88.6</w:t>
            </w:r>
          </w:p>
        </w:tc>
        <w:tc>
          <w:tcPr>
            <w:tcW w:w="620" w:type="dxa"/>
            <w:vAlign w:val="bottom"/>
          </w:tcPr>
          <w:p>
            <w:pPr>
              <w:jc w:val="right"/>
              <w:ind w:right="442"/>
              <w:spacing w:after="0"/>
              <w:rPr>
                <w:sz w:val="20"/>
                <w:szCs w:val="20"/>
                <w:color w:val="auto"/>
              </w:rPr>
            </w:pPr>
            <w:r>
              <w:rPr>
                <w:rFonts w:ascii="Arial" w:cs="Arial" w:eastAsia="Arial" w:hAnsi="Arial"/>
                <w:sz w:val="18"/>
                <w:szCs w:val="18"/>
                <w:color w:val="auto"/>
                <w:w w:val="79"/>
              </w:rPr>
              <w:t>$</w:t>
            </w:r>
          </w:p>
        </w:tc>
        <w:tc>
          <w:tcPr>
            <w:tcW w:w="280" w:type="dxa"/>
            <w:vAlign w:val="bottom"/>
            <w:gridSpan w:val="2"/>
          </w:tcPr>
          <w:p>
            <w:pPr>
              <w:jc w:val="right"/>
              <w:ind w:right="20"/>
              <w:spacing w:after="0"/>
              <w:rPr>
                <w:sz w:val="20"/>
                <w:szCs w:val="20"/>
                <w:color w:val="auto"/>
              </w:rPr>
            </w:pPr>
            <w:r>
              <w:rPr>
                <w:rFonts w:ascii="Arial" w:cs="Arial" w:eastAsia="Arial" w:hAnsi="Arial"/>
                <w:sz w:val="18"/>
                <w:szCs w:val="18"/>
                <w:color w:val="auto"/>
                <w:w w:val="95"/>
              </w:rPr>
              <w:t>4.3</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100"/>
        <w:spacing w:after="0" w:line="306" w:lineRule="auto"/>
        <w:rPr>
          <w:sz w:val="20"/>
          <w:szCs w:val="20"/>
          <w:color w:val="auto"/>
        </w:rPr>
      </w:pPr>
      <w:r>
        <w:rPr>
          <w:rFonts w:ascii="Arial" w:cs="Arial" w:eastAsia="Arial" w:hAnsi="Arial"/>
          <w:sz w:val="16"/>
          <w:szCs w:val="16"/>
          <w:color w:val="auto"/>
        </w:rPr>
        <w:t>NCM LLC’s administrative services fee was earned at a rate of 32% of the legacy contract value for the 2007 pre-IPO period and the quarter and nine months ended September 28, 2006. At the closing of the IPO, the founding members entered into amended and restated ESAs which, among other things, amended the circuit share structure in favor of the theatre access fee structure and assigned all remaining legacy contracts to NCM LLC.</w:t>
      </w:r>
    </w:p>
    <w:p>
      <w:pPr>
        <w:spacing w:after="0" w:line="26" w:lineRule="exact"/>
        <w:rPr>
          <w:sz w:val="20"/>
          <w:szCs w:val="20"/>
          <w:color w:val="auto"/>
        </w:rPr>
      </w:pPr>
    </w:p>
    <w:p>
      <w:pPr>
        <w:ind w:left="460" w:right="40"/>
        <w:spacing w:after="0" w:line="268" w:lineRule="auto"/>
        <w:rPr>
          <w:sz w:val="20"/>
          <w:szCs w:val="20"/>
          <w:color w:val="auto"/>
        </w:rPr>
      </w:pPr>
      <w:r>
        <w:rPr>
          <w:rFonts w:ascii="Arial" w:cs="Arial" w:eastAsia="Arial" w:hAnsi="Arial"/>
          <w:sz w:val="18"/>
          <w:szCs w:val="18"/>
          <w:color w:val="auto"/>
        </w:rPr>
        <w:t>Pursuant to the agreements entered into at the completion of the IPO, amounts owed to the founding members through the date of the IPO of $50.8 million were paid by NCM LLC on March 15, 2007.</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 (from) founding members at December 28, 2006,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32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AMC</w:t>
            </w:r>
          </w:p>
        </w:tc>
        <w:tc>
          <w:tcPr>
            <w:tcW w:w="400" w:type="dxa"/>
            <w:vAlign w:val="bottom"/>
          </w:tcPr>
          <w:p>
            <w:pPr>
              <w:spacing w:after="0"/>
              <w:rPr>
                <w:sz w:val="14"/>
                <w:szCs w:val="14"/>
                <w:color w:val="auto"/>
              </w:rPr>
            </w:pPr>
          </w:p>
        </w:tc>
        <w:tc>
          <w:tcPr>
            <w:tcW w:w="5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Cinemark</w:t>
            </w:r>
          </w:p>
        </w:tc>
        <w:tc>
          <w:tcPr>
            <w:tcW w:w="460" w:type="dxa"/>
            <w:vAlign w:val="bottom"/>
          </w:tcPr>
          <w:p>
            <w:pPr>
              <w:spacing w:after="0"/>
              <w:rPr>
                <w:sz w:val="14"/>
                <w:szCs w:val="1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89"/>
              </w:rPr>
              <w:t>Regal</w:t>
            </w:r>
          </w:p>
        </w:tc>
        <w:tc>
          <w:tcPr>
            <w:tcW w:w="2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Circuit share payments</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$15.2</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14.0</w:t>
            </w:r>
          </w:p>
        </w:tc>
        <w:tc>
          <w:tcPr>
            <w:tcW w:w="6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84"/>
              </w:rPr>
              <w:t>$24.8</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Cost reimbursement</w:t>
            </w:r>
          </w:p>
        </w:tc>
        <w:tc>
          <w:tcPr>
            <w:tcW w:w="400" w:type="dxa"/>
            <w:vAlign w:val="bottom"/>
          </w:tcPr>
          <w:p>
            <w:pPr>
              <w:jc w:val="right"/>
              <w:spacing w:after="0"/>
              <w:rPr>
                <w:sz w:val="20"/>
                <w:szCs w:val="20"/>
                <w:color w:val="auto"/>
              </w:rPr>
            </w:pPr>
            <w:r>
              <w:rPr>
                <w:rFonts w:ascii="Arial" w:cs="Arial" w:eastAsia="Arial" w:hAnsi="Arial"/>
                <w:sz w:val="18"/>
                <w:szCs w:val="18"/>
                <w:color w:val="auto"/>
              </w:rPr>
              <w:t>0.1</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6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color w:val="auto"/>
              </w:rPr>
              <w:t>0.4</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0.5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Administrative fee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(0.1)</w:t>
            </w:r>
          </w:p>
        </w:tc>
        <w:tc>
          <w:tcPr>
            <w:tcW w:w="6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(0.5)</w:t>
            </w:r>
          </w:p>
        </w:tc>
        <w:tc>
          <w:tcPr>
            <w:tcW w:w="6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0"/>
        </w:trPr>
        <w:tc>
          <w:tcPr>
            <w:tcW w:w="7320" w:type="dxa"/>
            <w:vAlign w:val="bottom"/>
            <w:vMerge w:val="restart"/>
          </w:tcPr>
          <w:p>
            <w:pPr>
              <w:ind w:left="440"/>
              <w:spacing w:after="0"/>
              <w:rPr>
                <w:sz w:val="20"/>
                <w:szCs w:val="20"/>
                <w:color w:val="auto"/>
              </w:rPr>
            </w:pPr>
            <w:r>
              <w:rPr>
                <w:rFonts w:ascii="Arial" w:cs="Arial" w:eastAsia="Arial" w:hAnsi="Arial"/>
                <w:sz w:val="18"/>
                <w:szCs w:val="18"/>
                <w:color w:val="auto"/>
              </w:rPr>
              <w:t>Total</w:t>
            </w:r>
          </w:p>
        </w:tc>
        <w:tc>
          <w:tcPr>
            <w:tcW w:w="4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320" w:type="dxa"/>
            <w:vAlign w:val="bottom"/>
            <w:vMerge w:val="continue"/>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15.3</w:t>
            </w:r>
          </w:p>
        </w:tc>
        <w:tc>
          <w:tcPr>
            <w:tcW w:w="4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460"/>
              <w:spacing w:after="0"/>
              <w:rPr>
                <w:sz w:val="20"/>
                <w:szCs w:val="20"/>
                <w:color w:val="auto"/>
              </w:rPr>
            </w:pPr>
            <w:r>
              <w:rPr>
                <w:rFonts w:ascii="Arial" w:cs="Arial" w:eastAsia="Arial" w:hAnsi="Arial"/>
                <w:sz w:val="18"/>
                <w:szCs w:val="18"/>
                <w:color w:val="auto"/>
              </w:rPr>
              <w:t>13.9</w:t>
            </w:r>
          </w:p>
        </w:tc>
        <w:tc>
          <w:tcPr>
            <w:tcW w:w="660" w:type="dxa"/>
            <w:vAlign w:val="bottom"/>
            <w:gridSpan w:val="2"/>
          </w:tcPr>
          <w:p>
            <w:pPr>
              <w:jc w:val="right"/>
              <w:ind w:right="2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24.7</w:t>
            </w:r>
          </w:p>
        </w:tc>
        <w:tc>
          <w:tcPr>
            <w:tcW w:w="62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53.9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2007 Post-IPO Period –</w:t>
      </w:r>
    </w:p>
    <w:p>
      <w:pPr>
        <w:spacing w:after="0" w:line="90" w:lineRule="exact"/>
        <w:rPr>
          <w:sz w:val="20"/>
          <w:szCs w:val="20"/>
          <w:color w:val="auto"/>
        </w:rPr>
      </w:pPr>
    </w:p>
    <w:p>
      <w:pPr>
        <w:ind w:left="460"/>
        <w:spacing w:after="0" w:line="289" w:lineRule="auto"/>
        <w:rPr>
          <w:sz w:val="20"/>
          <w:szCs w:val="20"/>
          <w:color w:val="auto"/>
        </w:rPr>
      </w:pPr>
      <w:r>
        <w:rPr>
          <w:rFonts w:ascii="Arial" w:cs="Arial" w:eastAsia="Arial" w:hAnsi="Arial"/>
          <w:sz w:val="16"/>
          <w:szCs w:val="16"/>
          <w:color w:val="auto"/>
        </w:rPr>
        <w:t>Pursuant to the amended and restated ESAs in place since the close of the IPO, we make monthly theatre access fee payments to the founding members, comprised of a payment per theatre attendee and a payment per digital screen of the founding member theatres. The theatre access fee replaced the circuit share expenses. Also, under the amended and restated ESAs, NCM LLC records revenue for payments from the founding members for the display of up to 90 seconds of on-screen advertising under their beverage concessionaire agreements at a specified 30 second equivalent cost per thousand (“CPM”) impressions. The total theatre access fee to the founding members for the quarter ended September 27, 2007 is $13.3 million and for the 2007 post-IPO period is $30.8 million. The total revenue related to the beverage concessionaire agreements for the quarter ended September 27, 2007 is $13.4 million and for the 2007 post-IPO period is $30.7 million. In addition, pursuant to the amended and restated ESAs, we make monthly payments to the founding members for use of their screens and theatres for our meetings and events business. These payments are at agreed upon</w:t>
      </w:r>
    </w:p>
    <w:p>
      <w:pPr>
        <w:spacing w:after="0" w:line="1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rates based on the nature of the event. Payments to the founding members for these events totaled $0.9 million for the quarter ended September 27, 2007 and $2.4 million for the 2007 post-IPO period.</w:t>
      </w:r>
    </w:p>
    <w:p>
      <w:pPr>
        <w:spacing w:after="0" w:line="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Amounts due to/(from) founding members at September 27, 2007 were comprised of the following (in millions):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740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AMC</w:t>
            </w:r>
          </w:p>
        </w:tc>
        <w:tc>
          <w:tcPr>
            <w:tcW w:w="440" w:type="dxa"/>
            <w:vAlign w:val="bottom"/>
          </w:tcPr>
          <w:p>
            <w:pPr>
              <w:spacing w:after="0"/>
              <w:rPr>
                <w:sz w:val="14"/>
                <w:szCs w:val="14"/>
                <w:color w:val="auto"/>
              </w:rPr>
            </w:pPr>
          </w:p>
        </w:tc>
        <w:tc>
          <w:tcPr>
            <w:tcW w:w="6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87"/>
              </w:rPr>
              <w:t>Cinemark</w:t>
            </w:r>
          </w:p>
        </w:tc>
        <w:tc>
          <w:tcPr>
            <w:tcW w:w="380" w:type="dxa"/>
            <w:vAlign w:val="bottom"/>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Regal</w:t>
            </w:r>
          </w:p>
        </w:tc>
        <w:tc>
          <w:tcPr>
            <w:tcW w:w="2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4"/>
                <w:szCs w:val="14"/>
                <w:color w:val="auto"/>
              </w:rPr>
            </w:pPr>
          </w:p>
        </w:tc>
      </w:tr>
      <w:tr>
        <w:trPr>
          <w:trHeight w:val="210"/>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Theatre access fees, net of beverage revenues</w:t>
            </w:r>
          </w:p>
        </w:tc>
        <w:tc>
          <w:tcPr>
            <w:tcW w:w="8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$(0.1)</w:t>
            </w:r>
          </w:p>
        </w:tc>
        <w:tc>
          <w:tcPr>
            <w:tcW w:w="200" w:type="dxa"/>
            <w:vAlign w:val="bottom"/>
            <w:shd w:val="clear" w:color="auto" w:fill="CCEEFF"/>
          </w:tcPr>
          <w:p>
            <w:pPr>
              <w:jc w:val="right"/>
              <w:ind w:right="46"/>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$ 0.3</w:t>
            </w:r>
          </w:p>
        </w:tc>
        <w:tc>
          <w:tcPr>
            <w:tcW w:w="2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0" w:type="dxa"/>
            <w:vAlign w:val="bottom"/>
            <w:shd w:val="clear" w:color="auto" w:fill="CCEEFF"/>
          </w:tcPr>
          <w:p>
            <w:pPr>
              <w:spacing w:after="0"/>
              <w:rPr>
                <w:sz w:val="18"/>
                <w:szCs w:val="18"/>
                <w:color w:val="auto"/>
              </w:rPr>
            </w:pPr>
          </w:p>
        </w:tc>
      </w:tr>
      <w:tr>
        <w:trPr>
          <w:trHeight w:val="216"/>
        </w:trPr>
        <w:tc>
          <w:tcPr>
            <w:tcW w:w="7400" w:type="dxa"/>
            <w:vAlign w:val="bottom"/>
          </w:tcPr>
          <w:p>
            <w:pPr>
              <w:spacing w:after="0"/>
              <w:rPr>
                <w:sz w:val="20"/>
                <w:szCs w:val="20"/>
                <w:color w:val="auto"/>
              </w:rPr>
            </w:pPr>
            <w:r>
              <w:rPr>
                <w:rFonts w:ascii="Arial" w:cs="Arial" w:eastAsia="Arial" w:hAnsi="Arial"/>
                <w:sz w:val="18"/>
                <w:szCs w:val="18"/>
                <w:color w:val="auto"/>
              </w:rPr>
              <w:t>Cost and other reimbursement</w:t>
            </w:r>
          </w:p>
        </w:tc>
        <w:tc>
          <w:tcPr>
            <w:tcW w:w="82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200"/>
              <w:spacing w:after="0"/>
              <w:rPr>
                <w:sz w:val="20"/>
                <w:szCs w:val="20"/>
                <w:color w:val="auto"/>
              </w:rPr>
            </w:pPr>
            <w:r>
              <w:rPr>
                <w:rFonts w:ascii="Arial" w:cs="Arial" w:eastAsia="Arial" w:hAnsi="Arial"/>
                <w:sz w:val="18"/>
                <w:szCs w:val="18"/>
                <w:color w:val="auto"/>
              </w:rPr>
              <w:t>(0.2)</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gridSpan w:val="2"/>
          </w:tcPr>
          <w:p>
            <w:pPr>
              <w:jc w:val="right"/>
              <w:spacing w:after="0"/>
              <w:rPr>
                <w:sz w:val="20"/>
                <w:szCs w:val="20"/>
                <w:color w:val="auto"/>
              </w:rPr>
            </w:pPr>
            <w:r>
              <w:rPr>
                <w:rFonts w:ascii="Arial" w:cs="Arial" w:eastAsia="Arial" w:hAnsi="Arial"/>
                <w:sz w:val="18"/>
                <w:szCs w:val="18"/>
                <w:color w:val="auto"/>
                <w:w w:val="97"/>
              </w:rPr>
              <w:t>(0.2)</w:t>
            </w:r>
          </w:p>
        </w:tc>
      </w:tr>
      <w:tr>
        <w:trPr>
          <w:trHeight w:val="216"/>
        </w:trPr>
        <w:tc>
          <w:tcPr>
            <w:tcW w:w="7400" w:type="dxa"/>
            <w:vAlign w:val="bottom"/>
            <w:shd w:val="clear" w:color="auto" w:fill="CCEEFF"/>
          </w:tcPr>
          <w:p>
            <w:pPr>
              <w:spacing w:after="0"/>
              <w:rPr>
                <w:sz w:val="20"/>
                <w:szCs w:val="20"/>
                <w:color w:val="auto"/>
              </w:rPr>
            </w:pPr>
            <w:r>
              <w:rPr>
                <w:rFonts w:ascii="Arial" w:cs="Arial" w:eastAsia="Arial" w:hAnsi="Arial"/>
                <w:sz w:val="18"/>
                <w:szCs w:val="18"/>
                <w:color w:val="auto"/>
              </w:rPr>
              <w:t>Distributions payable, net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4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38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18.8</w:t>
            </w:r>
          </w:p>
        </w:tc>
        <w:tc>
          <w:tcPr>
            <w:tcW w:w="60" w:type="dxa"/>
            <w:vAlign w:val="bottom"/>
            <w:shd w:val="clear" w:color="auto" w:fill="CCEEFF"/>
          </w:tcPr>
          <w:p>
            <w:pPr>
              <w:spacing w:after="0"/>
              <w:rPr>
                <w:sz w:val="18"/>
                <w:szCs w:val="18"/>
                <w:color w:val="auto"/>
              </w:rPr>
            </w:pPr>
          </w:p>
        </w:tc>
      </w:tr>
      <w:tr>
        <w:trPr>
          <w:trHeight w:val="222"/>
        </w:trPr>
        <w:tc>
          <w:tcPr>
            <w:tcW w:w="7400" w:type="dxa"/>
            <w:vAlign w:val="bottom"/>
          </w:tcPr>
          <w:p>
            <w:pPr>
              <w:ind w:left="440"/>
              <w:spacing w:after="0"/>
              <w:rPr>
                <w:sz w:val="20"/>
                <w:szCs w:val="20"/>
                <w:color w:val="auto"/>
              </w:rPr>
            </w:pPr>
            <w:r>
              <w:rPr>
                <w:rFonts w:ascii="Arial" w:cs="Arial" w:eastAsia="Arial" w:hAnsi="Arial"/>
                <w:sz w:val="18"/>
                <w:szCs w:val="18"/>
                <w:color w:val="auto"/>
              </w:rPr>
              <w:t>Total</w:t>
            </w:r>
          </w:p>
        </w:tc>
        <w:tc>
          <w:tcPr>
            <w:tcW w:w="380" w:type="dxa"/>
            <w:vAlign w:val="bottom"/>
          </w:tcPr>
          <w:p>
            <w:pPr>
              <w:jc w:val="right"/>
              <w:spacing w:after="0"/>
              <w:rPr>
                <w:sz w:val="20"/>
                <w:szCs w:val="20"/>
                <w:color w:val="auto"/>
              </w:rPr>
            </w:pPr>
            <w:r>
              <w:rPr>
                <w:rFonts w:ascii="Arial" w:cs="Arial" w:eastAsia="Arial" w:hAnsi="Arial"/>
                <w:sz w:val="18"/>
                <w:szCs w:val="18"/>
                <w:color w:val="auto"/>
                <w:w w:val="89"/>
              </w:rPr>
              <w:t>$ 3.7</w:t>
            </w:r>
          </w:p>
        </w:tc>
        <w:tc>
          <w:tcPr>
            <w:tcW w:w="440" w:type="dxa"/>
            <w:vAlign w:val="bottom"/>
          </w:tcPr>
          <w:p>
            <w:pPr>
              <w:spacing w:after="0"/>
              <w:rPr>
                <w:sz w:val="19"/>
                <w:szCs w:val="19"/>
                <w:color w:val="auto"/>
              </w:rPr>
            </w:pPr>
          </w:p>
        </w:tc>
        <w:tc>
          <w:tcPr>
            <w:tcW w:w="200" w:type="dxa"/>
            <w:vAlign w:val="bottom"/>
          </w:tcPr>
          <w:p>
            <w:pPr>
              <w:jc w:val="right"/>
              <w:ind w:right="46"/>
              <w:spacing w:after="0"/>
              <w:rPr>
                <w:sz w:val="20"/>
                <w:szCs w:val="20"/>
                <w:color w:val="auto"/>
              </w:rPr>
            </w:pPr>
            <w:r>
              <w:rPr>
                <w:rFonts w:ascii="Arial" w:cs="Arial" w:eastAsia="Arial" w:hAnsi="Arial"/>
                <w:sz w:val="15"/>
                <w:szCs w:val="15"/>
                <w:color w:val="auto"/>
                <w:w w:val="71"/>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5.</w:t>
            </w:r>
            <w:r>
              <w:rPr>
                <w:rFonts w:ascii="Arial" w:cs="Arial" w:eastAsia="Arial" w:hAnsi="Arial"/>
                <w:sz w:val="18"/>
                <w:szCs w:val="18"/>
                <w:u w:val="single" w:color="auto"/>
                <w:color w:val="auto"/>
              </w:rPr>
              <w:t>9</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$ 9.4</w:t>
            </w:r>
          </w:p>
        </w:tc>
        <w:tc>
          <w:tcPr>
            <w:tcW w:w="26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19.0</w:t>
            </w:r>
          </w:p>
        </w:tc>
        <w:tc>
          <w:tcPr>
            <w:tcW w:w="60" w:type="dxa"/>
            <w:vAlign w:val="bottom"/>
          </w:tcPr>
          <w:p>
            <w:pPr>
              <w:spacing w:after="0"/>
              <w:rPr>
                <w:sz w:val="19"/>
                <w:szCs w:val="19"/>
                <w:color w:val="auto"/>
              </w:rPr>
            </w:pPr>
          </w:p>
        </w:tc>
      </w:tr>
      <w:tr>
        <w:trPr>
          <w:trHeight w:val="20"/>
        </w:trPr>
        <w:tc>
          <w:tcPr>
            <w:tcW w:w="74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right="60"/>
        <w:spacing w:after="0" w:line="289" w:lineRule="auto"/>
        <w:rPr>
          <w:sz w:val="20"/>
          <w:szCs w:val="20"/>
          <w:color w:val="auto"/>
        </w:rPr>
      </w:pPr>
      <w:r>
        <w:rPr>
          <w:rFonts w:ascii="Arial" w:cs="Arial" w:eastAsia="Arial" w:hAnsi="Arial"/>
          <w:sz w:val="16"/>
          <w:szCs w:val="16"/>
          <w:color w:val="auto"/>
        </w:rPr>
        <w:t>On January 26, 2006, AMC acquired the Loews theatre circuit. The Loews screen integration agreement, effective as of January 5, 2007 and amended and restated as of February 13, 2007, between NCM LLC and AMC, commits AMC to cause the theatres it acquired from Loews to participate in the exhibitor services agreements beginning on June 1, 2008. In accordance with the Loews screen integration agreement, AMC will pay us amounts based on an agreed-upon calculation to reflect amounts that approximate what NCM LLC would have generated if we were able to sell on-screen advertising in the Loews theatre chain on an exclusive basis. These Loews payments will be made on a quarterly basis in arrears through May 31, 2008 in accordance with certain run-out provisions. For the quarter ended September 27, 2007 the Loews payment, included in the due to/(from) founding members at September 27, 2007 is $3.8 million. For the 2007 post-IPO period, the Lowes payment is $7.5 million. The Loews payment is recorded directly to NCM LLC’s members’ equity account.</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w:t>
      </w:r>
    </w:p>
    <w:p>
      <w:pPr>
        <w:spacing w:after="0" w:line="90" w:lineRule="exact"/>
        <w:rPr>
          <w:sz w:val="20"/>
          <w:szCs w:val="20"/>
          <w:color w:val="auto"/>
        </w:rPr>
      </w:pPr>
    </w:p>
    <w:p>
      <w:pPr>
        <w:ind w:left="460" w:right="80"/>
        <w:spacing w:after="0" w:line="294" w:lineRule="auto"/>
        <w:rPr>
          <w:sz w:val="20"/>
          <w:szCs w:val="20"/>
          <w:color w:val="auto"/>
        </w:rPr>
      </w:pPr>
      <w:r>
        <w:rPr>
          <w:rFonts w:ascii="Arial" w:cs="Arial" w:eastAsia="Arial" w:hAnsi="Arial"/>
          <w:sz w:val="16"/>
          <w:szCs w:val="16"/>
          <w:color w:val="auto"/>
        </w:rPr>
        <w:t>During the quarter ended September 27, 2007, the 2007 post-IPO period, the 2007 pre-IPO period, the quarter ended September 28, 2006 and the nine months ended September 28, 2006, AMC and Regal purchased $0.4 million, $1.0 million, $0.1 million, $0.5 million and $1.5 million, respectively, of NCM LLC’s advertising inventory for their own use. The value of such purchases are calculated by reference to NCM LLC’s advertising rate card and is included in advertising revenue with a percentage of such amounts returned by NCM LLC to the founding members as advertising circuit share during the 2007 pre-IPO period, and quarter and nine month periods ended September 28, 2006.</w:t>
      </w:r>
    </w:p>
    <w:p>
      <w:pPr>
        <w:spacing w:after="0" w:line="35" w:lineRule="exact"/>
        <w:rPr>
          <w:sz w:val="20"/>
          <w:szCs w:val="20"/>
          <w:color w:val="auto"/>
        </w:rPr>
      </w:pPr>
    </w:p>
    <w:p>
      <w:pPr>
        <w:ind w:left="460" w:right="80"/>
        <w:spacing w:after="0" w:line="306" w:lineRule="auto"/>
        <w:rPr>
          <w:sz w:val="20"/>
          <w:szCs w:val="20"/>
          <w:color w:val="auto"/>
        </w:rPr>
      </w:pPr>
      <w:r>
        <w:rPr>
          <w:rFonts w:ascii="Arial" w:cs="Arial" w:eastAsia="Arial" w:hAnsi="Arial"/>
          <w:sz w:val="16"/>
          <w:szCs w:val="16"/>
          <w:color w:val="auto"/>
        </w:rPr>
        <w:t>Included in media and events operating costs is $1.7 million, $2.7 million, $0.2 million, $0.5 million and $1.7 million for the quarter ended September 27, 2007, the 2007 post-IPO period, the 2007 pre-IPO period, the quarter ended September 28, 2006 and the nine months ended September 28, 2006, respectively, related to purchases of movie tickets and concession products from the founding members primarily for resale to NCM LLC’s customers.</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During the quarter ended September 27, 2007, the 2007 post-IPO period, the 2007 pre-IPO period, the quarter ended September 28, 2006 and the nine</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months ended September 28, 2006, severance expense and the related capital contribution recognized for amounts under the Regal option plan were</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$0.3 million, $1.3 million, $0.4 million, $0.7 million and $3.4 million, respectively. As this severance plan provides for payments over future periods that</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are contingent upon continued employment with the Company, the cost of the severance plan is being recorded as an expense over the remaining required</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service periods. As the payments under the plan are being funded by Regal, Regal is credited with a capital contribution equal to this severance plan</w:t>
      </w:r>
    </w:p>
    <w:p>
      <w:pPr>
        <w:spacing w:after="0" w:line="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expense.</w:t>
      </w:r>
    </w:p>
    <w:p>
      <w:pPr>
        <w:spacing w:after="0" w:line="280" w:lineRule="exact"/>
        <w:rPr>
          <w:sz w:val="20"/>
          <w:szCs w:val="20"/>
          <w:color w:val="auto"/>
        </w:rPr>
      </w:pPr>
    </w:p>
    <w:p>
      <w:pPr>
        <w:ind w:left="460" w:right="9080" w:hanging="452"/>
        <w:spacing w:after="0" w:line="347" w:lineRule="auto"/>
        <w:tabs>
          <w:tab w:leader="none" w:pos="449"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BORROWINGS </w:t>
      </w:r>
      <w:r>
        <w:rPr>
          <w:rFonts w:ascii="Arial" w:cs="Arial" w:eastAsia="Arial" w:hAnsi="Arial"/>
          <w:sz w:val="18"/>
          <w:szCs w:val="18"/>
          <w:b w:val="1"/>
          <w:bCs w:val="1"/>
          <w:i w:val="1"/>
          <w:iCs w:val="1"/>
          <w:color w:val="auto"/>
        </w:rPr>
        <w:t>Long-Term Borrowings –</w:t>
      </w:r>
    </w:p>
    <w:p>
      <w:pPr>
        <w:spacing w:after="0" w:line="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u w:val="single" w:color="auto"/>
          <w:color w:val="auto"/>
        </w:rPr>
        <w:t>Revolving Credit Agreement</w:t>
      </w:r>
      <w:r>
        <w:rPr>
          <w:rFonts w:ascii="Arial" w:cs="Arial" w:eastAsia="Arial" w:hAnsi="Arial"/>
          <w:sz w:val="16"/>
          <w:szCs w:val="16"/>
          <w:color w:val="auto"/>
        </w:rPr>
        <w:t>—On March 22, 2006, NCM LLC entered into a bank-funded $20.0 million Revolving Credit Agreement, of which</w:t>
      </w:r>
    </w:p>
    <w:p>
      <w:pPr>
        <w:spacing w:after="0" w:line="38" w:lineRule="exact"/>
        <w:rPr>
          <w:rFonts w:ascii="Arial" w:cs="Arial" w:eastAsia="Arial" w:hAnsi="Arial"/>
          <w:sz w:val="18"/>
          <w:szCs w:val="18"/>
          <w:b w:val="1"/>
          <w:bCs w:val="1"/>
          <w:color w:val="auto"/>
        </w:rPr>
      </w:pPr>
    </w:p>
    <w:p>
      <w:pPr>
        <w:ind w:left="460"/>
        <w:spacing w:after="0" w:line="295" w:lineRule="auto"/>
        <w:rPr>
          <w:rFonts w:ascii="Arial" w:cs="Arial" w:eastAsia="Arial" w:hAnsi="Arial"/>
          <w:sz w:val="18"/>
          <w:szCs w:val="18"/>
          <w:b w:val="1"/>
          <w:bCs w:val="1"/>
          <w:color w:val="auto"/>
        </w:rPr>
      </w:pPr>
      <w:r>
        <w:rPr>
          <w:rFonts w:ascii="Arial" w:cs="Arial" w:eastAsia="Arial" w:hAnsi="Arial"/>
          <w:sz w:val="16"/>
          <w:szCs w:val="16"/>
          <w:color w:val="auto"/>
        </w:rPr>
        <w:t>$2.0 million could have been utilized in support of letters of credit. The revolving credit agreement was collateralized by trade receivables, and borrowings under the revolving credit agreement were limited to 85% of eligible trade receivables, as defined. The revolving credit agreement bore interest, at NCM LLC’s option, at either an adjusted Eurodollar rate or the base rate plus, in each case, an applicable margin. Outstanding borrowings at December 28, 2006, were $10.0 million. The revolving credit agreement was repaid and cancelled on February 13, 2007.</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right="140"/>
        <w:spacing w:after="0" w:line="284" w:lineRule="auto"/>
        <w:rPr>
          <w:sz w:val="20"/>
          <w:szCs w:val="20"/>
          <w:color w:val="auto"/>
        </w:rPr>
      </w:pPr>
      <w:r>
        <w:rPr>
          <w:rFonts w:ascii="Arial" w:cs="Arial" w:eastAsia="Arial" w:hAnsi="Arial"/>
          <w:sz w:val="16"/>
          <w:szCs w:val="16"/>
          <w:u w:val="single" w:color="auto"/>
          <w:color w:val="auto"/>
        </w:rPr>
        <w:t>Senior Secured Credit Facility</w:t>
      </w:r>
      <w:r>
        <w:rPr>
          <w:rFonts w:ascii="Arial" w:cs="Arial" w:eastAsia="Arial" w:hAnsi="Arial"/>
          <w:sz w:val="16"/>
          <w:szCs w:val="16"/>
          <w:color w:val="auto"/>
        </w:rPr>
        <w:t>—On February 13, 2007, concurrently with the closing of the IPO of NCM, Inc., NCM LLC entered into a senior secured credit facility with a group of lenders. The facility consists of a six-year $80.0 million revolving credit facility and an eight-year, $725.0 million term loan facility. The term loan will be due on the eighth anniversary of the funding. The revolving credit facility portion is available, subject to certain conditions, for general corporate purposes of the Company in the ordinary course of business and for other transactions permitted under the credit agreement, and a portion is available for letters of credit. The outstanding balance of the term loan facility at September 27, 2007 was $725.0 million. The outstanding balance under the revolving credit facility at September 27, 2007 was $43.0 million. The obligations under the credit facility are secured by a lien on substantially all of the assets of NCM LLC. Borrowings under the senior secured credit facility bear interest, at the option of the Company, at a rate equal to an applicable margin plus either a variable base rate or a eurodollar rate. The applicable margin for the term loan facility is 0.75% with respect to base rate loans and 1.75% with respect to eurodollar loans. The applicable margin for the revolving credit facility is 0.75% with respect to base rate loans and 1.75% with respect to eurodollar loans. As of September 27, 2007, the interest rate on the term loan was 7.46%; the interest rate swap hedged $550.0 million of the $725.0 million term loan at a fixed interest rate of 6.734% and the weighted-average interest rate on the revolver was 7.64%. Commencing with the third fiscal quarter in fiscal year 2008, the applicable margin for the revolving credit facility will be determined quarterly and will be subject to adjustment based upon a consolidated net senior secured leverage ratio for NCM LLC and its subsidiaries (defined in the NCM LLC credit agreement as the ratio of secured funded debt less unrestricted cash and cash equivalents, over adjusted EBITDA, as defined). Upon the occurrence of any payment default, certain amounts under the senior secured credit facility will bear interest at a rate equal to the rate then in effect with respect to such borrowings, plus 2.00% per annum. The senior secured credit facility also contains a number of covenants and ratio requirements, with which, at September 27, 2007, the Company was in compliance. Upon occurrence of an event of default, among other remedies available to the lenders, all outstanding loans may be accelerated and/or the lenders’ commitments may be terminated.</w:t>
      </w:r>
    </w:p>
    <w:p>
      <w:pPr>
        <w:spacing w:after="0" w:line="248" w:lineRule="exact"/>
        <w:rPr>
          <w:sz w:val="20"/>
          <w:szCs w:val="20"/>
          <w:color w:val="auto"/>
        </w:rPr>
      </w:pPr>
    </w:p>
    <w:p>
      <w:pPr>
        <w:ind w:left="460" w:hanging="452"/>
        <w:spacing w:after="0"/>
        <w:tabs>
          <w:tab w:leader="none" w:pos="4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SHARE-BASED COMPENSATION</w:t>
      </w:r>
    </w:p>
    <w:p>
      <w:pPr>
        <w:spacing w:after="0" w:line="96" w:lineRule="exact"/>
        <w:rPr>
          <w:rFonts w:ascii="Arial" w:cs="Arial" w:eastAsia="Arial" w:hAnsi="Arial"/>
          <w:sz w:val="18"/>
          <w:szCs w:val="18"/>
          <w:b w:val="1"/>
          <w:bCs w:val="1"/>
          <w:color w:val="auto"/>
        </w:rPr>
      </w:pPr>
    </w:p>
    <w:p>
      <w:pPr>
        <w:ind w:left="460"/>
        <w:spacing w:after="0" w:line="289" w:lineRule="auto"/>
        <w:rPr>
          <w:rFonts w:ascii="Arial" w:cs="Arial" w:eastAsia="Arial" w:hAnsi="Arial"/>
          <w:sz w:val="18"/>
          <w:szCs w:val="18"/>
          <w:b w:val="1"/>
          <w:bCs w:val="1"/>
          <w:color w:val="auto"/>
        </w:rPr>
      </w:pPr>
      <w:r>
        <w:rPr>
          <w:rFonts w:ascii="Arial" w:cs="Arial" w:eastAsia="Arial" w:hAnsi="Arial"/>
          <w:sz w:val="16"/>
          <w:szCs w:val="16"/>
          <w:color w:val="auto"/>
        </w:rPr>
        <w:t>On April 4, 2006, NCM LLC’s board of directors approved the NCM LLC 2006 Unit Option Plan, under which 1,131,728 units were outstanding as of December 28, 2006. Under certain circumstances, holders of unit options could put the options to NCM LLC for cash. As such, the Unit Option Plan was accounted for as a liability plan and the liability was measured at its fair value at each reporting date. The valuation of the liability was determined based on provisions of SFAS No. 123(R), and factored into the valuation that the options were granted in contemplation of an IPO. The Company used the estimated pricing of the IPO at the time of the grant to determine the equity value, for each unit underlying the options. The Unit Option Plan allowed for additional equity awards to be issued to outstanding option holders in the event of the occurrence of an IPO, with the purpose of the additional option awards or restricted units being to ensure that the economic value of outstanding unit options, as defined in the agreement, held just prior to an IPO was maintained by the option holder immediately after the offering.</w:t>
      </w:r>
    </w:p>
    <w:p>
      <w:pPr>
        <w:spacing w:after="0" w:line="37" w:lineRule="exact"/>
        <w:rPr>
          <w:rFonts w:ascii="Arial" w:cs="Arial" w:eastAsia="Arial" w:hAnsi="Arial"/>
          <w:sz w:val="18"/>
          <w:szCs w:val="18"/>
          <w:b w:val="1"/>
          <w:bCs w:val="1"/>
          <w:color w:val="auto"/>
        </w:rPr>
      </w:pPr>
    </w:p>
    <w:p>
      <w:pPr>
        <w:ind w:left="460" w:right="100"/>
        <w:spacing w:after="0" w:line="290" w:lineRule="auto"/>
        <w:rPr>
          <w:rFonts w:ascii="Arial" w:cs="Arial" w:eastAsia="Arial" w:hAnsi="Arial"/>
          <w:sz w:val="18"/>
          <w:szCs w:val="18"/>
          <w:b w:val="1"/>
          <w:bCs w:val="1"/>
          <w:color w:val="auto"/>
        </w:rPr>
      </w:pPr>
      <w:r>
        <w:rPr>
          <w:rFonts w:ascii="Arial" w:cs="Arial" w:eastAsia="Arial" w:hAnsi="Arial"/>
          <w:sz w:val="16"/>
          <w:szCs w:val="16"/>
          <w:color w:val="auto"/>
        </w:rPr>
        <w:t>At the date of the IPO, the Company adopted the NCM, Inc. 2007 Equity Incentive Plan. There are 2,576,000 shares of common stock available for issuance or delivery under the Equity Incentive Plan. Under the Equity Incentive Plan, the Company issued stock options on 1,589,625 shares of common stock to holders of outstanding unit options in substitution of the unit options and also issued 262,466 shares of restricted stock. In connection with the conversion at the date of the IPO, and pursuant to the antidilution adjustment terms of the Unit Option Plan, the exercise price and the number of shares of common stock subject to options held by the Company’s option holders were adjusted to prevent dilution and restore their economic position to that existing immediately before the IPO. The Equity Incentive Plan is treated as an equity plan under the provisions of SFAS No. 123(R), and the existing liability under the Unit Option Plan at the end of the 2007 pre-IPO period of $2.3 million was reclassified to equity at the IPO date.</w:t>
      </w:r>
    </w:p>
    <w:p>
      <w:pPr>
        <w:spacing w:after="0" w:line="37" w:lineRule="exact"/>
        <w:rPr>
          <w:rFonts w:ascii="Arial" w:cs="Arial" w:eastAsia="Arial" w:hAnsi="Arial"/>
          <w:sz w:val="18"/>
          <w:szCs w:val="18"/>
          <w:b w:val="1"/>
          <w:bCs w:val="1"/>
          <w:color w:val="auto"/>
        </w:rPr>
      </w:pPr>
    </w:p>
    <w:p>
      <w:pPr>
        <w:ind w:left="460" w:right="60"/>
        <w:spacing w:after="0" w:line="332" w:lineRule="auto"/>
        <w:rPr>
          <w:rFonts w:ascii="Arial" w:cs="Arial" w:eastAsia="Arial" w:hAnsi="Arial"/>
          <w:sz w:val="18"/>
          <w:szCs w:val="18"/>
          <w:b w:val="1"/>
          <w:bCs w:val="1"/>
          <w:color w:val="auto"/>
        </w:rPr>
      </w:pPr>
      <w:r>
        <w:rPr>
          <w:rFonts w:ascii="Arial" w:cs="Arial" w:eastAsia="Arial" w:hAnsi="Arial"/>
          <w:sz w:val="16"/>
          <w:szCs w:val="16"/>
          <w:color w:val="auto"/>
        </w:rPr>
        <w:t>Options awarded under the Equity Incentive Plan are generally granted with an exercise price equal to the market price of NCM, Inc. common stock on the date of the grant. The options vest annually over periods between 59 through 71 months and have either 10-year or 15-year contractual terms.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Activity in the Equity Incentive Plan, as converted, is as follows: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5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Weighted-</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5"/>
              </w:rPr>
              <w:t>Weighted-</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Average</w:t>
            </w: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54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Average</w:t>
            </w:r>
          </w:p>
        </w:tc>
        <w:tc>
          <w:tcPr>
            <w:tcW w:w="11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9"/>
              </w:rPr>
              <w:t>Remaining</w:t>
            </w:r>
          </w:p>
        </w:tc>
        <w:tc>
          <w:tcPr>
            <w:tcW w:w="300" w:type="dxa"/>
            <w:vAlign w:val="bottom"/>
          </w:tcPr>
          <w:p>
            <w:pPr>
              <w:spacing w:after="0"/>
              <w:rPr>
                <w:sz w:val="12"/>
                <w:szCs w:val="12"/>
                <w:color w:val="auto"/>
              </w:rPr>
            </w:pPr>
          </w:p>
        </w:tc>
        <w:tc>
          <w:tcPr>
            <w:tcW w:w="86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7"/>
              </w:rPr>
              <w:t>Intrinsic Value</w:t>
            </w:r>
          </w:p>
        </w:tc>
        <w:tc>
          <w:tcPr>
            <w:tcW w:w="0" w:type="dxa"/>
            <w:vAlign w:val="bottom"/>
          </w:tcPr>
          <w:p>
            <w:pPr>
              <w:spacing w:after="0"/>
              <w:rPr>
                <w:sz w:val="1"/>
                <w:szCs w:val="1"/>
                <w:color w:val="auto"/>
              </w:rPr>
            </w:pPr>
          </w:p>
        </w:tc>
      </w:tr>
      <w:tr>
        <w:trPr>
          <w:trHeight w:val="161"/>
        </w:trPr>
        <w:tc>
          <w:tcPr>
            <w:tcW w:w="5440" w:type="dxa"/>
            <w:vAlign w:val="bottom"/>
          </w:tcPr>
          <w:p>
            <w:pPr>
              <w:spacing w:after="0"/>
              <w:rPr>
                <w:sz w:val="14"/>
                <w:szCs w:val="14"/>
                <w:color w:val="auto"/>
              </w:rPr>
            </w:pPr>
          </w:p>
        </w:tc>
        <w:tc>
          <w:tcPr>
            <w:tcW w:w="700" w:type="dxa"/>
            <w:vAlign w:val="bottom"/>
          </w:tcPr>
          <w:p>
            <w:pPr>
              <w:jc w:val="right"/>
              <w:ind w:right="74"/>
              <w:spacing w:after="0"/>
              <w:rPr>
                <w:sz w:val="20"/>
                <w:szCs w:val="20"/>
                <w:color w:val="auto"/>
              </w:rPr>
            </w:pPr>
            <w:r>
              <w:rPr>
                <w:rFonts w:ascii="Arial" w:cs="Arial" w:eastAsia="Arial" w:hAnsi="Arial"/>
                <w:sz w:val="14"/>
                <w:szCs w:val="14"/>
                <w:b w:val="1"/>
                <w:bCs w:val="1"/>
                <w:color w:val="auto"/>
              </w:rPr>
              <w:t>Shares</w:t>
            </w:r>
          </w:p>
        </w:tc>
        <w:tc>
          <w:tcPr>
            <w:tcW w:w="66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Exercise Price</w:t>
            </w:r>
          </w:p>
        </w:tc>
        <w:tc>
          <w:tcPr>
            <w:tcW w:w="11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Life (in years)</w:t>
            </w:r>
          </w:p>
        </w:tc>
        <w:tc>
          <w:tcPr>
            <w:tcW w:w="300" w:type="dxa"/>
            <w:vAlign w:val="bottom"/>
          </w:tcPr>
          <w:p>
            <w:pPr>
              <w:spacing w:after="0"/>
              <w:rPr>
                <w:sz w:val="14"/>
                <w:szCs w:val="14"/>
                <w:color w:val="auto"/>
              </w:rPr>
            </w:pP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(in Millions)</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28, 2006</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1,131,728</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23.85</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Granted</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271,500</w:t>
            </w:r>
          </w:p>
        </w:tc>
        <w:tc>
          <w:tcPr>
            <w:tcW w:w="100" w:type="dxa"/>
            <w:vAlign w:val="bottom"/>
          </w:tcPr>
          <w:p>
            <w:pPr>
              <w:spacing w:after="0"/>
              <w:rPr>
                <w:sz w:val="18"/>
                <w:szCs w:val="18"/>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22.28</w:t>
            </w: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36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440" w:type="dxa"/>
            <w:vAlign w:val="bottom"/>
          </w:tcPr>
          <w:p>
            <w:pPr>
              <w:spacing w:after="0"/>
              <w:rPr>
                <w:sz w:val="20"/>
                <w:szCs w:val="20"/>
                <w:color w:val="auto"/>
              </w:rPr>
            </w:pPr>
            <w:r>
              <w:rPr>
                <w:rFonts w:ascii="Arial" w:cs="Arial" w:eastAsia="Arial" w:hAnsi="Arial"/>
                <w:sz w:val="18"/>
                <w:szCs w:val="18"/>
                <w:color w:val="auto"/>
              </w:rPr>
              <w:t>Anti-dilution adjustments made to outstanding options in connection</w:t>
            </w: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440" w:type="dxa"/>
            <w:vAlign w:val="bottom"/>
          </w:tcPr>
          <w:p>
            <w:pPr>
              <w:ind w:left="220"/>
              <w:spacing w:after="0"/>
              <w:rPr>
                <w:sz w:val="20"/>
                <w:szCs w:val="20"/>
                <w:color w:val="auto"/>
              </w:rPr>
            </w:pPr>
            <w:r>
              <w:rPr>
                <w:rFonts w:ascii="Arial" w:cs="Arial" w:eastAsia="Arial" w:hAnsi="Arial"/>
                <w:sz w:val="18"/>
                <w:szCs w:val="18"/>
                <w:color w:val="auto"/>
              </w:rPr>
              <w:t>with the plan conversion</w:t>
            </w:r>
          </w:p>
        </w:tc>
        <w:tc>
          <w:tcPr>
            <w:tcW w:w="1360" w:type="dxa"/>
            <w:vAlign w:val="bottom"/>
            <w:gridSpan w:val="2"/>
          </w:tcPr>
          <w:p>
            <w:pPr>
              <w:jc w:val="right"/>
              <w:ind w:right="660"/>
              <w:spacing w:after="0"/>
              <w:rPr>
                <w:sz w:val="20"/>
                <w:szCs w:val="20"/>
                <w:color w:val="auto"/>
              </w:rPr>
            </w:pPr>
            <w:r>
              <w:rPr>
                <w:rFonts w:ascii="Arial" w:cs="Arial" w:eastAsia="Arial" w:hAnsi="Arial"/>
                <w:sz w:val="18"/>
                <w:szCs w:val="18"/>
                <w:color w:val="auto"/>
              </w:rPr>
              <w:t>457,897</w:t>
            </w:r>
          </w:p>
        </w:tc>
        <w:tc>
          <w:tcPr>
            <w:tcW w:w="100" w:type="dxa"/>
            <w:vAlign w:val="bottom"/>
          </w:tcPr>
          <w:p>
            <w:pPr>
              <w:spacing w:after="0"/>
              <w:rPr>
                <w:sz w:val="19"/>
                <w:szCs w:val="19"/>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16.98</w:t>
            </w:r>
          </w:p>
        </w:tc>
        <w:tc>
          <w:tcPr>
            <w:tcW w:w="8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3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(41,219)</w:t>
            </w: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center"/>
              <w:ind w:right="280"/>
              <w:spacing w:after="0"/>
              <w:rPr>
                <w:sz w:val="20"/>
                <w:szCs w:val="20"/>
                <w:color w:val="auto"/>
              </w:rPr>
            </w:pPr>
            <w:r>
              <w:rPr>
                <w:rFonts w:ascii="Arial" w:cs="Arial" w:eastAsia="Arial" w:hAnsi="Arial"/>
                <w:sz w:val="18"/>
                <w:szCs w:val="18"/>
                <w:color w:val="auto"/>
                <w:w w:val="88"/>
              </w:rPr>
              <w:t>18.72</w:t>
            </w:r>
          </w:p>
        </w:tc>
        <w:tc>
          <w:tcPr>
            <w:tcW w:w="8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440" w:type="dxa"/>
            <w:vAlign w:val="bottom"/>
            <w:vMerge w:val="restart"/>
          </w:tcPr>
          <w:p>
            <w:pPr>
              <w:spacing w:after="0"/>
              <w:rPr>
                <w:sz w:val="20"/>
                <w:szCs w:val="20"/>
                <w:color w:val="auto"/>
              </w:rPr>
            </w:pPr>
            <w:r>
              <w:rPr>
                <w:rFonts w:ascii="Arial" w:cs="Arial" w:eastAsia="Arial" w:hAnsi="Arial"/>
                <w:sz w:val="18"/>
                <w:szCs w:val="18"/>
                <w:color w:val="auto"/>
              </w:rPr>
              <w:t>Outstanding at September 27, 2007</w:t>
            </w: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440" w:type="dxa"/>
            <w:vAlign w:val="bottom"/>
            <w:vMerge w:val="continue"/>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84"/>
              </w:rPr>
              <w:t>1,819,906</w:t>
            </w:r>
          </w:p>
        </w:tc>
        <w:tc>
          <w:tcPr>
            <w:tcW w:w="6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center"/>
              <w:ind w:right="280"/>
              <w:spacing w:after="0"/>
              <w:rPr>
                <w:sz w:val="20"/>
                <w:szCs w:val="20"/>
                <w:color w:val="auto"/>
              </w:rPr>
            </w:pPr>
            <w:r>
              <w:rPr>
                <w:rFonts w:ascii="Arial" w:cs="Arial" w:eastAsia="Arial" w:hAnsi="Arial"/>
                <w:sz w:val="18"/>
                <w:szCs w:val="18"/>
                <w:color w:val="auto"/>
                <w:w w:val="88"/>
              </w:rPr>
              <w:t>17.73</w:t>
            </w:r>
          </w:p>
        </w:tc>
        <w:tc>
          <w:tcPr>
            <w:tcW w:w="1120" w:type="dxa"/>
            <w:vAlign w:val="bottom"/>
            <w:gridSpan w:val="2"/>
          </w:tcPr>
          <w:p>
            <w:pPr>
              <w:jc w:val="center"/>
              <w:ind w:left="104"/>
              <w:spacing w:after="0"/>
              <w:rPr>
                <w:sz w:val="20"/>
                <w:szCs w:val="20"/>
                <w:color w:val="auto"/>
              </w:rPr>
            </w:pPr>
            <w:r>
              <w:rPr>
                <w:rFonts w:ascii="Arial" w:cs="Arial" w:eastAsia="Arial" w:hAnsi="Arial"/>
                <w:sz w:val="18"/>
                <w:szCs w:val="18"/>
                <w:color w:val="auto"/>
                <w:w w:val="85"/>
              </w:rPr>
              <w:t>14.3</w:t>
            </w: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8"/>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Vested at September 27, 2007</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center"/>
              <w:ind w:left="296"/>
              <w:spacing w:after="0"/>
              <w:rPr>
                <w:sz w:val="20"/>
                <w:szCs w:val="20"/>
                <w:color w:val="auto"/>
              </w:rPr>
            </w:pPr>
            <w:r>
              <w:rPr>
                <w:rFonts w:ascii="Arial" w:cs="Arial" w:eastAsia="Arial" w:hAnsi="Arial"/>
                <w:sz w:val="18"/>
                <w:szCs w:val="18"/>
                <w:color w:val="auto"/>
                <w:w w:val="99"/>
              </w:rPr>
              <w:t>—</w:t>
            </w:r>
          </w:p>
        </w:tc>
        <w:tc>
          <w:tcPr>
            <w:tcW w:w="6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center"/>
              <w:ind w:left="384"/>
              <w:spacing w:after="0"/>
              <w:rPr>
                <w:sz w:val="20"/>
                <w:szCs w:val="20"/>
                <w:color w:val="auto"/>
              </w:rPr>
            </w:pPr>
            <w:r>
              <w:rPr>
                <w:rFonts w:ascii="Arial" w:cs="Arial" w:eastAsia="Arial" w:hAnsi="Arial"/>
                <w:sz w:val="18"/>
                <w:szCs w:val="18"/>
                <w:color w:val="auto"/>
                <w:w w:val="99"/>
              </w:rPr>
              <w:t>—</w:t>
            </w: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2"/>
        </w:trPr>
        <w:tc>
          <w:tcPr>
            <w:tcW w:w="5440" w:type="dxa"/>
            <w:vAlign w:val="bottom"/>
          </w:tcPr>
          <w:p>
            <w:pPr>
              <w:spacing w:after="0"/>
              <w:rPr>
                <w:sz w:val="20"/>
                <w:szCs w:val="20"/>
                <w:color w:val="auto"/>
              </w:rPr>
            </w:pPr>
            <w:r>
              <w:rPr>
                <w:rFonts w:ascii="Arial" w:cs="Arial" w:eastAsia="Arial" w:hAnsi="Arial"/>
                <w:sz w:val="18"/>
                <w:szCs w:val="18"/>
                <w:color w:val="auto"/>
              </w:rPr>
              <w:t>Exercisable at September 27, 2007</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center"/>
              <w:ind w:left="296"/>
              <w:spacing w:after="0"/>
              <w:rPr>
                <w:sz w:val="20"/>
                <w:szCs w:val="20"/>
                <w:color w:val="auto"/>
              </w:rPr>
            </w:pPr>
            <w:r>
              <w:rPr>
                <w:rFonts w:ascii="Arial" w:cs="Arial" w:eastAsia="Arial" w:hAnsi="Arial"/>
                <w:sz w:val="18"/>
                <w:szCs w:val="18"/>
                <w:color w:val="auto"/>
                <w:w w:val="99"/>
              </w:rPr>
              <w:t>—</w:t>
            </w:r>
          </w:p>
        </w:tc>
        <w:tc>
          <w:tcPr>
            <w:tcW w:w="600" w:type="dxa"/>
            <w:vAlign w:val="bottom"/>
          </w:tcPr>
          <w:p>
            <w:pPr>
              <w:spacing w:after="0"/>
              <w:rPr>
                <w:sz w:val="19"/>
                <w:szCs w:val="19"/>
                <w:color w:val="auto"/>
              </w:rPr>
            </w:pPr>
          </w:p>
        </w:tc>
        <w:tc>
          <w:tcPr>
            <w:tcW w:w="800" w:type="dxa"/>
            <w:vAlign w:val="bottom"/>
          </w:tcPr>
          <w:p>
            <w:pPr>
              <w:jc w:val="center"/>
              <w:ind w:left="384"/>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19"/>
                <w:szCs w:val="19"/>
                <w:color w:val="auto"/>
              </w:rPr>
            </w:pPr>
          </w:p>
        </w:tc>
        <w:tc>
          <w:tcPr>
            <w:tcW w:w="400" w:type="dxa"/>
            <w:vAlign w:val="bottom"/>
            <w:gridSpan w:val="2"/>
          </w:tcPr>
          <w:p>
            <w:pPr>
              <w:ind w:left="300"/>
              <w:spacing w:after="0"/>
              <w:rPr>
                <w:sz w:val="20"/>
                <w:szCs w:val="20"/>
                <w:color w:val="auto"/>
              </w:rPr>
            </w:pPr>
            <w:r>
              <w:rPr>
                <w:rFonts w:ascii="Arial" w:cs="Arial" w:eastAsia="Arial" w:hAnsi="Arial"/>
                <w:sz w:val="18"/>
                <w:szCs w:val="18"/>
                <w:color w:val="auto"/>
                <w:w w:val="79"/>
              </w:rPr>
              <w:t>$</w:t>
            </w:r>
          </w:p>
        </w:tc>
        <w:tc>
          <w:tcPr>
            <w:tcW w:w="760" w:type="dxa"/>
            <w:vAlign w:val="bottom"/>
          </w:tcPr>
          <w:p>
            <w:pPr>
              <w:ind w:left="5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4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left="460" w:right="320"/>
        <w:spacing w:after="0" w:line="306" w:lineRule="auto"/>
        <w:rPr>
          <w:sz w:val="20"/>
          <w:szCs w:val="20"/>
          <w:color w:val="auto"/>
        </w:rPr>
      </w:pPr>
      <w:r>
        <w:rPr>
          <w:rFonts w:ascii="Arial" w:cs="Arial" w:eastAsia="Arial" w:hAnsi="Arial"/>
          <w:sz w:val="16"/>
          <w:szCs w:val="16"/>
          <w:color w:val="auto"/>
        </w:rPr>
        <w:t>The weighted-average grant-date fair value of options granted during the third quarter of 2007 was $6.81. The Company has estimated the fair value of these options at $5.46 to $8.17 per share based on the Black-Scholes option pricing model. The Black-Scholes model requires that the Company make estimates of various factors used, as noted below. The fair value of the options is being charged to operations over the vesting period.</w:t>
      </w:r>
    </w:p>
    <w:p>
      <w:pPr>
        <w:spacing w:after="0" w:line="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assumptions were used in the valuation of the options:</w:t>
      </w:r>
    </w:p>
    <w:p>
      <w:pPr>
        <w:spacing w:after="0" w:line="90" w:lineRule="exact"/>
        <w:rPr>
          <w:sz w:val="20"/>
          <w:szCs w:val="20"/>
          <w:color w:val="auto"/>
        </w:rPr>
      </w:pPr>
    </w:p>
    <w:p>
      <w:pPr>
        <w:ind w:left="90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Expected life of options—6.5 to 9 years. The expected life of the options was determined by using the average of the vesting and contractual terms of the options (the “simplified method” as described in SEC Staff Accounting Bulletin 102).</w:t>
      </w:r>
    </w:p>
    <w:p>
      <w:pPr>
        <w:spacing w:after="0" w:line="5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 free interest rate—4.6% to 4.9%. The risk-free interest rate was determined by using the applicable Treasury rates as of the grant dates, commensurate with the expected terms of the options.</w:t>
      </w:r>
    </w:p>
    <w:p>
      <w:pPr>
        <w:spacing w:after="0" w:line="50" w:lineRule="exact"/>
        <w:rPr>
          <w:rFonts w:ascii="Arial" w:cs="Arial" w:eastAsia="Arial" w:hAnsi="Arial"/>
          <w:sz w:val="18"/>
          <w:szCs w:val="18"/>
          <w:color w:val="auto"/>
        </w:rPr>
      </w:pPr>
    </w:p>
    <w:p>
      <w:pPr>
        <w:ind w:left="900" w:right="64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Expected volatility—30.0%. Expected volatility was estimated based on comparable companies and industry indexes for historic stock price volatility.</w:t>
      </w:r>
    </w:p>
    <w:p>
      <w:pPr>
        <w:spacing w:after="0" w:line="50" w:lineRule="exact"/>
        <w:rPr>
          <w:rFonts w:ascii="Arial" w:cs="Arial" w:eastAsia="Arial" w:hAnsi="Arial"/>
          <w:sz w:val="18"/>
          <w:szCs w:val="18"/>
          <w:color w:val="auto"/>
        </w:rPr>
      </w:pPr>
    </w:p>
    <w:p>
      <w:pPr>
        <w:ind w:left="900" w:right="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Dividend yield—3.0%. The estimated dividend yield was determined using management’s expectations based on estimated cash flow characteristics and expected long-term dividend policy after the IPO.</w:t>
      </w:r>
    </w:p>
    <w:p>
      <w:pPr>
        <w:spacing w:after="0" w:line="51" w:lineRule="exact"/>
        <w:rPr>
          <w:sz w:val="20"/>
          <w:szCs w:val="20"/>
          <w:color w:val="auto"/>
        </w:rPr>
      </w:pPr>
    </w:p>
    <w:p>
      <w:pPr>
        <w:ind w:left="460" w:right="100"/>
        <w:spacing w:after="0" w:line="294" w:lineRule="auto"/>
        <w:rPr>
          <w:sz w:val="20"/>
          <w:szCs w:val="20"/>
          <w:color w:val="auto"/>
        </w:rPr>
      </w:pPr>
      <w:r>
        <w:rPr>
          <w:rFonts w:ascii="Arial" w:cs="Arial" w:eastAsia="Arial" w:hAnsi="Arial"/>
          <w:sz w:val="16"/>
          <w:szCs w:val="16"/>
          <w:color w:val="auto"/>
        </w:rPr>
        <w:t>Under the fair value recognition provisions of SFAS No. 123R, the Company recognizes stock-based compensation net of an estimated forfeiture rate, and therefore only recognizes stock-based compensation cost for those shares expected to vest over the requisite service period of the award. The executive forfeiture rate is not significant, because a substantial number of options are held by a few executives of the Company who are expected to continue employment through the vesting period. A forfeiture rate of 5% was estimated for all non-executive employees to reflect the potential separation of employees. The Company expects approximately 1,729,000 of the outstanding options to vest.</w:t>
      </w:r>
    </w:p>
    <w:p>
      <w:pPr>
        <w:spacing w:after="0" w:line="35" w:lineRule="exact"/>
        <w:rPr>
          <w:sz w:val="20"/>
          <w:szCs w:val="20"/>
          <w:color w:val="auto"/>
        </w:rPr>
      </w:pPr>
    </w:p>
    <w:p>
      <w:pPr>
        <w:ind w:left="460" w:right="120"/>
        <w:spacing w:after="0" w:line="256" w:lineRule="auto"/>
        <w:rPr>
          <w:sz w:val="20"/>
          <w:szCs w:val="20"/>
          <w:color w:val="auto"/>
        </w:rPr>
      </w:pPr>
      <w:r>
        <w:rPr>
          <w:rFonts w:ascii="Arial" w:cs="Arial" w:eastAsia="Arial" w:hAnsi="Arial"/>
          <w:sz w:val="18"/>
          <w:szCs w:val="18"/>
          <w:color w:val="auto"/>
        </w:rPr>
        <w:t>The Company recognized $0.6 million, $1.5 million, $0.3 million, $0.8 million and $1.1 million for the quarter ended September 27, 2007, the 2007 post-IPO period, the 2007 pre-IPO period, the quarter ended September 28, 2006 and the nine months ended September 28, 2006, respectively, of share-based compensation expense for these options and no amounts were capitalized. The income tax benefit recognized in the income statement for share-based compensation was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51" w:lineRule="exact"/>
        <w:rPr>
          <w:sz w:val="20"/>
          <w:szCs w:val="20"/>
          <w:color w:val="auto"/>
        </w:rPr>
      </w:pPr>
    </w:p>
    <w:p>
      <w:pPr>
        <w:jc w:val="both"/>
        <w:ind w:left="460" w:right="100"/>
        <w:spacing w:after="0" w:line="259" w:lineRule="auto"/>
        <w:rPr>
          <w:sz w:val="20"/>
          <w:szCs w:val="20"/>
          <w:color w:val="auto"/>
        </w:rPr>
      </w:pPr>
      <w:r>
        <w:rPr>
          <w:rFonts w:ascii="Arial" w:cs="Arial" w:eastAsia="Arial" w:hAnsi="Arial"/>
          <w:sz w:val="18"/>
          <w:szCs w:val="18"/>
          <w:color w:val="auto"/>
        </w:rPr>
        <w:t>$0.2 million for the quarter ended September 27, 2007 and $0.6 million for the 2007 post-IPO period. There was no income tax provision prior to the IPO. As of September 27, 2007, unrecognized compensation cost related to nonvested options was approximately $9.3 million, which will be recognized over a remaining period of between 51 and 63 months.</w:t>
      </w:r>
    </w:p>
    <w:p>
      <w:pPr>
        <w:spacing w:after="0" w:line="59" w:lineRule="exact"/>
        <w:rPr>
          <w:sz w:val="20"/>
          <w:szCs w:val="20"/>
          <w:color w:val="auto"/>
        </w:rPr>
      </w:pPr>
    </w:p>
    <w:p>
      <w:pPr>
        <w:ind w:left="460" w:right="20"/>
        <w:spacing w:after="0" w:line="289" w:lineRule="auto"/>
        <w:rPr>
          <w:sz w:val="20"/>
          <w:szCs w:val="20"/>
          <w:color w:val="auto"/>
        </w:rPr>
      </w:pPr>
      <w:r>
        <w:rPr>
          <w:rFonts w:ascii="Arial" w:cs="Arial" w:eastAsia="Arial" w:hAnsi="Arial"/>
          <w:sz w:val="16"/>
          <w:szCs w:val="16"/>
          <w:b w:val="1"/>
          <w:bCs w:val="1"/>
          <w:i w:val="1"/>
          <w:iCs w:val="1"/>
          <w:color w:val="auto"/>
        </w:rPr>
        <w:t>Non-vested Stock</w:t>
      </w:r>
      <w:r>
        <w:rPr>
          <w:rFonts w:ascii="Arial" w:cs="Arial" w:eastAsia="Arial" w:hAnsi="Arial"/>
          <w:sz w:val="16"/>
          <w:szCs w:val="16"/>
          <w:color w:val="auto"/>
        </w:rPr>
        <w:t>—The Company implemented a restricted stock program as part of the Equity Incentive Plan. The plan provides for restricted stock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awards to officers, board members and other key employees. Under the restricted stock program, common stock of the Company may be granted at no cost to officers, board members and key employees, subject to a continued employment restriction and as such restrictions lapse (generally at the start of each subsequent calendar year), the award vests in that proportion. There were no shares of restricted stock granted during the third quarter of 2007 or 2006. The participants are entitled to cash dividends and to vote their respective shares, although the sale and transfer of such shares is prohibited and the shares are subject to forfeiture during the restricted period. The shares are also subject to the terms and provisions of the Equity Incentive Plan. The restricted stock vests in equal annual installments over a five-year period, except awards to non-employee directors, which vest after one year. Compensation cost is valued based on the market price on the grant date and is expensed over the vesting period.</w:t>
      </w:r>
    </w:p>
    <w:p>
      <w:pPr>
        <w:spacing w:after="0" w:line="3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represents the shares of non-vested stock that were granted during the period and outstanding as of September 27, 2007:</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9300" w:type="dxa"/>
            <w:vAlign w:val="bottom"/>
          </w:tcPr>
          <w:p>
            <w:pPr>
              <w:spacing w:after="0"/>
              <w:rPr>
                <w:sz w:val="14"/>
                <w:szCs w:val="14"/>
                <w:color w:val="auto"/>
              </w:rPr>
            </w:pPr>
          </w:p>
        </w:tc>
        <w:tc>
          <w:tcPr>
            <w:tcW w:w="120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7"/>
              </w:rPr>
              <w:t>Period</w:t>
            </w:r>
          </w:p>
        </w:tc>
      </w:tr>
      <w:tr>
        <w:trPr>
          <w:trHeight w:val="149"/>
        </w:trPr>
        <w:tc>
          <w:tcPr>
            <w:tcW w:w="9300" w:type="dxa"/>
            <w:vAlign w:val="bottom"/>
          </w:tcPr>
          <w:p>
            <w:pPr>
              <w:spacing w:after="0"/>
              <w:rPr>
                <w:sz w:val="12"/>
                <w:szCs w:val="12"/>
                <w:color w:val="auto"/>
              </w:rPr>
            </w:pPr>
          </w:p>
        </w:tc>
        <w:tc>
          <w:tcPr>
            <w:tcW w:w="12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February 13, 2007</w:t>
            </w:r>
          </w:p>
        </w:tc>
      </w:tr>
      <w:tr>
        <w:trPr>
          <w:trHeight w:val="149"/>
        </w:trPr>
        <w:tc>
          <w:tcPr>
            <w:tcW w:w="9300" w:type="dxa"/>
            <w:vAlign w:val="bottom"/>
          </w:tcPr>
          <w:p>
            <w:pPr>
              <w:spacing w:after="0"/>
              <w:rPr>
                <w:sz w:val="12"/>
                <w:szCs w:val="12"/>
                <w:color w:val="auto"/>
              </w:rPr>
            </w:pPr>
          </w:p>
        </w:tc>
        <w:tc>
          <w:tcPr>
            <w:tcW w:w="12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6"/>
              </w:rPr>
              <w:t>through</w:t>
            </w:r>
          </w:p>
        </w:tc>
      </w:tr>
      <w:tr>
        <w:trPr>
          <w:trHeight w:val="175"/>
        </w:trPr>
        <w:tc>
          <w:tcPr>
            <w:tcW w:w="9300" w:type="dxa"/>
            <w:vAlign w:val="bottom"/>
          </w:tcPr>
          <w:p>
            <w:pPr>
              <w:spacing w:after="0"/>
              <w:rPr>
                <w:sz w:val="15"/>
                <w:szCs w:val="15"/>
                <w:color w:val="auto"/>
              </w:rPr>
            </w:pP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September 27, 2007</w:t>
            </w:r>
          </w:p>
        </w:tc>
        <w:tc>
          <w:tcPr>
            <w:tcW w:w="60" w:type="dxa"/>
            <w:vAlign w:val="bottom"/>
          </w:tcPr>
          <w:p>
            <w:pPr>
              <w:spacing w:after="0"/>
              <w:rPr>
                <w:sz w:val="15"/>
                <w:szCs w:val="15"/>
                <w:color w:val="auto"/>
              </w:rPr>
            </w:pPr>
          </w:p>
        </w:tc>
      </w:tr>
      <w:tr>
        <w:trPr>
          <w:trHeight w:val="210"/>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Non-vested at December 28, 2006</w:t>
            </w: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300" w:type="dxa"/>
            <w:vAlign w:val="bottom"/>
          </w:tcPr>
          <w:p>
            <w:pPr>
              <w:spacing w:after="0"/>
              <w:rPr>
                <w:sz w:val="20"/>
                <w:szCs w:val="20"/>
                <w:color w:val="auto"/>
              </w:rPr>
            </w:pPr>
            <w:r>
              <w:rPr>
                <w:rFonts w:ascii="Arial" w:cs="Arial" w:eastAsia="Arial" w:hAnsi="Arial"/>
                <w:sz w:val="18"/>
                <w:szCs w:val="18"/>
                <w:color w:val="auto"/>
              </w:rPr>
              <w:t>Granted during period February 13, 2007 through September 27, 2007</w:t>
            </w:r>
          </w:p>
        </w:tc>
        <w:tc>
          <w:tcPr>
            <w:tcW w:w="1140" w:type="dxa"/>
            <w:vAlign w:val="bottom"/>
          </w:tcPr>
          <w:p>
            <w:pPr>
              <w:jc w:val="right"/>
              <w:spacing w:after="0"/>
              <w:rPr>
                <w:sz w:val="20"/>
                <w:szCs w:val="20"/>
                <w:color w:val="auto"/>
              </w:rPr>
            </w:pPr>
            <w:r>
              <w:rPr>
                <w:rFonts w:ascii="Arial" w:cs="Arial" w:eastAsia="Arial" w:hAnsi="Arial"/>
                <w:sz w:val="18"/>
                <w:szCs w:val="18"/>
                <w:color w:val="auto"/>
              </w:rPr>
              <w:t>275,184</w:t>
            </w:r>
          </w:p>
        </w:tc>
        <w:tc>
          <w:tcPr>
            <w:tcW w:w="60" w:type="dxa"/>
            <w:vAlign w:val="bottom"/>
          </w:tcPr>
          <w:p>
            <w:pPr>
              <w:spacing w:after="0"/>
              <w:rPr>
                <w:sz w:val="18"/>
                <w:szCs w:val="18"/>
                <w:color w:val="auto"/>
              </w:rPr>
            </w:pPr>
          </w:p>
        </w:tc>
      </w:tr>
      <w:tr>
        <w:trPr>
          <w:trHeight w:val="216"/>
        </w:trPr>
        <w:tc>
          <w:tcPr>
            <w:tcW w:w="930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(3,339)</w:t>
            </w:r>
          </w:p>
        </w:tc>
      </w:tr>
      <w:tr>
        <w:trPr>
          <w:trHeight w:val="221"/>
        </w:trPr>
        <w:tc>
          <w:tcPr>
            <w:tcW w:w="9300" w:type="dxa"/>
            <w:vAlign w:val="bottom"/>
          </w:tcPr>
          <w:p>
            <w:pPr>
              <w:spacing w:after="0"/>
              <w:rPr>
                <w:sz w:val="20"/>
                <w:szCs w:val="20"/>
                <w:color w:val="auto"/>
              </w:rPr>
            </w:pPr>
            <w:r>
              <w:rPr>
                <w:rFonts w:ascii="Arial" w:cs="Arial" w:eastAsia="Arial" w:hAnsi="Arial"/>
                <w:sz w:val="18"/>
                <w:szCs w:val="18"/>
                <w:color w:val="auto"/>
              </w:rPr>
              <w:t>Non-vested as of September 27, 2007</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271,845</w:t>
            </w:r>
          </w:p>
        </w:tc>
        <w:tc>
          <w:tcPr>
            <w:tcW w:w="60" w:type="dxa"/>
            <w:vAlign w:val="bottom"/>
          </w:tcPr>
          <w:p>
            <w:pPr>
              <w:spacing w:after="0"/>
              <w:rPr>
                <w:sz w:val="19"/>
                <w:szCs w:val="19"/>
                <w:color w:val="auto"/>
              </w:rPr>
            </w:pPr>
          </w:p>
        </w:tc>
      </w:tr>
    </w:tbl>
    <w:p>
      <w:pPr>
        <w:spacing w:after="0" w:line="156" w:lineRule="exact"/>
        <w:rPr>
          <w:sz w:val="20"/>
          <w:szCs w:val="20"/>
          <w:color w:val="auto"/>
        </w:rPr>
      </w:pPr>
    </w:p>
    <w:p>
      <w:pPr>
        <w:ind w:left="460"/>
        <w:spacing w:after="0" w:line="318" w:lineRule="auto"/>
        <w:rPr>
          <w:sz w:val="20"/>
          <w:szCs w:val="20"/>
          <w:color w:val="auto"/>
        </w:rPr>
      </w:pPr>
      <w:r>
        <w:rPr>
          <w:rFonts w:ascii="Arial" w:cs="Arial" w:eastAsia="Arial" w:hAnsi="Arial"/>
          <w:sz w:val="15"/>
          <w:szCs w:val="15"/>
          <w:color w:val="auto"/>
        </w:rPr>
        <w:t>The forfeiture rates are consistent with the rates used for options. The Company recorded $0.3 million and $0.8 million compensation expense related to such outstanding restricted shares during the quarter ended September 27, 2007 and the period February 13, 2007 through September 27, 2007, respectively and no amounts were capitalized. The income tax benefit recognized in the income statement for share-based compensation was $0.1 million for the quarter ended September 27, 2007 and $0.3 million for the 2007 post-IPO period. As of September 27, 2007, unrecognized compensation cost related to non-vested restricted stock was approximately $4.8 million, which will be recognized over a remaining period of between 5 months and 63 months.</w:t>
      </w:r>
    </w:p>
    <w:p>
      <w:pPr>
        <w:spacing w:after="0" w:line="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NATIONAL CINEMEDIA, INC.</w:t>
      </w:r>
    </w:p>
    <w:p>
      <w:pPr>
        <w:spacing w:after="0" w:line="21"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5"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96" w:lineRule="exact"/>
        <w:rPr>
          <w:rFonts w:ascii="Arial" w:cs="Arial" w:eastAsia="Arial" w:hAnsi="Arial"/>
          <w:sz w:val="18"/>
          <w:szCs w:val="18"/>
          <w:b w:val="1"/>
          <w:bCs w:val="1"/>
          <w:color w:val="auto"/>
        </w:rPr>
      </w:pPr>
    </w:p>
    <w:p>
      <w:pPr>
        <w:ind w:left="460" w:right="60"/>
        <w:spacing w:after="0" w:line="306" w:lineRule="auto"/>
        <w:rPr>
          <w:rFonts w:ascii="Arial" w:cs="Arial" w:eastAsia="Arial" w:hAnsi="Arial"/>
          <w:sz w:val="18"/>
          <w:szCs w:val="18"/>
          <w:b w:val="1"/>
          <w:bCs w:val="1"/>
          <w:color w:val="auto"/>
        </w:rPr>
      </w:pPr>
      <w:r>
        <w:rPr>
          <w:rFonts w:ascii="Arial" w:cs="Arial" w:eastAsia="Arial" w:hAnsi="Arial"/>
          <w:sz w:val="16"/>
          <w:szCs w:val="16"/>
          <w:color w:val="auto"/>
        </w:rPr>
        <w:t>Basic earnings per share is computed on the basis of the weighted average number of common shares outstanding. Diluted earnings per share is computed on the basis of the weighted average number of common shares outstanding plus the effect of potentially dilutive common stock options, and restricted stock using the treasury stock method. The components of basic and diluted earnings per share are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6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20" w:type="dxa"/>
            <w:vAlign w:val="bottom"/>
            <w:gridSpan w:val="2"/>
          </w:tcPr>
          <w:p>
            <w:pPr>
              <w:ind w:left="20"/>
              <w:spacing w:after="0"/>
              <w:rPr>
                <w:sz w:val="20"/>
                <w:szCs w:val="20"/>
                <w:color w:val="auto"/>
              </w:rPr>
            </w:pPr>
            <w:r>
              <w:rPr>
                <w:rFonts w:ascii="Arial" w:cs="Arial" w:eastAsia="Arial" w:hAnsi="Arial"/>
                <w:sz w:val="14"/>
                <w:szCs w:val="14"/>
                <w:b w:val="1"/>
                <w:bCs w:val="1"/>
                <w:color w:val="auto"/>
              </w:rPr>
              <w:t>Quarter Ended</w:t>
            </w:r>
          </w:p>
        </w:tc>
        <w:tc>
          <w:tcPr>
            <w:tcW w:w="580" w:type="dxa"/>
            <w:vAlign w:val="bottom"/>
          </w:tcPr>
          <w:p>
            <w:pPr>
              <w:spacing w:after="0"/>
              <w:rPr>
                <w:sz w:val="14"/>
                <w:szCs w:val="14"/>
                <w:color w:val="auto"/>
              </w:rPr>
            </w:pP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Period February 13, 2007</w:t>
            </w:r>
          </w:p>
        </w:tc>
        <w:tc>
          <w:tcPr>
            <w:tcW w:w="0" w:type="dxa"/>
            <w:vAlign w:val="bottom"/>
          </w:tcPr>
          <w:p>
            <w:pPr>
              <w:spacing w:after="0"/>
              <w:rPr>
                <w:sz w:val="1"/>
                <w:szCs w:val="1"/>
                <w:color w:val="auto"/>
              </w:rPr>
            </w:pPr>
          </w:p>
        </w:tc>
      </w:tr>
      <w:tr>
        <w:trPr>
          <w:trHeight w:val="161"/>
        </w:trPr>
        <w:tc>
          <w:tcPr>
            <w:tcW w:w="6540" w:type="dxa"/>
            <w:vAlign w:val="bottom"/>
          </w:tcPr>
          <w:p>
            <w:pPr>
              <w:spacing w:after="0"/>
              <w:rPr>
                <w:sz w:val="14"/>
                <w:szCs w:val="14"/>
                <w:color w:val="auto"/>
              </w:rPr>
            </w:pPr>
          </w:p>
        </w:tc>
        <w:tc>
          <w:tcPr>
            <w:tcW w:w="11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September 27, 2007</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85"/>
              </w:rPr>
              <w:t>through September 27, 2007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Net Income (in millions)</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9.2</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Weighted average shares outstanding:</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42,000,000</w:t>
            </w: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42,000,000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540" w:type="dxa"/>
            <w:vAlign w:val="bottom"/>
          </w:tcPr>
          <w:p>
            <w:pPr>
              <w:ind w:left="440"/>
              <w:spacing w:after="0"/>
              <w:rPr>
                <w:sz w:val="20"/>
                <w:szCs w:val="20"/>
                <w:color w:val="auto"/>
              </w:rPr>
            </w:pPr>
            <w:r>
              <w:rPr>
                <w:rFonts w:ascii="Arial" w:cs="Arial" w:eastAsia="Arial" w:hAnsi="Arial"/>
                <w:sz w:val="18"/>
                <w:szCs w:val="18"/>
                <w:color w:val="auto"/>
              </w:rPr>
              <w:t>Add: Dilutive effect of stock options and restricted stock</w:t>
            </w: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107,265</w:t>
            </w: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175,295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42,107,265</w:t>
            </w:r>
          </w:p>
        </w:tc>
        <w:tc>
          <w:tcPr>
            <w:tcW w:w="5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42,175,295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spacing w:after="0"/>
              <w:rPr>
                <w:sz w:val="20"/>
                <w:szCs w:val="20"/>
                <w:color w:val="auto"/>
              </w:rPr>
            </w:pPr>
            <w:r>
              <w:rPr>
                <w:rFonts w:ascii="Arial" w:cs="Arial" w:eastAsia="Arial" w:hAnsi="Arial"/>
                <w:sz w:val="18"/>
                <w:szCs w:val="18"/>
                <w:color w:val="auto"/>
              </w:rPr>
              <w:t>Earnings per share: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65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65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Basic</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0.22</w:t>
            </w:r>
          </w:p>
        </w:tc>
        <w:tc>
          <w:tcPr>
            <w:tcW w:w="10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540" w:type="dxa"/>
            <w:vAlign w:val="bottom"/>
          </w:tcPr>
          <w:p>
            <w:pPr>
              <w:ind w:left="440"/>
              <w:spacing w:after="0"/>
              <w:rPr>
                <w:sz w:val="20"/>
                <w:szCs w:val="20"/>
                <w:color w:val="auto"/>
              </w:rPr>
            </w:pPr>
            <w:r>
              <w:rPr>
                <w:rFonts w:ascii="Arial" w:cs="Arial" w:eastAsia="Arial" w:hAnsi="Arial"/>
                <w:sz w:val="18"/>
                <w:szCs w:val="18"/>
                <w:color w:val="auto"/>
              </w:rPr>
              <w:t>Diluted</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620" w:type="dxa"/>
            <w:vAlign w:val="bottom"/>
            <w:gridSpan w:val="2"/>
          </w:tcPr>
          <w:p>
            <w:pPr>
              <w:jc w:val="right"/>
              <w:ind w:right="600"/>
              <w:spacing w:after="0"/>
              <w:rPr>
                <w:sz w:val="20"/>
                <w:szCs w:val="20"/>
                <w:color w:val="auto"/>
              </w:rPr>
            </w:pPr>
            <w:r>
              <w:rPr>
                <w:rFonts w:ascii="Arial" w:cs="Arial" w:eastAsia="Arial" w:hAnsi="Arial"/>
                <w:sz w:val="18"/>
                <w:szCs w:val="18"/>
                <w:color w:val="auto"/>
              </w:rPr>
              <w:t>0.22</w:t>
            </w:r>
          </w:p>
        </w:tc>
        <w:tc>
          <w:tcPr>
            <w:tcW w:w="10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ind w:left="460" w:right="40"/>
        <w:spacing w:after="0" w:line="259" w:lineRule="auto"/>
        <w:rPr>
          <w:sz w:val="20"/>
          <w:szCs w:val="20"/>
          <w:color w:val="auto"/>
        </w:rPr>
      </w:pPr>
      <w:r>
        <w:rPr>
          <w:rFonts w:ascii="Arial" w:cs="Arial" w:eastAsia="Arial" w:hAnsi="Arial"/>
          <w:sz w:val="18"/>
          <w:szCs w:val="18"/>
          <w:color w:val="auto"/>
        </w:rPr>
        <w:t>The effect of the 51,850,951 convertible NCM LLC common units held by the founding members at September 27, 2007 has been excluded from the calculation of diluted weighted average shares and earnings per share as they are antidilutive due to interest expense arising from accretion of the discount on the taxes payable to founding members which is not allocable to the minority interest.</w:t>
      </w:r>
    </w:p>
    <w:p>
      <w:pPr>
        <w:spacing w:after="0" w:line="256" w:lineRule="exact"/>
        <w:rPr>
          <w:sz w:val="20"/>
          <w:szCs w:val="20"/>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96" w:lineRule="exact"/>
        <w:rPr>
          <w:rFonts w:ascii="Arial" w:cs="Arial" w:eastAsia="Arial" w:hAnsi="Arial"/>
          <w:sz w:val="18"/>
          <w:szCs w:val="18"/>
          <w:b w:val="1"/>
          <w:bCs w:val="1"/>
          <w:color w:val="auto"/>
        </w:rPr>
      </w:pPr>
    </w:p>
    <w:p>
      <w:pPr>
        <w:ind w:left="460"/>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The Company is subject to claims and legal actions in the ordinary course of business. The Company believes such claims will not have a material adverse effect on its financial position or results of operations.</w:t>
      </w:r>
    </w:p>
    <w:p>
      <w:pPr>
        <w:spacing w:after="0" w:line="247" w:lineRule="exact"/>
        <w:rPr>
          <w:rFonts w:ascii="Arial" w:cs="Arial" w:eastAsia="Arial" w:hAnsi="Arial"/>
          <w:sz w:val="18"/>
          <w:szCs w:val="18"/>
          <w:b w:val="1"/>
          <w:bCs w:val="1"/>
          <w:color w:val="auto"/>
        </w:rPr>
      </w:pPr>
    </w:p>
    <w:p>
      <w:pPr>
        <w:ind w:left="460" w:hanging="452"/>
        <w:spacing w:after="0"/>
        <w:tabs>
          <w:tab w:leader="none" w:pos="46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w:t>
      </w:r>
    </w:p>
    <w:p>
      <w:pPr>
        <w:spacing w:after="0" w:line="96" w:lineRule="exact"/>
        <w:rPr>
          <w:rFonts w:ascii="Arial" w:cs="Arial" w:eastAsia="Arial" w:hAnsi="Arial"/>
          <w:sz w:val="18"/>
          <w:szCs w:val="18"/>
          <w:b w:val="1"/>
          <w:bCs w:val="1"/>
          <w:color w:val="auto"/>
        </w:rPr>
      </w:pPr>
    </w:p>
    <w:p>
      <w:pPr>
        <w:ind w:left="460" w:right="280"/>
        <w:spacing w:after="0" w:line="370" w:lineRule="auto"/>
        <w:rPr>
          <w:rFonts w:ascii="Arial" w:cs="Arial" w:eastAsia="Arial" w:hAnsi="Arial"/>
          <w:sz w:val="18"/>
          <w:szCs w:val="18"/>
          <w:b w:val="1"/>
          <w:bCs w:val="1"/>
          <w:color w:val="auto"/>
        </w:rPr>
      </w:pPr>
      <w:r>
        <w:rPr>
          <w:rFonts w:ascii="Arial" w:cs="Arial" w:eastAsia="Arial" w:hAnsi="Arial"/>
          <w:sz w:val="15"/>
          <w:szCs w:val="15"/>
          <w:color w:val="auto"/>
        </w:rPr>
        <w:t>On October 30, 2007, the Company declared a cash dividend of $0.15 per share on each share of the Company’s common stock (including outstanding restricted stock) to stockholders of record on November 21, 2007. The Company will use available cash to pay the dividend on December 6, 2007.</w:t>
      </w:r>
    </w:p>
    <w:p>
      <w:pPr>
        <w:spacing w:after="0" w:line="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 * * * *</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40"/>
          </w:cols>
          <w:pgMar w:left="240" w:top="459" w:right="31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u w:val="single" w:color="auto"/>
          <w:color w:val="auto"/>
        </w:rPr>
        <w:t>Unaudited Pro Forma Financial Information</w:t>
      </w:r>
    </w:p>
    <w:p>
      <w:pPr>
        <w:spacing w:after="0" w:line="96" w:lineRule="exact"/>
        <w:rPr>
          <w:sz w:val="20"/>
          <w:szCs w:val="20"/>
          <w:color w:val="auto"/>
        </w:rPr>
      </w:pPr>
    </w:p>
    <w:p>
      <w:pPr>
        <w:ind w:right="60" w:firstLine="456"/>
        <w:spacing w:after="0" w:line="290" w:lineRule="auto"/>
        <w:rPr>
          <w:sz w:val="20"/>
          <w:szCs w:val="20"/>
          <w:color w:val="auto"/>
        </w:rPr>
      </w:pPr>
      <w:r>
        <w:rPr>
          <w:rFonts w:ascii="Arial" w:cs="Arial" w:eastAsia="Arial" w:hAnsi="Arial"/>
          <w:sz w:val="16"/>
          <w:szCs w:val="16"/>
          <w:i w:val="1"/>
          <w:iCs w:val="1"/>
          <w:color w:val="auto"/>
        </w:rPr>
        <w:t>You should read this unaudited pro forma condensed consolidated financial information together with the other information contained in this document, as well as information contained in our Form 10-K filed with the Securities and Exchange Commission on March 28, 2007 for the fiscal year ended December 28, 2006, including “Business-Corporate History,” “Business-Reorganization,” “Management’s Discussion and Analysis of Financial Condition and Results of Operations,” “Executive Compensation” and with our unaudited historical financial statements and the notes thereto included elsewhere in this document. This discussion contains forward-looking statements that are subject to known and unknown risks and uncertainties. Actual results and the timing of events may differ significantly from those expressed or implied in such forward-looking statements due to a number of factors, including those set forth in the section entitled “Risk Factors” in our Form 10-K and elsewhere in this document.</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The following unaudited pro forma condensed consolidated statements of operations for the nine months ended September 27, 2007 and the quarter and nine months ended September 28, 2006 present the consolidated results of operations of NCM, Inc. assuming the initial public offering, reorganization and senior secured credit facility transactions discussed in detail in our Form 10-K filed with the Securities and Exchange Commission on March 28, 2007 for the fiscal year ended December 28, 2006 had been completed and the material changes to contractual arrangements, which occurred in connection with the completion of the IPO and related transactions described had become effective as of December 30, 2005. The pro forma adjustments are based on available information and upon assumptions that management believes are reasonable in order to reflect, on a pro forma basis, the impact of the historical adjustments listed below and the transaction adjustments listed below on our operating results. The pro forma statements of operations do not include the full impact of additional administrative costs of a public company. The adjustments as set forth below are described in detail in the notes to the unaudited pro forma condensed consolidated statements of operations and principally include the matters set forth below.</w:t>
      </w:r>
    </w:p>
    <w:p>
      <w:pPr>
        <w:spacing w:after="0" w:line="120"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The contractual adjustments include adjustments to reflect the terms of the amended and restated ESAs entered into in connection with the completion of the IPO, which are included herein due to the significant business and financial differences from the previous contractual arrangements with our founding members and which will have ongoing material significance to our results of operations, as compared to our historical results of operations, in that they (i) assign legacy contracts to NCM LLC and eliminate the related administration fee, (ii) make additional inventory of lobby promotions, CineMeetings and Fathom events available to NCM LLC on a pre-approved basis, (iii) make additional theatre advertising inventory available to NCM LLC subject to the founding members’ rights to buy such inventory at stated rates in order for them to fulfill their on-screen advertising commitments with their beverage concessionaires and (iv) change the circuit share expense to the theatre access fee, resulting in lower payments as a percentage of revenue to our founding members.</w:t>
      </w:r>
    </w:p>
    <w:p>
      <w:pPr>
        <w:spacing w:after="0" w:line="118"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Legacy contracts are those advertising contracts entered into by Regal and AMC prior to the formation of NCM LLC that were retained by Regal and AMC and managed by NCM LLC for a fee.</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transaction adjustments result from:</w:t>
      </w:r>
    </w:p>
    <w:p>
      <w:pPr>
        <w:spacing w:after="0" w:line="90" w:lineRule="exact"/>
        <w:rPr>
          <w:sz w:val="20"/>
          <w:szCs w:val="20"/>
          <w:color w:val="auto"/>
        </w:rPr>
      </w:pPr>
    </w:p>
    <w:p>
      <w:pPr>
        <w:ind w:left="900" w:right="20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replacement of employee unit options with Company stock options and the grant of additional stock options and restricted stock tied to the unit options;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completion of the offering and the use of proceeds therefrom, including NCM, Inc.’s acquisition of 44.8% of the common membership units of</w:t>
      </w:r>
    </w:p>
    <w:p>
      <w:pPr>
        <w:spacing w:after="0" w:line="38" w:lineRule="exact"/>
        <w:rPr>
          <w:rFonts w:ascii="Arial" w:cs="Arial" w:eastAsia="Arial" w:hAnsi="Arial"/>
          <w:sz w:val="16"/>
          <w:szCs w:val="16"/>
          <w:color w:val="auto"/>
        </w:rPr>
      </w:pPr>
    </w:p>
    <w:p>
      <w:pPr>
        <w:ind w:left="900"/>
        <w:spacing w:after="0"/>
        <w:rPr>
          <w:rFonts w:ascii="Arial" w:cs="Arial" w:eastAsia="Arial" w:hAnsi="Arial"/>
          <w:sz w:val="16"/>
          <w:szCs w:val="16"/>
          <w:color w:val="auto"/>
        </w:rPr>
      </w:pPr>
      <w:r>
        <w:rPr>
          <w:rFonts w:ascii="Arial" w:cs="Arial" w:eastAsia="Arial" w:hAnsi="Arial"/>
          <w:sz w:val="18"/>
          <w:szCs w:val="18"/>
          <w:color w:val="auto"/>
        </w:rPr>
        <w:t>NCM LLC;</w:t>
      </w:r>
    </w:p>
    <w:p>
      <w:pPr>
        <w:spacing w:after="0" w:line="83" w:lineRule="exact"/>
        <w:rPr>
          <w:rFonts w:ascii="Arial" w:cs="Arial" w:eastAsia="Arial" w:hAnsi="Arial"/>
          <w:sz w:val="16"/>
          <w:szCs w:val="16"/>
          <w:color w:val="auto"/>
        </w:rPr>
      </w:pPr>
    </w:p>
    <w:p>
      <w:pPr>
        <w:ind w:left="900" w:right="8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completion of the financing transaction, pursuant to which all the preferred membership units of NCM LLC were redeemed from the proceeds of the term loan portion of a new senior secured credit facility;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income tax provision to account for NCM, Inc.’s status as a taxable entity.</w:t>
      </w:r>
    </w:p>
    <w:p>
      <w:pPr>
        <w:spacing w:after="0" w:line="171"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unaudited pro forma condensed consolidated financial information is included for informational purposes only and does not purport to reflect the results of operations or financial position of NCM, Inc. and NCM LLC that would have occurred had they operated as separate, independent companies during the periods presented. The historical results of operations of the Company have been significantly impacted by related party transactions, as discussed more fully in the unaudited historical financial statements included elsewhere in this document, and the future operating results of NCM, Inc. will also be impacted by related party transactions. Historical and pro forma results of operations are not necessarily indicative of what would have occurred had all transactions occurred with unrelated parties. Also, the pro forma condensed consolidated financial information should not be relied upon as being indicative of NCM, Inc. or NCM LLC’s results of operations had the contractual adjustments and the transaction adjustments been completed on December 30, 2005. The unaudited pro forma condensed consolidated financial information also does not project the results of operations or financial position for any future period or date.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27,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Pre-IPO period</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8"/>
              </w:rPr>
              <w:t>Post-IPO period</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December 29, 2006</w:t>
            </w:r>
          </w:p>
        </w:tc>
        <w:tc>
          <w:tcPr>
            <w:tcW w:w="400" w:type="dxa"/>
            <w:vAlign w:val="bottom"/>
          </w:tcPr>
          <w:p>
            <w:pPr>
              <w:spacing w:after="0"/>
              <w:rPr>
                <w:sz w:val="12"/>
                <w:szCs w:val="12"/>
                <w:color w:val="auto"/>
              </w:rPr>
            </w:pPr>
          </w:p>
        </w:tc>
        <w:tc>
          <w:tcPr>
            <w:tcW w:w="14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February 13, 2007</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6"/>
              </w:rPr>
              <w:t>through</w:t>
            </w: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through</w:t>
            </w:r>
          </w:p>
        </w:tc>
        <w:tc>
          <w:tcPr>
            <w:tcW w:w="2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7"/>
              </w:rPr>
              <w:t>September 27, 2007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80" w:type="dxa"/>
            <w:vAlign w:val="bottom"/>
            <w:gridSpan w:val="3"/>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February 12, 2007</w:t>
            </w:r>
          </w:p>
        </w:tc>
        <w:tc>
          <w:tcPr>
            <w:tcW w:w="400" w:type="dxa"/>
            <w:vAlign w:val="bottom"/>
          </w:tcPr>
          <w:p>
            <w:pPr>
              <w:spacing w:after="0"/>
              <w:rPr>
                <w:sz w:val="12"/>
                <w:szCs w:val="12"/>
                <w:color w:val="auto"/>
              </w:rPr>
            </w:pPr>
          </w:p>
        </w:tc>
        <w:tc>
          <w:tcPr>
            <w:tcW w:w="14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September 27, 2007</w:t>
            </w:r>
          </w:p>
        </w:tc>
        <w:tc>
          <w:tcPr>
            <w:tcW w:w="260" w:type="dxa"/>
            <w:vAlign w:val="bottom"/>
          </w:tcPr>
          <w:p>
            <w:pPr>
              <w:spacing w:after="0"/>
              <w:rPr>
                <w:sz w:val="12"/>
                <w:szCs w:val="12"/>
                <w:color w:val="auto"/>
              </w:rPr>
            </w:pPr>
          </w:p>
        </w:tc>
        <w:tc>
          <w:tcPr>
            <w:tcW w:w="13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Contractual</w:t>
            </w: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Transaction</w:t>
            </w:r>
          </w:p>
        </w:tc>
        <w:tc>
          <w:tcPr>
            <w:tcW w:w="120" w:type="dxa"/>
            <w:vAlign w:val="bottom"/>
          </w:tcPr>
          <w:p>
            <w:pPr>
              <w:spacing w:after="0"/>
              <w:rPr>
                <w:sz w:val="12"/>
                <w:szCs w:val="12"/>
                <w:color w:val="auto"/>
              </w:rPr>
            </w:pPr>
          </w:p>
        </w:tc>
        <w:tc>
          <w:tcPr>
            <w:tcW w:w="10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9"/>
              </w:rPr>
              <w:t>Pro Forma, As</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Historical</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2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7"/>
              </w:rPr>
              <w:t>Historical</w:t>
            </w:r>
          </w:p>
        </w:tc>
        <w:tc>
          <w:tcPr>
            <w:tcW w:w="26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2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6"/>
              </w:rPr>
              <w:t>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20.6</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197.1</w:t>
            </w:r>
          </w:p>
        </w:tc>
        <w:tc>
          <w:tcPr>
            <w:tcW w:w="280" w:type="dxa"/>
            <w:vAlign w:val="bottom"/>
          </w:tcPr>
          <w:p>
            <w:pPr>
              <w:spacing w:after="0"/>
              <w:rPr>
                <w:sz w:val="18"/>
                <w:szCs w:val="18"/>
                <w:color w:val="auto"/>
              </w:rPr>
            </w:pPr>
          </w:p>
        </w:tc>
        <w:tc>
          <w:tcPr>
            <w:tcW w:w="5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6.2</w:t>
            </w:r>
          </w:p>
        </w:tc>
        <w:tc>
          <w:tcPr>
            <w:tcW w:w="620" w:type="dxa"/>
            <w:vAlign w:val="bottom"/>
          </w:tcPr>
          <w:p>
            <w:pPr>
              <w:spacing w:after="0"/>
              <w:rPr>
                <w:sz w:val="18"/>
                <w:szCs w:val="18"/>
                <w:color w:val="auto"/>
              </w:rPr>
            </w:pPr>
          </w:p>
        </w:tc>
        <w:tc>
          <w:tcPr>
            <w:tcW w:w="28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223.9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fees—founding members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Meetings and events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2.9</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16.5</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(0.1)</w:t>
            </w:r>
          </w:p>
        </w:tc>
        <w:tc>
          <w:tcPr>
            <w:tcW w:w="28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23.6</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213.7</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6.1</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38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40" w:type="dxa"/>
            <w:vAlign w:val="bottom"/>
            <w:tcBorders>
              <w:top w:val="single" w:sz="8" w:color="auto"/>
            </w:tcBorders>
          </w:tcPr>
          <w:p>
            <w:pPr>
              <w:spacing w:after="0"/>
              <w:rPr>
                <w:sz w:val="10"/>
                <w:szCs w:val="10"/>
                <w:color w:val="auto"/>
              </w:rPr>
            </w:pPr>
          </w:p>
        </w:tc>
        <w:tc>
          <w:tcPr>
            <w:tcW w:w="2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48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46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6.2</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Meetings and events operating costs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Circuit share costs/theatre access fees—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800" w:type="dxa"/>
            <w:vAlign w:val="bottom"/>
            <w:shd w:val="clear" w:color="auto" w:fill="CCEEFF"/>
          </w:tcPr>
          <w:p>
            <w:pPr>
              <w:ind w:left="640"/>
              <w:spacing w:after="0"/>
              <w:rPr>
                <w:sz w:val="20"/>
                <w:szCs w:val="20"/>
                <w:color w:val="auto"/>
              </w:rPr>
            </w:pPr>
            <w:r>
              <w:rPr>
                <w:rFonts w:ascii="Arial" w:cs="Arial" w:eastAsia="Arial" w:hAnsi="Arial"/>
                <w:sz w:val="18"/>
                <w:szCs w:val="18"/>
                <w:color w:val="auto"/>
              </w:rPr>
              <w:t>founding members</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Selling and marketing costs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27.9</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costs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Severance plan costs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w:t>
            </w: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06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42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(7.7)</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Operating Income/(Loss)</w:t>
            </w: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82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(4.1)</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111.0</w:t>
            </w: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13.8</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120.6</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8.1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820" w:type="dxa"/>
            <w:vAlign w:val="bottom"/>
            <w:gridSpan w:val="2"/>
          </w:tcPr>
          <w:p>
            <w:pPr>
              <w:spacing w:after="0"/>
              <w:rPr>
                <w:sz w:val="20"/>
                <w:szCs w:val="20"/>
                <w:color w:val="auto"/>
              </w:rPr>
            </w:pPr>
            <w:r>
              <w:rPr>
                <w:rFonts w:ascii="Arial" w:cs="Arial" w:eastAsia="Arial" w:hAnsi="Arial"/>
                <w:sz w:val="18"/>
                <w:szCs w:val="18"/>
                <w:color w:val="auto"/>
                <w:w w:val="98"/>
              </w:rPr>
              <w:t>Income/(Loss) before income taxes and minority</w:t>
            </w: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ind w:left="200"/>
              <w:spacing w:after="0"/>
              <w:rPr>
                <w:sz w:val="20"/>
                <w:szCs w:val="20"/>
                <w:color w:val="auto"/>
              </w:rPr>
            </w:pPr>
            <w:r>
              <w:rPr>
                <w:rFonts w:ascii="Arial" w:cs="Arial" w:eastAsia="Arial" w:hAnsi="Arial"/>
                <w:sz w:val="18"/>
                <w:szCs w:val="18"/>
                <w:color w:val="auto"/>
              </w:rPr>
              <w:t>interest</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70.3</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13.8</w:t>
            </w: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540"/>
              <w:spacing w:after="0"/>
              <w:rPr>
                <w:sz w:val="20"/>
                <w:szCs w:val="20"/>
                <w:color w:val="auto"/>
              </w:rPr>
            </w:pPr>
            <w:r>
              <w:rPr>
                <w:rFonts w:ascii="Arial" w:cs="Arial" w:eastAsia="Arial" w:hAnsi="Arial"/>
                <w:sz w:val="18"/>
                <w:szCs w:val="18"/>
                <w:color w:val="auto"/>
              </w:rPr>
              <w:t>(8.2)</w:t>
            </w:r>
          </w:p>
        </w:tc>
        <w:tc>
          <w:tcPr>
            <w:tcW w:w="120" w:type="dxa"/>
            <w:vAlign w:val="bottom"/>
          </w:tcPr>
          <w:p>
            <w:pPr>
              <w:spacing w:after="0"/>
              <w:rPr>
                <w:sz w:val="19"/>
                <w:szCs w:val="19"/>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8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60" w:type="dxa"/>
            <w:vAlign w:val="bottom"/>
          </w:tcPr>
          <w:p>
            <w:pPr>
              <w:spacing w:after="0"/>
              <w:rPr>
                <w:sz w:val="9"/>
                <w:szCs w:val="9"/>
                <w:color w:val="auto"/>
              </w:rPr>
            </w:pPr>
          </w:p>
        </w:tc>
        <w:tc>
          <w:tcPr>
            <w:tcW w:w="26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4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0.7</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3820" w:type="dxa"/>
            <w:vAlign w:val="bottom"/>
            <w:gridSpan w:val="2"/>
          </w:tcPr>
          <w:p>
            <w:pPr>
              <w:spacing w:after="0"/>
              <w:rPr>
                <w:sz w:val="20"/>
                <w:szCs w:val="20"/>
                <w:color w:val="auto"/>
              </w:rPr>
            </w:pPr>
            <w:r>
              <w:rPr>
                <w:rFonts w:ascii="Arial" w:cs="Arial" w:eastAsia="Arial" w:hAnsi="Arial"/>
                <w:sz w:val="18"/>
                <w:szCs w:val="18"/>
                <w:color w:val="auto"/>
              </w:rPr>
              <w:t>Minority interest, net</w:t>
            </w: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ind w:left="220"/>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6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(4.2)</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28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82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Diluted</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0.39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Nine Months Ended September 28,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4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4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16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2006 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9"/>
              </w:rPr>
              <w:t>2006</w:t>
            </w:r>
          </w:p>
        </w:tc>
        <w:tc>
          <w:tcPr>
            <w:tcW w:w="3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8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60" w:type="dxa"/>
            <w:vAlign w:val="bottom"/>
          </w:tcPr>
          <w:p>
            <w:pPr>
              <w:spacing w:after="0"/>
              <w:rPr>
                <w:sz w:val="12"/>
                <w:szCs w:val="12"/>
                <w:color w:val="auto"/>
              </w:rPr>
            </w:pPr>
          </w:p>
        </w:tc>
        <w:tc>
          <w:tcPr>
            <w:tcW w:w="1360" w:type="dxa"/>
            <w:vAlign w:val="bottom"/>
            <w:gridSpan w:val="3"/>
          </w:tcPr>
          <w:p>
            <w:pPr>
              <w:jc w:val="right"/>
              <w:ind w:right="640"/>
              <w:spacing w:after="0" w:line="149" w:lineRule="exact"/>
              <w:rPr>
                <w:sz w:val="20"/>
                <w:szCs w:val="20"/>
                <w:color w:val="auto"/>
              </w:rPr>
            </w:pPr>
            <w:r>
              <w:rPr>
                <w:rFonts w:ascii="Arial" w:cs="Arial" w:eastAsia="Arial" w:hAnsi="Arial"/>
                <w:sz w:val="14"/>
                <w:szCs w:val="14"/>
                <w:b w:val="1"/>
                <w:bCs w:val="1"/>
                <w:color w:val="auto"/>
                <w:w w:val="88"/>
              </w:rPr>
              <w:t>Transaction</w:t>
            </w: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Forma, As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7"/>
              </w:rPr>
              <w:t>Historical</w:t>
            </w:r>
          </w:p>
        </w:tc>
        <w:tc>
          <w:tcPr>
            <w:tcW w:w="280" w:type="dxa"/>
            <w:vAlign w:val="bottom"/>
          </w:tcPr>
          <w:p>
            <w:pPr>
              <w:spacing w:after="0"/>
              <w:rPr>
                <w:sz w:val="14"/>
                <w:szCs w:val="14"/>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4"/>
                <w:szCs w:val="14"/>
                <w:color w:val="auto"/>
              </w:rPr>
            </w:pPr>
          </w:p>
        </w:tc>
        <w:tc>
          <w:tcPr>
            <w:tcW w:w="13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3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128.2</w:t>
            </w:r>
          </w:p>
        </w:tc>
        <w:tc>
          <w:tcPr>
            <w:tcW w:w="500" w:type="dxa"/>
            <w:vAlign w:val="bottom"/>
            <w:gridSpan w:val="2"/>
          </w:tcPr>
          <w:p>
            <w:pPr>
              <w:ind w:left="28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47.2</w:t>
            </w:r>
          </w:p>
        </w:tc>
        <w:tc>
          <w:tcPr>
            <w:tcW w:w="340" w:type="dxa"/>
            <w:vAlign w:val="bottom"/>
          </w:tcPr>
          <w:p>
            <w:pPr>
              <w:spacing w:after="0"/>
              <w:rPr>
                <w:sz w:val="18"/>
                <w:szCs w:val="18"/>
                <w:color w:val="auto"/>
              </w:rPr>
            </w:pPr>
          </w:p>
        </w:tc>
        <w:tc>
          <w:tcPr>
            <w:tcW w:w="50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175.4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 – founding members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(4.3)</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Meetings and events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12.5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vMerge w:val="restart"/>
          </w:tcPr>
          <w:p>
            <w:pPr>
              <w:ind w:left="860"/>
              <w:spacing w:after="0"/>
              <w:rPr>
                <w:sz w:val="20"/>
                <w:szCs w:val="20"/>
                <w:color w:val="auto"/>
              </w:rPr>
            </w:pPr>
            <w:r>
              <w:rPr>
                <w:rFonts w:ascii="Arial" w:cs="Arial" w:eastAsia="Arial" w:hAnsi="Arial"/>
                <w:sz w:val="18"/>
                <w:szCs w:val="18"/>
                <w:color w:val="auto"/>
              </w:rPr>
              <w:t>TOTAL REVENUE</w:t>
            </w:r>
          </w:p>
        </w:tc>
        <w:tc>
          <w:tcPr>
            <w:tcW w:w="1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vMerge w:val="continue"/>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145.2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42.9</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188.1</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08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6.0</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Meetings and events operating costs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4.5</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Circuit share costs/theatre access fees – founding members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88.6</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Selling and marketing costs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27.9</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costs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Severance plan costs</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3.4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3.4</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Other</w:t>
            </w: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0.4</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7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156.1</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(53.5)</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Income/(Loss)</w:t>
            </w:r>
          </w:p>
        </w:tc>
        <w:tc>
          <w:tcPr>
            <w:tcW w:w="1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gridSpan w:val="2"/>
            <w:vMerge w:val="continue"/>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(10.9)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85.1</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Income/(Loss) before income taxes and minority interest</w:t>
            </w:r>
          </w:p>
        </w:tc>
        <w:tc>
          <w:tcPr>
            <w:tcW w:w="13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gridSpan w:val="2"/>
            <w:vMerge w:val="continue"/>
          </w:tcPr>
          <w:p>
            <w:pPr>
              <w:spacing w:after="0"/>
              <w:rPr>
                <w:sz w:val="19"/>
                <w:szCs w:val="19"/>
                <w:color w:val="auto"/>
              </w:rPr>
            </w:pP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8"/>
                <w:szCs w:val="18"/>
                <w:color w:val="auto"/>
              </w:rPr>
              <w:t>(11.2)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96.4</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560"/>
              <w:spacing w:after="0"/>
              <w:rPr>
                <w:sz w:val="20"/>
                <w:szCs w:val="20"/>
                <w:color w:val="auto"/>
              </w:rPr>
            </w:pPr>
            <w:r>
              <w:rPr>
                <w:rFonts w:ascii="Arial" w:cs="Arial" w:eastAsia="Arial" w:hAnsi="Arial"/>
                <w:sz w:val="18"/>
                <w:szCs w:val="18"/>
                <w:color w:val="auto"/>
              </w:rPr>
              <w:t>(48.8)</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136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2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31"/>
        </w:trPr>
        <w:tc>
          <w:tcPr>
            <w:tcW w:w="5100" w:type="dxa"/>
            <w:vAlign w:val="bottom"/>
            <w:gridSpan w:val="2"/>
          </w:tcPr>
          <w:p>
            <w:pPr>
              <w:spacing w:after="0"/>
              <w:rPr>
                <w:sz w:val="20"/>
                <w:szCs w:val="20"/>
                <w:color w:val="auto"/>
              </w:rPr>
            </w:pPr>
            <w:r>
              <w:rPr>
                <w:rFonts w:ascii="Arial" w:cs="Arial" w:eastAsia="Arial" w:hAnsi="Arial"/>
                <w:sz w:val="18"/>
                <w:szCs w:val="18"/>
                <w:color w:val="auto"/>
              </w:rPr>
              <w:t>Minority interest, net</w:t>
            </w:r>
          </w:p>
        </w:tc>
        <w:tc>
          <w:tcPr>
            <w:tcW w:w="13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6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(11.2)</w:t>
            </w:r>
          </w:p>
        </w:tc>
        <w:tc>
          <w:tcPr>
            <w:tcW w:w="50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w:t>
            </w:r>
          </w:p>
        </w:tc>
        <w:tc>
          <w:tcPr>
            <w:tcW w:w="34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(75.4)</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3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00" w:type="dxa"/>
            <w:vAlign w:val="bottom"/>
            <w:gridSpan w:val="2"/>
            <w:vMerge w:val="continue"/>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Diluted</w:t>
            </w:r>
          </w:p>
        </w:tc>
        <w:tc>
          <w:tcPr>
            <w:tcW w:w="1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0.23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360" w:type="dxa"/>
            <w:vAlign w:val="bottom"/>
          </w:tcPr>
          <w:p>
            <w:pPr>
              <w:jc w:val="right"/>
              <w:ind w:right="572"/>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Quarter Ended September 28, 2006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in millions, except per share data)</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Quarter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4"/>
              </w:rPr>
              <w:t>Quarter</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8"/>
              </w:rPr>
              <w:t>Ended</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20" w:type="dxa"/>
            <w:vAlign w:val="bottom"/>
            <w:gridSpan w:val="3"/>
          </w:tcPr>
          <w:p>
            <w:pPr>
              <w:jc w:val="center"/>
              <w:ind w:right="600"/>
              <w:spacing w:after="0" w:line="149" w:lineRule="exact"/>
              <w:rPr>
                <w:sz w:val="20"/>
                <w:szCs w:val="20"/>
                <w:color w:val="auto"/>
              </w:rPr>
            </w:pPr>
            <w:r>
              <w:rPr>
                <w:rFonts w:ascii="Arial" w:cs="Arial" w:eastAsia="Arial" w:hAnsi="Arial"/>
                <w:sz w:val="14"/>
                <w:szCs w:val="14"/>
                <w:b w:val="1"/>
                <w:bCs w:val="1"/>
                <w:color w:val="auto"/>
                <w:w w:val="85"/>
              </w:rPr>
              <w:t>September 28,</w:t>
            </w: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85"/>
              </w:rPr>
              <w:t>2006 Pro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89"/>
              </w:rPr>
              <w:t>2006</w:t>
            </w:r>
          </w:p>
        </w:tc>
        <w:tc>
          <w:tcPr>
            <w:tcW w:w="600" w:type="dxa"/>
            <w:vAlign w:val="bottom"/>
          </w:tcPr>
          <w:p>
            <w:pPr>
              <w:spacing w:after="0"/>
              <w:rPr>
                <w:sz w:val="12"/>
                <w:szCs w:val="12"/>
                <w:color w:val="auto"/>
              </w:rPr>
            </w:pPr>
          </w:p>
        </w:tc>
        <w:tc>
          <w:tcPr>
            <w:tcW w:w="13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Contractual</w:t>
            </w:r>
          </w:p>
        </w:tc>
        <w:tc>
          <w:tcPr>
            <w:tcW w:w="1340" w:type="dxa"/>
            <w:vAlign w:val="bottom"/>
            <w:gridSpan w:val="3"/>
          </w:tcPr>
          <w:p>
            <w:pPr>
              <w:jc w:val="right"/>
              <w:ind w:right="620"/>
              <w:spacing w:after="0" w:line="149" w:lineRule="exact"/>
              <w:rPr>
                <w:sz w:val="20"/>
                <w:szCs w:val="20"/>
                <w:color w:val="auto"/>
              </w:rPr>
            </w:pPr>
            <w:r>
              <w:rPr>
                <w:rFonts w:ascii="Arial" w:cs="Arial" w:eastAsia="Arial" w:hAnsi="Arial"/>
                <w:sz w:val="14"/>
                <w:szCs w:val="14"/>
                <w:b w:val="1"/>
                <w:bCs w:val="1"/>
                <w:color w:val="auto"/>
                <w:w w:val="88"/>
              </w:rPr>
              <w:t>Transaction</w:t>
            </w:r>
          </w:p>
        </w:tc>
        <w:tc>
          <w:tcPr>
            <w:tcW w:w="100" w:type="dxa"/>
            <w:vAlign w:val="bottom"/>
          </w:tcPr>
          <w:p>
            <w:pPr>
              <w:spacing w:after="0"/>
              <w:rPr>
                <w:sz w:val="12"/>
                <w:szCs w:val="12"/>
                <w:color w:val="auto"/>
              </w:rPr>
            </w:pPr>
          </w:p>
        </w:tc>
        <w:tc>
          <w:tcPr>
            <w:tcW w:w="74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0"/>
              </w:rPr>
              <w:t>Forma, As</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87"/>
              </w:rPr>
              <w:t>Historical</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34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100" w:type="dxa"/>
            <w:vAlign w:val="bottom"/>
          </w:tcPr>
          <w:p>
            <w:pPr>
              <w:spacing w:after="0"/>
              <w:rPr>
                <w:sz w:val="14"/>
                <w:szCs w:val="14"/>
                <w:color w:val="auto"/>
              </w:rPr>
            </w:pPr>
          </w:p>
        </w:tc>
        <w:tc>
          <w:tcPr>
            <w:tcW w:w="7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Adjusted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Advertising</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54.9</w:t>
            </w:r>
          </w:p>
        </w:tc>
        <w:tc>
          <w:tcPr>
            <w:tcW w:w="6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14.0</w:t>
            </w:r>
          </w:p>
        </w:tc>
        <w:tc>
          <w:tcPr>
            <w:tcW w:w="6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68.9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fees – founding members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(0.8)</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Meetings and events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4.8</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ind w:left="860"/>
              <w:spacing w:after="0"/>
              <w:rPr>
                <w:sz w:val="20"/>
                <w:szCs w:val="20"/>
                <w:color w:val="auto"/>
              </w:rPr>
            </w:pPr>
            <w:r>
              <w:rPr>
                <w:rFonts w:ascii="Arial" w:cs="Arial" w:eastAsia="Arial" w:hAnsi="Arial"/>
                <w:sz w:val="18"/>
                <w:szCs w:val="18"/>
                <w:color w:val="auto"/>
              </w:rPr>
              <w:t>TOTAL REVENUE</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60.7</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13.2</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116"/>
        </w:trPr>
        <w:tc>
          <w:tcPr>
            <w:tcW w:w="20" w:type="dxa"/>
            <w:vAlign w:val="bottom"/>
            <w:vMerge w:val="restart"/>
          </w:tcPr>
          <w:p>
            <w:pPr>
              <w:spacing w:after="0"/>
              <w:rPr>
                <w:sz w:val="10"/>
                <w:szCs w:val="10"/>
                <w:color w:val="auto"/>
              </w:rPr>
            </w:pPr>
          </w:p>
        </w:tc>
        <w:tc>
          <w:tcPr>
            <w:tcW w:w="50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500" w:type="dxa"/>
            <w:vAlign w:val="bottom"/>
            <w:tcBorders>
              <w:top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Advertising operating costs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2.2</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Meetings and events operating costs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Network costs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7"/>
              </w:rPr>
              <w:t>Circuit share costs/theatre access fees – founding members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Selling and marketing costs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9.6</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Administrative costs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Severance plan costs</w:t>
            </w: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0.7</w:t>
            </w: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100" w:type="dxa"/>
            <w:vAlign w:val="bottom"/>
            <w:gridSpan w:val="2"/>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0.7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Depreciation and amortization</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80" w:type="dxa"/>
            <w:vAlign w:val="bottom"/>
          </w:tcPr>
          <w:p>
            <w:pPr>
              <w:ind w:left="420"/>
              <w:spacing w:after="0"/>
              <w:rPr>
                <w:sz w:val="20"/>
                <w:szCs w:val="20"/>
                <w:color w:val="auto"/>
              </w:rPr>
            </w:pPr>
            <w:r>
              <w:rPr>
                <w:rFonts w:ascii="Arial" w:cs="Arial" w:eastAsia="Arial" w:hAnsi="Arial"/>
                <w:sz w:val="18"/>
                <w:szCs w:val="18"/>
                <w:color w:val="auto"/>
              </w:rPr>
              <w:t>Other</w:t>
            </w:r>
          </w:p>
        </w:tc>
        <w:tc>
          <w:tcPr>
            <w:tcW w:w="1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EXPENSES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61.1</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(26.4)</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Operating Income/(Loss)</w:t>
            </w:r>
          </w:p>
        </w:tc>
        <w:tc>
          <w:tcPr>
            <w:tcW w:w="1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gridSpan w:val="2"/>
            <w:vMerge w:val="continue"/>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440"/>
              <w:spacing w:after="0"/>
              <w:rPr>
                <w:sz w:val="20"/>
                <w:szCs w:val="20"/>
                <w:color w:val="auto"/>
              </w:rPr>
            </w:pPr>
            <w:r>
              <w:rPr>
                <w:rFonts w:ascii="Arial" w:cs="Arial" w:eastAsia="Arial" w:hAnsi="Arial"/>
                <w:sz w:val="18"/>
                <w:szCs w:val="18"/>
                <w:color w:val="auto"/>
              </w:rPr>
              <w:t>(0.4)</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39.6</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16.1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Income/(Loss) before income taxes and minority interest</w:t>
            </w:r>
          </w:p>
        </w:tc>
        <w:tc>
          <w:tcPr>
            <w:tcW w:w="1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100" w:type="dxa"/>
            <w:vAlign w:val="bottom"/>
            <w:gridSpan w:val="2"/>
            <w:vMerge w:val="continue"/>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ind w:left="440"/>
              <w:spacing w:after="0"/>
              <w:rPr>
                <w:sz w:val="20"/>
                <w:szCs w:val="20"/>
                <w:color w:val="auto"/>
              </w:rPr>
            </w:pPr>
            <w:r>
              <w:rPr>
                <w:rFonts w:ascii="Arial" w:cs="Arial" w:eastAsia="Arial" w:hAnsi="Arial"/>
                <w:sz w:val="18"/>
                <w:szCs w:val="18"/>
                <w:color w:val="auto"/>
              </w:rPr>
              <w:t>(0.6)</w:t>
            </w:r>
          </w:p>
        </w:tc>
        <w:tc>
          <w:tcPr>
            <w:tcW w:w="24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39.6</w:t>
            </w: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54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9"/>
                <w:szCs w:val="19"/>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22.7</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5080" w:type="dxa"/>
            <w:vAlign w:val="bottom"/>
          </w:tcPr>
          <w:p>
            <w:pPr>
              <w:spacing w:after="0"/>
              <w:rPr>
                <w:sz w:val="9"/>
                <w:szCs w:val="9"/>
                <w:color w:val="auto"/>
              </w:rPr>
            </w:pPr>
          </w:p>
        </w:tc>
        <w:tc>
          <w:tcPr>
            <w:tcW w:w="1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00" w:type="dxa"/>
            <w:vAlign w:val="bottom"/>
          </w:tcPr>
          <w:p>
            <w:pPr>
              <w:spacing w:after="0"/>
              <w:rPr>
                <w:sz w:val="9"/>
                <w:szCs w:val="9"/>
                <w:color w:val="auto"/>
              </w:rPr>
            </w:pPr>
          </w:p>
        </w:tc>
        <w:tc>
          <w:tcPr>
            <w:tcW w:w="6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9.1</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5100" w:type="dxa"/>
            <w:vAlign w:val="bottom"/>
            <w:gridSpan w:val="2"/>
          </w:tcPr>
          <w:p>
            <w:pPr>
              <w:spacing w:after="0"/>
              <w:rPr>
                <w:sz w:val="20"/>
                <w:szCs w:val="20"/>
                <w:color w:val="auto"/>
              </w:rPr>
            </w:pPr>
            <w:r>
              <w:rPr>
                <w:rFonts w:ascii="Arial" w:cs="Arial" w:eastAsia="Arial" w:hAnsi="Arial"/>
                <w:sz w:val="18"/>
                <w:szCs w:val="18"/>
                <w:color w:val="auto"/>
              </w:rPr>
              <w:t>Minority interest, net</w:t>
            </w: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ind w:left="4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4"/>
                <w:szCs w:val="24"/>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INCOME/(LOSS)</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00" w:type="dxa"/>
            <w:vAlign w:val="bottom"/>
            <w:gridSpan w:val="2"/>
            <w:vMerge w:val="restart"/>
          </w:tcPr>
          <w:p>
            <w:pPr>
              <w:spacing w:after="0"/>
              <w:rPr>
                <w:sz w:val="20"/>
                <w:szCs w:val="20"/>
                <w:color w:val="auto"/>
              </w:rPr>
            </w:pPr>
            <w:r>
              <w:rPr>
                <w:rFonts w:ascii="Arial" w:cs="Arial" w:eastAsia="Arial" w:hAnsi="Arial"/>
                <w:sz w:val="18"/>
                <w:szCs w:val="18"/>
                <w:color w:val="auto"/>
              </w:rPr>
              <w:t>Earnings per share:</w:t>
            </w:r>
          </w:p>
        </w:tc>
        <w:tc>
          <w:tcPr>
            <w:tcW w:w="1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100" w:type="dxa"/>
            <w:vAlign w:val="bottom"/>
            <w:gridSpan w:val="2"/>
            <w:vMerge w:val="continue"/>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1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Diluted</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6"/>
        </w:trPr>
        <w:tc>
          <w:tcPr>
            <w:tcW w:w="20" w:type="dxa"/>
            <w:vAlign w:val="bottom"/>
          </w:tcPr>
          <w:p>
            <w:pPr>
              <w:spacing w:after="0"/>
              <w:rPr>
                <w:sz w:val="24"/>
                <w:szCs w:val="24"/>
                <w:color w:val="auto"/>
              </w:rPr>
            </w:pPr>
          </w:p>
        </w:tc>
        <w:tc>
          <w:tcPr>
            <w:tcW w:w="5080" w:type="dxa"/>
            <w:vAlign w:val="bottom"/>
          </w:tcPr>
          <w:p>
            <w:pPr>
              <w:spacing w:after="0"/>
              <w:rPr>
                <w:sz w:val="24"/>
                <w:szCs w:val="24"/>
                <w:color w:val="auto"/>
              </w:rPr>
            </w:pPr>
          </w:p>
        </w:tc>
        <w:tc>
          <w:tcPr>
            <w:tcW w:w="1400" w:type="dxa"/>
            <w:vAlign w:val="bottom"/>
          </w:tcPr>
          <w:p>
            <w:pPr>
              <w:jc w:val="right"/>
              <w:ind w:right="612"/>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Notes to the Pro Forma Condensed Consolidated Statements of Operations:</w:t>
      </w:r>
    </w:p>
    <w:p>
      <w:pPr>
        <w:spacing w:after="0" w:line="90" w:lineRule="exact"/>
        <w:rPr>
          <w:sz w:val="20"/>
          <w:szCs w:val="20"/>
          <w:color w:val="auto"/>
        </w:rPr>
      </w:pPr>
    </w:p>
    <w:p>
      <w:pPr>
        <w:ind w:left="900" w:right="20" w:hanging="446"/>
        <w:spacing w:after="0" w:line="288"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Contractual adjustments represent the increase to advertising revenue to reflect the pro forma assignment from the founding members to NCM LLC of all legacy advertising contracts in accordance with the amended and restated ESAs, based on the actual revenue generated from those legacy contracts and the reversal of the related legacy contract administrative fees historically recorded by NCM LLC. Legacy advertising contracts are those contracts signed by RCM and AMC prior to the formation of NCM LLC. In addition, adjustments include the pro forma effect of the revenue from the sale of additional theatre advertising inventory to the founding members, in accordance with the exhibitor services agreements, in order for the founding members to fulfill their beverage concessionaire agreement on-screen advertising commitments. Contractual adjustments also include the change in circuit share payments pursuant to the exhibitor services agreements. Under the terms of the prior exhibitor service agreements with the founding members, the circuit share payments were based on varying percentages of advertising revenue. Under the amended and restated ESAs, the theatre access fee payments will initially be based on a per attendee and per digital screen calculation.</w:t>
      </w:r>
    </w:p>
    <w:p>
      <w:pPr>
        <w:spacing w:after="0" w:line="38" w:lineRule="exact"/>
        <w:rPr>
          <w:rFonts w:ascii="Arial" w:cs="Arial" w:eastAsia="Arial" w:hAnsi="Arial"/>
          <w:sz w:val="16"/>
          <w:szCs w:val="16"/>
          <w:color w:val="auto"/>
        </w:rPr>
      </w:pPr>
    </w:p>
    <w:p>
      <w:pPr>
        <w:ind w:left="900" w:right="20" w:hanging="446"/>
        <w:spacing w:after="0" w:line="290"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Transaction adjustments represent interest expense on the senior secured lending facility, including amortization of deferred financing fees, over the term of the new senior secured credit facility of approximately $0.5 million per quarter. Interest expense also includes the impact of an interest rate hedge agreement covering approximately 75% of the outstanding balance on the term loan. In addition, an adjustment to reflect minority interest expense is included, net of income tax expense/(benefit), resulting from the founding members’ ownership of approximately 55.2% of the NCM LLC common membership units outstanding immediately after the offering. Transaction adjustments also include adjustments necessary to reflect federal and state income taxes on the income allocated from NCM LLC to NCM, Inc., and the accretion of interest on the discounted payable related to the tax sharing agreement of approximately $2.8 million per quarter.</w:t>
      </w:r>
    </w:p>
    <w:p>
      <w:pPr>
        <w:spacing w:after="0" w:line="37" w:lineRule="exact"/>
        <w:rPr>
          <w:rFonts w:ascii="Arial" w:cs="Arial" w:eastAsia="Arial" w:hAnsi="Arial"/>
          <w:sz w:val="16"/>
          <w:szCs w:val="16"/>
          <w:color w:val="auto"/>
        </w:rPr>
      </w:pPr>
    </w:p>
    <w:p>
      <w:pPr>
        <w:ind w:left="900" w:right="20" w:hanging="446"/>
        <w:spacing w:after="0" w:line="294" w:lineRule="auto"/>
        <w:tabs>
          <w:tab w:leader="none" w:pos="90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Basic earnings per share is calculated on the assumption that the 42,000,000 shares sold in the offering are outstanding over the entire period. Diluted earnings per share is calculated assuming that the unit option shares, as converted and unvested shares of restricted stock are outstanding during periods corresponding to their original issuance date (after application of the treasury stock method). The convertible common membership units of the founding members (which aggregate 51,850,951 shares) are not included as they are antidilutive, due to inclusion in interest expense of non-cash accretion of the discounted tax payable to founding members which is not deducted by NCM LLC.</w:t>
      </w:r>
    </w:p>
    <w:p>
      <w:pPr>
        <w:spacing w:after="0" w:line="2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Management’s Discussion and Analysis of Financial Condition and Results of Operations</w:t>
      </w:r>
    </w:p>
    <w:p>
      <w:pPr>
        <w:spacing w:after="0" w:line="96"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i w:val="1"/>
          <w:iCs w:val="1"/>
          <w:color w:val="auto"/>
        </w:rPr>
        <w:t>Some of the information in this Quarterly Report on Form 10-Q includes “forward-looking statements” within the meaning of Section 27A of the Securities Act of 1933, as amended, and Section 21E of the Securities Exchange Act of 1934, as amended. All statements other than statements of historical facts included in this Form 10-Q, including, without limitation, certain statements under “Management’s Discussion and Analysis of Financial Condition and Results of Operations”, may constitute forward-looking statements. In some cases, you can identify these “forward-looking statements” by the specific words, including but not limited to “may,” “will,” “should,” “expects,” “plans,” “anticipates,” “believes,” “estimates,” “predicts,” “potential” or “continue” or the negative of those words and other comparable words. These forward-looking statements involve risks and uncertainties. Our actual results could differ materially from those indicated in these statements as a result of certain factors as more fully discussed under the heading “Risk Factors” contained in our annual report on Form 10-K filed on March 28, 2007 with the Securities and Exchange Commission for the Company’s fiscal year ended December 28, 2006. The following discussion and analysis should be read in conjunction with the unaudited condensed consolidated financial statement and notes thereto included herein and the audited financial statements and other disclosure included in our annual report on Form 10-K filed on March 28, 2007 with the Securities and Exchange Commission for the Company’s fiscal year ended December 28, 2006.</w:t>
      </w:r>
    </w:p>
    <w:p>
      <w:pPr>
        <w:spacing w:after="0" w:line="12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i w:val="1"/>
          <w:iCs w:val="1"/>
          <w:color w:val="auto"/>
        </w:rPr>
        <w:t>Our historical financial data discussed below prior to the completion of the Company’s IPO reflects the historical results of operations and financial position of NCM LLC. Accordingly, historical financial data does not give effect to the reorganization and the NCM LLC senior secured credit facility completed as part of the NCM, Inc. IPO.</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NCM LLC was formed on March 29, 2005, by AMC and Regal as a joint venture that combined the cinema advertising and meetings and events operations of a wholly owned subsidiary of Regal and the cinema advertising operations of a wholly owned subsidiary of AMCE. On July 15, 2005, Cinemark, through a wholly-owned subsidiary, joined NCM LLC as a founding member. Because Cinemark had a pre-existing contract with another cinema advertising provider, NCM LLC began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selling advertising for Cinemark’s screens on an exclusive basis beginning on January 1, 2006, subject to the run-out of certain pre-existing contractual obligations for on-screen advertising through April 1, 2006. As a result, we began to record revenue from the sale of advertising for Cinemark’s screens on January 1, 2006 on a non-exclusive basis until April 1, 2006. Cinemark acquired Century theatres in October 2006 and NCM LLC began to sell advertising on an exclusive basis in those Century theatres in November 2006.</w:t>
      </w:r>
    </w:p>
    <w:p>
      <w:pPr>
        <w:spacing w:after="0" w:line="143"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results of operations data for the quarter and nine months ended September 28, 2006 and the period December 28, 2006 through February 12, 2007 (the “2007 pre-IPO period”), and the summary balance sheet data as of December 28, 2006 presented herein, were derived from the historical financial statements of NCM LLC. The financial statements for the 2007 pre-IPO period give effect to allocations of revenues and expenses made using relative percentages of founding member attendance or days in each period, specific events or facts and other methods management considered to be a reasonable reflection of the results for such period. The results of operations data for the quarter ended September 27, 2007 and the period February 13, 2007 through September 27, 2007 (the “2007 post-IPO period”) were derived from the unaudited condensed consolidated financial results of NCM, Inc. The historical financial data of NCM LLC may not be indicative of the Company’s future performance nor will such data reflect what its financial position and results of operations would have been had it operated as an independent publicly traded company during the historical periods presented.</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Our revenue is principally derived from the sale of advertising and, to a lesser extent, from our CineMeetings business and Fathom events business. We have long-term exhibitor services agreements with NCM LLC’s founding members and multi-year agreements with several other unrelated theatre operators, whom we refer to as network affiliates. The exhibitor services agreements with the founding members and network affiliate agreements grant us exclusive rights, subject to limited exceptions, to sell advertising and meeting services and distribute entertainment programming in those theatres using our digital content network technology. Our advertising, CineMeetings and Fathom events are distributed primarily to theatres that are digitally equipped with our proprietary digital content network technology. In excess of 90% of the aggregate founding member and network affiliate theatre attendance is included in our digital network.</w:t>
      </w:r>
    </w:p>
    <w:p>
      <w:pPr>
        <w:spacing w:after="0" w:line="12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Management focuses on several measurements that we believe provide us with the necessary ratios and key performance indicators for us to manage our business and to determine how we are performing versus our internal goals and targets, and against the performance of our competitors and other benchmarks in the marketplace in which we operate. Management confers monthly to discuss and analyze significant variances in an effort to identify trends and changes in our business. As noted below, we focus on changes in EBITDA, Adjusted EBITDA and Adjusted EBITDA margin as some of our primary measurement metrics. In addition, we pay particular attention to our monthly advertising performance measurements, including advertising inventory utilization, pricing (CPM), advertising revenue per founding member attendee and the number of CineMeetings and Fathom event locations and revenue per location. Finally, we monitor our operating cash flow and revolving credit facility availability to ensure that debt and declared dividend obligations can be met.</w:t>
      </w:r>
    </w:p>
    <w:p>
      <w:pPr>
        <w:spacing w:after="0" w:line="118"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 following table presents operating data and EBITDA on a historical and a pro forma basis. See “—EBITDA” below for a discussion of the calculation of adjusted EBITDA and reconciliation to net income.</w:t>
      </w:r>
    </w:p>
    <w:p>
      <w:pPr>
        <w:spacing w:after="0" w:line="2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0"/>
              </w:rPr>
              <w:t>Historical</w:t>
            </w:r>
          </w:p>
        </w:tc>
        <w:tc>
          <w:tcPr>
            <w:tcW w:w="6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3"/>
          </w:tcPr>
          <w:p>
            <w:pPr>
              <w:jc w:val="center"/>
              <w:ind w:right="200"/>
              <w:spacing w:after="0"/>
              <w:rPr>
                <w:sz w:val="20"/>
                <w:szCs w:val="20"/>
                <w:color w:val="auto"/>
              </w:rPr>
            </w:pPr>
            <w:r>
              <w:rPr>
                <w:rFonts w:ascii="Arial" w:cs="Arial" w:eastAsia="Arial" w:hAnsi="Arial"/>
                <w:sz w:val="14"/>
                <w:szCs w:val="14"/>
                <w:b w:val="1"/>
                <w:bCs w:val="1"/>
                <w:color w:val="auto"/>
                <w:w w:val="91"/>
              </w:rPr>
              <w:t>Pro Forma</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129"/>
        </w:trPr>
        <w:tc>
          <w:tcPr>
            <w:tcW w:w="4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20" w:type="dxa"/>
            <w:vAlign w:val="bottom"/>
            <w:gridSpan w:val="2"/>
          </w:tcPr>
          <w:p>
            <w:pPr>
              <w:jc w:val="center"/>
              <w:ind w:right="312"/>
              <w:spacing w:after="0" w:line="129" w:lineRule="exact"/>
              <w:rPr>
                <w:sz w:val="20"/>
                <w:szCs w:val="20"/>
                <w:color w:val="auto"/>
              </w:rPr>
            </w:pPr>
            <w:r>
              <w:rPr>
                <w:rFonts w:ascii="Arial" w:cs="Arial" w:eastAsia="Arial" w:hAnsi="Arial"/>
                <w:sz w:val="14"/>
                <w:szCs w:val="14"/>
                <w:b w:val="1"/>
                <w:bCs w:val="1"/>
                <w:color w:val="auto"/>
                <w:w w:val="91"/>
              </w:rPr>
              <w:t>Post-IPO</w:t>
            </w: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gridSpan w:val="2"/>
          </w:tcPr>
          <w:p>
            <w:pPr>
              <w:jc w:val="center"/>
              <w:ind w:right="240"/>
              <w:spacing w:after="0" w:line="129" w:lineRule="exact"/>
              <w:rPr>
                <w:sz w:val="20"/>
                <w:szCs w:val="20"/>
                <w:color w:val="auto"/>
              </w:rPr>
            </w:pPr>
            <w:r>
              <w:rPr>
                <w:rFonts w:ascii="Arial" w:cs="Arial" w:eastAsia="Arial" w:hAnsi="Arial"/>
                <w:sz w:val="14"/>
                <w:szCs w:val="14"/>
                <w:b w:val="1"/>
                <w:bCs w:val="1"/>
                <w:color w:val="auto"/>
                <w:w w:val="93"/>
              </w:rPr>
              <w:t>Pre-IPO</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jc w:val="center"/>
              <w:ind w:right="19"/>
              <w:spacing w:after="0" w:line="129" w:lineRule="exact"/>
              <w:rPr>
                <w:sz w:val="20"/>
                <w:szCs w:val="20"/>
                <w:color w:val="auto"/>
              </w:rPr>
            </w:pPr>
            <w:r>
              <w:rPr>
                <w:rFonts w:ascii="Arial" w:cs="Arial" w:eastAsia="Arial" w:hAnsi="Arial"/>
                <w:sz w:val="14"/>
                <w:szCs w:val="14"/>
                <w:b w:val="1"/>
                <w:bCs w:val="1"/>
                <w:color w:val="auto"/>
                <w:w w:val="85"/>
              </w:rPr>
              <w:t>Nine</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2"/>
              </w:rPr>
              <w:t>Nine</w:t>
            </w:r>
          </w:p>
        </w:tc>
        <w:tc>
          <w:tcPr>
            <w:tcW w:w="80" w:type="dxa"/>
            <w:vAlign w:val="bottom"/>
          </w:tcPr>
          <w:p>
            <w:pPr>
              <w:spacing w:after="0"/>
              <w:rPr>
                <w:sz w:val="11"/>
                <w:szCs w:val="11"/>
                <w:color w:val="auto"/>
              </w:rPr>
            </w:pPr>
          </w:p>
        </w:tc>
        <w:tc>
          <w:tcPr>
            <w:tcW w:w="420" w:type="dxa"/>
            <w:vAlign w:val="bottom"/>
          </w:tcPr>
          <w:p>
            <w:pPr>
              <w:jc w:val="right"/>
              <w:ind w:right="39"/>
              <w:spacing w:after="0" w:line="129" w:lineRule="exact"/>
              <w:rPr>
                <w:sz w:val="20"/>
                <w:szCs w:val="20"/>
                <w:color w:val="auto"/>
              </w:rPr>
            </w:pPr>
            <w:r>
              <w:rPr>
                <w:rFonts w:ascii="Arial" w:cs="Arial" w:eastAsia="Arial" w:hAnsi="Arial"/>
                <w:sz w:val="14"/>
                <w:szCs w:val="14"/>
                <w:b w:val="1"/>
                <w:bCs w:val="1"/>
                <w:color w:val="auto"/>
                <w:w w:val="92"/>
              </w:rPr>
              <w:t>Nine</w:t>
            </w:r>
          </w:p>
        </w:tc>
        <w:tc>
          <w:tcPr>
            <w:tcW w:w="140" w:type="dxa"/>
            <w:vAlign w:val="bottom"/>
          </w:tcPr>
          <w:p>
            <w:pPr>
              <w:spacing w:after="0"/>
              <w:rPr>
                <w:sz w:val="11"/>
                <w:szCs w:val="11"/>
                <w:color w:val="auto"/>
              </w:rPr>
            </w:pPr>
          </w:p>
        </w:tc>
      </w:tr>
      <w:tr>
        <w:trPr>
          <w:trHeight w:val="149"/>
        </w:trPr>
        <w:tc>
          <w:tcPr>
            <w:tcW w:w="4640" w:type="dxa"/>
            <w:vAlign w:val="bottom"/>
          </w:tcPr>
          <w:p>
            <w:pPr>
              <w:spacing w:after="0"/>
              <w:rPr>
                <w:sz w:val="12"/>
                <w:szCs w:val="12"/>
                <w:color w:val="auto"/>
              </w:rPr>
            </w:pPr>
          </w:p>
        </w:tc>
        <w:tc>
          <w:tcPr>
            <w:tcW w:w="8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w:t>
            </w:r>
          </w:p>
        </w:tc>
        <w:tc>
          <w:tcPr>
            <w:tcW w:w="920" w:type="dxa"/>
            <w:vAlign w:val="bottom"/>
            <w:gridSpan w:val="2"/>
          </w:tcPr>
          <w:p>
            <w:pPr>
              <w:jc w:val="center"/>
              <w:ind w:right="312"/>
              <w:spacing w:after="0" w:line="149" w:lineRule="exact"/>
              <w:rPr>
                <w:sz w:val="20"/>
                <w:szCs w:val="20"/>
                <w:color w:val="auto"/>
              </w:rPr>
            </w:pPr>
            <w:r>
              <w:rPr>
                <w:rFonts w:ascii="Arial" w:cs="Arial" w:eastAsia="Arial" w:hAnsi="Arial"/>
                <w:sz w:val="14"/>
                <w:szCs w:val="14"/>
                <w:b w:val="1"/>
                <w:bCs w:val="1"/>
                <w:color w:val="auto"/>
                <w:w w:val="87"/>
              </w:rPr>
              <w:t>Period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Period</w:t>
            </w:r>
          </w:p>
        </w:tc>
        <w:tc>
          <w:tcPr>
            <w:tcW w:w="100" w:type="dxa"/>
            <w:vAlign w:val="bottom"/>
          </w:tcPr>
          <w:p>
            <w:pPr>
              <w:spacing w:after="0"/>
              <w:rPr>
                <w:sz w:val="12"/>
                <w:szCs w:val="12"/>
                <w:color w:val="auto"/>
              </w:rPr>
            </w:pPr>
          </w:p>
        </w:tc>
        <w:tc>
          <w:tcPr>
            <w:tcW w:w="7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w:t>
            </w:r>
          </w:p>
        </w:tc>
        <w:tc>
          <w:tcPr>
            <w:tcW w:w="80" w:type="dxa"/>
            <w:vAlign w:val="bottom"/>
          </w:tcPr>
          <w:p>
            <w:pPr>
              <w:spacing w:after="0"/>
              <w:rPr>
                <w:sz w:val="12"/>
                <w:szCs w:val="12"/>
                <w:color w:val="auto"/>
              </w:rPr>
            </w:pPr>
          </w:p>
        </w:tc>
        <w:tc>
          <w:tcPr>
            <w:tcW w:w="6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Months</w:t>
            </w:r>
          </w:p>
        </w:tc>
        <w:tc>
          <w:tcPr>
            <w:tcW w:w="80" w:type="dxa"/>
            <w:vAlign w:val="bottom"/>
          </w:tcPr>
          <w:p>
            <w:pPr>
              <w:spacing w:after="0"/>
              <w:rPr>
                <w:sz w:val="12"/>
                <w:szCs w:val="12"/>
                <w:color w:val="auto"/>
              </w:rPr>
            </w:pPr>
          </w:p>
        </w:tc>
        <w:tc>
          <w:tcPr>
            <w:tcW w:w="7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Quarter</w:t>
            </w:r>
          </w:p>
        </w:tc>
        <w:tc>
          <w:tcPr>
            <w:tcW w:w="1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8"/>
              </w:rPr>
              <w:t>Months</w:t>
            </w:r>
          </w:p>
        </w:tc>
        <w:tc>
          <w:tcPr>
            <w:tcW w:w="6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Months</w:t>
            </w:r>
          </w:p>
        </w:tc>
      </w:tr>
      <w:tr>
        <w:trPr>
          <w:trHeight w:val="149"/>
        </w:trPr>
        <w:tc>
          <w:tcPr>
            <w:tcW w:w="4640" w:type="dxa"/>
            <w:vAlign w:val="bottom"/>
          </w:tcPr>
          <w:p>
            <w:pPr>
              <w:spacing w:after="0"/>
              <w:rPr>
                <w:sz w:val="12"/>
                <w:szCs w:val="12"/>
                <w:color w:val="auto"/>
              </w:rPr>
            </w:pPr>
          </w:p>
        </w:tc>
        <w:tc>
          <w:tcPr>
            <w:tcW w:w="82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920" w:type="dxa"/>
            <w:vAlign w:val="bottom"/>
            <w:gridSpan w:val="2"/>
          </w:tcPr>
          <w:p>
            <w:pPr>
              <w:jc w:val="center"/>
              <w:ind w:right="312"/>
              <w:spacing w:after="0" w:line="149" w:lineRule="exact"/>
              <w:rPr>
                <w:sz w:val="20"/>
                <w:szCs w:val="20"/>
                <w:color w:val="auto"/>
              </w:rPr>
            </w:pPr>
            <w:r>
              <w:rPr>
                <w:rFonts w:ascii="Arial" w:cs="Arial" w:eastAsia="Arial" w:hAnsi="Arial"/>
                <w:sz w:val="14"/>
                <w:szCs w:val="14"/>
                <w:b w:val="1"/>
                <w:bCs w:val="1"/>
                <w:color w:val="auto"/>
                <w:w w:val="88"/>
              </w:rPr>
              <w:t>Ended</w:t>
            </w: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100" w:type="dxa"/>
            <w:vAlign w:val="bottom"/>
          </w:tcPr>
          <w:p>
            <w:pPr>
              <w:spacing w:after="0"/>
              <w:rPr>
                <w:sz w:val="12"/>
                <w:szCs w:val="12"/>
                <w:color w:val="auto"/>
              </w:rPr>
            </w:pPr>
          </w:p>
        </w:tc>
        <w:tc>
          <w:tcPr>
            <w:tcW w:w="7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80" w:type="dxa"/>
            <w:vAlign w:val="bottom"/>
          </w:tcPr>
          <w:p>
            <w:pPr>
              <w:spacing w:after="0"/>
              <w:rPr>
                <w:sz w:val="12"/>
                <w:szCs w:val="12"/>
                <w:color w:val="auto"/>
              </w:rPr>
            </w:pPr>
          </w:p>
        </w:tc>
        <w:tc>
          <w:tcPr>
            <w:tcW w:w="6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8"/>
              </w:rPr>
              <w:t>Ended</w:t>
            </w:r>
          </w:p>
        </w:tc>
        <w:tc>
          <w:tcPr>
            <w:tcW w:w="80" w:type="dxa"/>
            <w:vAlign w:val="bottom"/>
          </w:tcPr>
          <w:p>
            <w:pPr>
              <w:spacing w:after="0"/>
              <w:rPr>
                <w:sz w:val="12"/>
                <w:szCs w:val="12"/>
                <w:color w:val="auto"/>
              </w:rPr>
            </w:pPr>
          </w:p>
        </w:tc>
        <w:tc>
          <w:tcPr>
            <w:tcW w:w="70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c>
          <w:tcPr>
            <w:tcW w:w="1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Ended</w:t>
            </w:r>
          </w:p>
        </w:tc>
        <w:tc>
          <w:tcPr>
            <w:tcW w:w="640" w:type="dxa"/>
            <w:vAlign w:val="bottom"/>
            <w:gridSpan w:val="3"/>
          </w:tcPr>
          <w:p>
            <w:pPr>
              <w:ind w:left="60"/>
              <w:spacing w:after="0" w:line="149" w:lineRule="exact"/>
              <w:rPr>
                <w:sz w:val="20"/>
                <w:szCs w:val="20"/>
                <w:color w:val="auto"/>
              </w:rPr>
            </w:pPr>
            <w:r>
              <w:rPr>
                <w:rFonts w:ascii="Arial" w:cs="Arial" w:eastAsia="Arial" w:hAnsi="Arial"/>
                <w:sz w:val="14"/>
                <w:szCs w:val="14"/>
                <w:b w:val="1"/>
                <w:bCs w:val="1"/>
                <w:color w:val="auto"/>
              </w:rPr>
              <w:t>Ended</w:t>
            </w:r>
          </w:p>
        </w:tc>
      </w:tr>
      <w:tr>
        <w:trPr>
          <w:trHeight w:val="149"/>
        </w:trPr>
        <w:tc>
          <w:tcPr>
            <w:tcW w:w="4640" w:type="dxa"/>
            <w:vAlign w:val="bottom"/>
          </w:tcPr>
          <w:p>
            <w:pPr>
              <w:spacing w:after="0"/>
              <w:rPr>
                <w:sz w:val="12"/>
                <w:szCs w:val="12"/>
                <w:color w:val="auto"/>
              </w:rPr>
            </w:pPr>
          </w:p>
        </w:tc>
        <w:tc>
          <w:tcPr>
            <w:tcW w:w="8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 27,</w:t>
            </w:r>
          </w:p>
        </w:tc>
        <w:tc>
          <w:tcPr>
            <w:tcW w:w="920" w:type="dxa"/>
            <w:vAlign w:val="bottom"/>
            <w:gridSpan w:val="2"/>
          </w:tcPr>
          <w:p>
            <w:pPr>
              <w:jc w:val="center"/>
              <w:ind w:right="312"/>
              <w:spacing w:after="0" w:line="149" w:lineRule="exact"/>
              <w:rPr>
                <w:sz w:val="20"/>
                <w:szCs w:val="20"/>
                <w:color w:val="auto"/>
              </w:rPr>
            </w:pPr>
            <w:r>
              <w:rPr>
                <w:rFonts w:ascii="Arial" w:cs="Arial" w:eastAsia="Arial" w:hAnsi="Arial"/>
                <w:sz w:val="14"/>
                <w:szCs w:val="14"/>
                <w:b w:val="1"/>
                <w:bCs w:val="1"/>
                <w:color w:val="auto"/>
                <w:w w:val="86"/>
              </w:rPr>
              <w:t>Sept. 27,</w:t>
            </w:r>
          </w:p>
        </w:tc>
        <w:tc>
          <w:tcPr>
            <w:tcW w:w="180" w:type="dxa"/>
            <w:vAlign w:val="bottom"/>
          </w:tcPr>
          <w:p>
            <w:pPr>
              <w:spacing w:after="0"/>
              <w:rPr>
                <w:sz w:val="12"/>
                <w:szCs w:val="12"/>
                <w:color w:val="auto"/>
              </w:rPr>
            </w:pPr>
          </w:p>
        </w:tc>
        <w:tc>
          <w:tcPr>
            <w:tcW w:w="9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13,</w:t>
            </w:r>
          </w:p>
        </w:tc>
        <w:tc>
          <w:tcPr>
            <w:tcW w:w="100" w:type="dxa"/>
            <w:vAlign w:val="bottom"/>
          </w:tcPr>
          <w:p>
            <w:pPr>
              <w:spacing w:after="0"/>
              <w:rPr>
                <w:sz w:val="12"/>
                <w:szCs w:val="12"/>
                <w:color w:val="auto"/>
              </w:rPr>
            </w:pPr>
          </w:p>
        </w:tc>
        <w:tc>
          <w:tcPr>
            <w:tcW w:w="7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 28,</w:t>
            </w:r>
          </w:p>
        </w:tc>
        <w:tc>
          <w:tcPr>
            <w:tcW w:w="80" w:type="dxa"/>
            <w:vAlign w:val="bottom"/>
          </w:tcPr>
          <w:p>
            <w:pPr>
              <w:spacing w:after="0"/>
              <w:rPr>
                <w:sz w:val="12"/>
                <w:szCs w:val="12"/>
                <w:color w:val="auto"/>
              </w:rPr>
            </w:pPr>
          </w:p>
        </w:tc>
        <w:tc>
          <w:tcPr>
            <w:tcW w:w="66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Sept. 28,</w:t>
            </w:r>
          </w:p>
        </w:tc>
        <w:tc>
          <w:tcPr>
            <w:tcW w:w="80" w:type="dxa"/>
            <w:vAlign w:val="bottom"/>
          </w:tcPr>
          <w:p>
            <w:pPr>
              <w:spacing w:after="0"/>
              <w:rPr>
                <w:sz w:val="12"/>
                <w:szCs w:val="12"/>
                <w:color w:val="auto"/>
              </w:rPr>
            </w:pPr>
          </w:p>
        </w:tc>
        <w:tc>
          <w:tcPr>
            <w:tcW w:w="7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 28,</w:t>
            </w:r>
          </w:p>
        </w:tc>
        <w:tc>
          <w:tcPr>
            <w:tcW w:w="120" w:type="dxa"/>
            <w:vAlign w:val="bottom"/>
          </w:tcPr>
          <w:p>
            <w:pPr>
              <w:spacing w:after="0"/>
              <w:rPr>
                <w:sz w:val="12"/>
                <w:szCs w:val="12"/>
                <w:color w:val="auto"/>
              </w:rPr>
            </w:pPr>
          </w:p>
        </w:tc>
        <w:tc>
          <w:tcPr>
            <w:tcW w:w="8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Sept. 27,</w:t>
            </w:r>
          </w:p>
        </w:tc>
        <w:tc>
          <w:tcPr>
            <w:tcW w:w="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 28,</w:t>
            </w:r>
          </w:p>
        </w:tc>
      </w:tr>
      <w:tr>
        <w:trPr>
          <w:trHeight w:val="161"/>
        </w:trPr>
        <w:tc>
          <w:tcPr>
            <w:tcW w:w="46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2007</w:t>
            </w:r>
          </w:p>
        </w:tc>
        <w:tc>
          <w:tcPr>
            <w:tcW w:w="320" w:type="dxa"/>
            <w:vAlign w:val="bottom"/>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3"/>
              </w:rPr>
              <w:t>2007</w:t>
            </w: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23"/>
              <w:spacing w:after="0"/>
              <w:rPr>
                <w:sz w:val="20"/>
                <w:szCs w:val="20"/>
                <w:color w:val="auto"/>
              </w:rPr>
            </w:pPr>
            <w:r>
              <w:rPr>
                <w:rFonts w:ascii="Arial" w:cs="Arial" w:eastAsia="Arial" w:hAnsi="Arial"/>
                <w:sz w:val="14"/>
                <w:szCs w:val="14"/>
                <w:b w:val="1"/>
                <w:bCs w:val="1"/>
                <w:color w:val="auto"/>
                <w:w w:val="89"/>
              </w:rPr>
              <w:t>2007</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2006</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w w:val="83"/>
              </w:rPr>
              <w:t>2006</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2006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3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4"/>
                <w:szCs w:val="14"/>
                <w:color w:val="auto"/>
              </w:rPr>
            </w:pPr>
          </w:p>
        </w:tc>
      </w:tr>
      <w:tr>
        <w:trPr>
          <w:trHeight w:val="142"/>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40" w:type="dxa"/>
            <w:vAlign w:val="bottom"/>
            <w:gridSpan w:val="6"/>
          </w:tcPr>
          <w:p>
            <w:pPr>
              <w:jc w:val="right"/>
              <w:ind w:right="400"/>
              <w:spacing w:after="0" w:line="142" w:lineRule="exact"/>
              <w:rPr>
                <w:sz w:val="20"/>
                <w:szCs w:val="20"/>
                <w:color w:val="auto"/>
              </w:rPr>
            </w:pPr>
            <w:r>
              <w:rPr>
                <w:rFonts w:ascii="Arial" w:cs="Arial" w:eastAsia="Arial" w:hAnsi="Arial"/>
                <w:sz w:val="14"/>
                <w:szCs w:val="14"/>
                <w:b w:val="1"/>
                <w:bCs w:val="1"/>
                <w:color w:val="auto"/>
              </w:rPr>
              <w:t>(In millions)</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97.6</w:t>
            </w:r>
          </w:p>
        </w:tc>
        <w:tc>
          <w:tcPr>
            <w:tcW w:w="3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6"/>
              </w:rPr>
              <w:t>$ 213.7</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23.6</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60.7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145.2</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73.9</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$243.4</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88"/>
              </w:rPr>
              <w:t>188.1</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400" w:type="dxa"/>
            <w:vAlign w:val="bottom"/>
          </w:tcPr>
          <w:p>
            <w:pPr>
              <w:ind w:left="100"/>
              <w:spacing w:after="0"/>
              <w:rPr>
                <w:sz w:val="20"/>
                <w:szCs w:val="20"/>
                <w:color w:val="auto"/>
              </w:rPr>
            </w:pPr>
            <w:r>
              <w:rPr>
                <w:rFonts w:ascii="Arial" w:cs="Arial" w:eastAsia="Arial" w:hAnsi="Arial"/>
                <w:sz w:val="18"/>
                <w:szCs w:val="18"/>
                <w:color w:val="auto"/>
                <w:w w:val="79"/>
              </w:rPr>
              <w:t>53.8</w:t>
            </w:r>
          </w:p>
        </w:tc>
        <w:tc>
          <w:tcPr>
            <w:tcW w:w="320" w:type="dxa"/>
            <w:vAlign w:val="bottom"/>
          </w:tcPr>
          <w:p>
            <w:pPr>
              <w:spacing w:after="0"/>
              <w:rPr>
                <w:sz w:val="18"/>
                <w:szCs w:val="18"/>
                <w:color w:val="auto"/>
              </w:rPr>
            </w:pPr>
          </w:p>
        </w:tc>
        <w:tc>
          <w:tcPr>
            <w:tcW w:w="920" w:type="dxa"/>
            <w:vAlign w:val="bottom"/>
            <w:tcBorders>
              <w:right w:val="single" w:sz="8" w:color="auto"/>
            </w:tcBorders>
            <w:gridSpan w:val="2"/>
          </w:tcPr>
          <w:p>
            <w:pPr>
              <w:jc w:val="right"/>
              <w:ind w:right="312"/>
              <w:spacing w:after="0"/>
              <w:rPr>
                <w:sz w:val="20"/>
                <w:szCs w:val="20"/>
                <w:color w:val="auto"/>
              </w:rPr>
            </w:pPr>
            <w:r>
              <w:rPr>
                <w:rFonts w:ascii="Arial" w:cs="Arial" w:eastAsia="Arial" w:hAnsi="Arial"/>
                <w:sz w:val="18"/>
                <w:szCs w:val="18"/>
                <w:color w:val="auto"/>
                <w:w w:val="86"/>
              </w:rPr>
              <w:t>$ 111.0</w:t>
            </w:r>
          </w:p>
        </w:tc>
        <w:tc>
          <w:tcPr>
            <w:tcW w:w="280" w:type="dxa"/>
            <w:vAlign w:val="bottom"/>
            <w:gridSpan w:val="2"/>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(4.1)</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80"/>
              <w:spacing w:after="0"/>
              <w:rPr>
                <w:sz w:val="20"/>
                <w:szCs w:val="20"/>
                <w:color w:val="auto"/>
              </w:rPr>
            </w:pPr>
            <w:r>
              <w:rPr>
                <w:rFonts w:ascii="Arial" w:cs="Arial" w:eastAsia="Arial" w:hAnsi="Arial"/>
                <w:sz w:val="18"/>
                <w:szCs w:val="18"/>
                <w:color w:val="auto"/>
              </w:rPr>
              <w:t>(0.4)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(10.9)</w:t>
            </w:r>
          </w:p>
        </w:tc>
        <w:tc>
          <w:tcPr>
            <w:tcW w:w="180" w:type="dxa"/>
            <w:vAlign w:val="bottom"/>
            <w:gridSpan w:val="2"/>
          </w:tcPr>
          <w:p>
            <w:pPr>
              <w:ind w:left="80"/>
              <w:spacing w:after="0"/>
              <w:rPr>
                <w:sz w:val="20"/>
                <w:szCs w:val="20"/>
                <w:color w:val="auto"/>
              </w:rPr>
            </w:pPr>
            <w:r>
              <w:rPr>
                <w:rFonts w:ascii="Arial" w:cs="Arial" w:eastAsia="Arial" w:hAnsi="Arial"/>
                <w:sz w:val="18"/>
                <w:szCs w:val="18"/>
                <w:color w:val="auto"/>
                <w:w w:val="79"/>
              </w:rPr>
              <w:t>$</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39.0</w:t>
            </w:r>
          </w:p>
        </w:tc>
        <w:tc>
          <w:tcPr>
            <w:tcW w:w="960" w:type="dxa"/>
            <w:vAlign w:val="bottom"/>
            <w:gridSpan w:val="3"/>
          </w:tcPr>
          <w:p>
            <w:pPr>
              <w:jc w:val="right"/>
              <w:ind w:right="340"/>
              <w:spacing w:after="0"/>
              <w:rPr>
                <w:sz w:val="20"/>
                <w:szCs w:val="20"/>
                <w:color w:val="auto"/>
              </w:rPr>
            </w:pPr>
            <w:r>
              <w:rPr>
                <w:rFonts w:ascii="Arial" w:cs="Arial" w:eastAsia="Arial" w:hAnsi="Arial"/>
                <w:sz w:val="18"/>
                <w:szCs w:val="18"/>
                <w:color w:val="auto"/>
              </w:rPr>
              <w:t>$120.6</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140"/>
              <w:spacing w:after="0"/>
              <w:rPr>
                <w:sz w:val="20"/>
                <w:szCs w:val="20"/>
                <w:color w:val="auto"/>
              </w:rPr>
            </w:pPr>
            <w:r>
              <w:rPr>
                <w:rFonts w:ascii="Arial" w:cs="Arial" w:eastAsia="Arial" w:hAnsi="Arial"/>
                <w:sz w:val="18"/>
                <w:szCs w:val="18"/>
                <w:color w:val="auto"/>
              </w:rPr>
              <w:t>85.1</w:t>
            </w: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400" w:type="dxa"/>
            <w:vAlign w:val="bottom"/>
            <w:shd w:val="clear" w:color="auto" w:fill="CCEEFF"/>
          </w:tcPr>
          <w:p>
            <w:pPr>
              <w:ind w:left="100"/>
              <w:spacing w:after="0"/>
              <w:rPr>
                <w:sz w:val="20"/>
                <w:szCs w:val="20"/>
                <w:color w:val="auto"/>
              </w:rPr>
            </w:pPr>
            <w:r>
              <w:rPr>
                <w:rFonts w:ascii="Arial" w:cs="Arial" w:eastAsia="Arial" w:hAnsi="Arial"/>
                <w:sz w:val="18"/>
                <w:szCs w:val="18"/>
                <w:color w:val="auto"/>
                <w:w w:val="79"/>
              </w:rPr>
              <w:t>56.5</w:t>
            </w:r>
          </w:p>
        </w:tc>
        <w:tc>
          <w:tcPr>
            <w:tcW w:w="320" w:type="dxa"/>
            <w:vAlign w:val="bottom"/>
            <w:shd w:val="clear" w:color="auto" w:fill="CCEEFF"/>
          </w:tcPr>
          <w:p>
            <w:pPr>
              <w:spacing w:after="0"/>
              <w:rPr>
                <w:sz w:val="18"/>
                <w:szCs w:val="18"/>
                <w:color w:val="auto"/>
              </w:rPr>
            </w:pPr>
          </w:p>
        </w:tc>
        <w:tc>
          <w:tcPr>
            <w:tcW w:w="920" w:type="dxa"/>
            <w:vAlign w:val="bottom"/>
            <w:tcBorders>
              <w:right w:val="single" w:sz="8" w:color="auto"/>
            </w:tcBorders>
            <w:gridSpan w:val="2"/>
            <w:shd w:val="clear" w:color="auto" w:fill="CCEEFF"/>
          </w:tcPr>
          <w:p>
            <w:pPr>
              <w:jc w:val="right"/>
              <w:ind w:right="312"/>
              <w:spacing w:after="0"/>
              <w:rPr>
                <w:sz w:val="20"/>
                <w:szCs w:val="20"/>
                <w:color w:val="auto"/>
              </w:rPr>
            </w:pPr>
            <w:r>
              <w:rPr>
                <w:rFonts w:ascii="Arial" w:cs="Arial" w:eastAsia="Arial" w:hAnsi="Arial"/>
                <w:sz w:val="18"/>
                <w:szCs w:val="18"/>
                <w:color w:val="auto"/>
                <w:w w:val="86"/>
              </w:rPr>
              <w:t>$ 117.8</w:t>
            </w:r>
          </w:p>
        </w:tc>
        <w:tc>
          <w:tcPr>
            <w:tcW w:w="2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(2.7)</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w w:val="79"/>
              </w:rPr>
              <w:t>$</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42.0</w:t>
            </w:r>
          </w:p>
        </w:tc>
        <w:tc>
          <w:tcPr>
            <w:tcW w:w="9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$128.9</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5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93.6</w:t>
            </w: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tcPr>
          <w:p>
            <w:pPr>
              <w:spacing w:after="0"/>
              <w:rPr>
                <w:sz w:val="18"/>
                <w:szCs w:val="18"/>
                <w:color w:val="auto"/>
              </w:rPr>
            </w:pPr>
          </w:p>
        </w:tc>
        <w:tc>
          <w:tcPr>
            <w:tcW w:w="720" w:type="dxa"/>
            <w:vAlign w:val="bottom"/>
            <w:gridSpan w:val="2"/>
          </w:tcPr>
          <w:p>
            <w:pPr>
              <w:ind w:left="100"/>
              <w:spacing w:after="0"/>
              <w:rPr>
                <w:sz w:val="20"/>
                <w:szCs w:val="20"/>
                <w:color w:val="auto"/>
              </w:rPr>
            </w:pPr>
            <w:r>
              <w:rPr>
                <w:rFonts w:ascii="Arial" w:cs="Arial" w:eastAsia="Arial" w:hAnsi="Arial"/>
                <w:sz w:val="18"/>
                <w:szCs w:val="18"/>
                <w:color w:val="auto"/>
              </w:rPr>
              <w:t>57.9%</w:t>
            </w:r>
          </w:p>
        </w:tc>
        <w:tc>
          <w:tcPr>
            <w:tcW w:w="920" w:type="dxa"/>
            <w:vAlign w:val="bottom"/>
            <w:tcBorders>
              <w:right w:val="single" w:sz="8" w:color="auto"/>
            </w:tcBorders>
            <w:gridSpan w:val="2"/>
          </w:tcPr>
          <w:p>
            <w:pPr>
              <w:jc w:val="right"/>
              <w:ind w:right="152"/>
              <w:spacing w:after="0"/>
              <w:rPr>
                <w:sz w:val="20"/>
                <w:szCs w:val="20"/>
                <w:color w:val="auto"/>
              </w:rPr>
            </w:pPr>
            <w:r>
              <w:rPr>
                <w:rFonts w:ascii="Arial" w:cs="Arial" w:eastAsia="Arial" w:hAnsi="Arial"/>
                <w:sz w:val="18"/>
                <w:szCs w:val="18"/>
                <w:color w:val="auto"/>
              </w:rPr>
              <w:t>55.1%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NM</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3.6%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00"/>
              <w:spacing w:after="0"/>
              <w:rPr>
                <w:sz w:val="20"/>
                <w:szCs w:val="20"/>
                <w:color w:val="auto"/>
              </w:rPr>
            </w:pPr>
            <w:r>
              <w:rPr>
                <w:rFonts w:ascii="Arial" w:cs="Arial" w:eastAsia="Arial" w:hAnsi="Arial"/>
                <w:sz w:val="18"/>
                <w:szCs w:val="18"/>
                <w:color w:val="auto"/>
                <w:w w:val="93"/>
              </w:rPr>
              <w:t>56.8%</w:t>
            </w: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18"/>
                <w:szCs w:val="18"/>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49.8%</w:t>
            </w:r>
          </w:p>
        </w:tc>
      </w:tr>
      <w:tr>
        <w:trPr>
          <w:trHeight w:val="363"/>
        </w:trPr>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Our operating results may be affected by a variety of internal and external factors and trends described more fully in “Results of Operations—Factors Affecting Comparability of Results of Operations” and in “Risk Factors” contained in our annual report on Form 10-K for the fiscal year ended December 28, 2006.</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results of operations data for the quarter and nine months ended September 28, 2006 and the 2007 pre-IPO period, and the summary balance sheet data as of December 28, 2006, were derived from the historical financial statements and accounting records of NCM LLC. The results of operations data for the quarter ended September 27, 2007 and the 2007 post-IPO period were derived from the unaudited condensed consolidated financial statements and accounting records of NCM, Inc. that include the accounts of NCM LLC, which is a 44.8% owned consolidated subsidiary.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Comparability of Results of Operations</w:t>
      </w:r>
    </w:p>
    <w:p>
      <w:pPr>
        <w:spacing w:after="0" w:line="96" w:lineRule="exact"/>
        <w:rPr>
          <w:sz w:val="20"/>
          <w:szCs w:val="20"/>
          <w:color w:val="auto"/>
        </w:rPr>
      </w:pPr>
    </w:p>
    <w:p>
      <w:pPr>
        <w:ind w:firstLine="456"/>
        <w:spacing w:after="0" w:line="307" w:lineRule="auto"/>
        <w:rPr>
          <w:sz w:val="20"/>
          <w:szCs w:val="20"/>
          <w:color w:val="auto"/>
        </w:rPr>
      </w:pPr>
      <w:r>
        <w:rPr>
          <w:rFonts w:ascii="Arial" w:cs="Arial" w:eastAsia="Arial" w:hAnsi="Arial"/>
          <w:sz w:val="15"/>
          <w:szCs w:val="15"/>
          <w:color w:val="auto"/>
        </w:rPr>
        <w:t>Upon becoming a member of NCM LLC, each founding member entered into an exhibitor services agreement with NCM LLC, which remained in effect until the founding members entered into amended and restated ESAs upon the completion of the IPO. At NCM LLC’s formation, each of AMC and Regal retained their pre-existing advertising contracts and NCM LLC administered those contracts on behalf of those founding members for an administrative fee equal to a percentage of total revenue (32% for the periods through February 12, 2007). Over time as these “legacy” advertising contracts were fulfilled and NCM LLC entered into new contracts directly with advertisers, the administrative fees declined and our advertising revenue increased. The total underlying legacy contract value was approximately equal to our administrative fees during that period divided by the 32% administrative fee percentage. In addition, because Cinemark had a pre-existing contract with another cinema advertising provider, NCM LLC began selling advertising for Cinemark’s screens on an exclusive basis beginning on January 1, 2006, subject to the run-out of certain pre-existing contractual obligations for on-screen advertising through April 1, 2006. By May 2006, all of Cinemark’s digital screens were connected to our digital content network. On October 5, 2006, Cinemark completed the acquisition of the Century theatre circuit, and the Century screens were added to our network on an exclusive basis in November 2006. The timing of the addition of the Cinemark and Century theatres to our network affects the comparability of results from the periods as they were not included in the results for the full quarter ended September 28, 2006.</w:t>
      </w:r>
    </w:p>
    <w:p>
      <w:pPr>
        <w:spacing w:after="0" w:line="112"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believe that one of the most meaningful metrics to ascertain the growth of our advertising revenue among all historical periods presented is the total amount of our advertising revenue, excluding advertising revenue associated with the founding member beverage concessionaire agreements, plus the legacy contract value, which we refer to as “advertising contract value”. The trend of total advertising contract value, divided by the total number of founding member attendees, which we refer to as “total advertising contract value per founding member attendee” is also a measure that we use to track our revenue performance. We believe that these metrics are helpful to analyze advertising revenue performance across our reporting periods, while providing a measure of revenue which is independent of the number of screens in our network and corresponding attendance for which advertising services are being provided.</w:t>
      </w:r>
    </w:p>
    <w:p>
      <w:pPr>
        <w:spacing w:after="0" w:line="12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Under the amended and restated ESAs that became effective on February 13, 2007, NCM LLC total advertising revenue has increased significantly due to the payments from the founding members for the display of up to 90 seconds of on-screen advertising under their beverage concessionaire agreements at an agreed upon rate. In addition, as discussed above, the conversion from circuit share to theatre access fee structure will reduce the payments made to the founding members as a percentage of advertising revenue.</w:t>
      </w:r>
    </w:p>
    <w:p>
      <w:pPr>
        <w:spacing w:after="0" w:line="14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increases in the size of our network, as well as differences in the structure of circuit share expense and theatre access fee and the circuit beverage revenue limit the comparability of revenues and operating expenses for all reporting periods. Therefore, certain components of operating expenses, including selling and marketing, administrative, and depreciation expense, will be analyzed on the basis of cost per founding member attendee. We will also analyze on the basis of operating expense as a percentage of revenues, as this metric will provide meaningful trend analysis.</w:t>
      </w:r>
    </w:p>
    <w:p>
      <w:pPr>
        <w:spacing w:after="0" w:line="113"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following table presents total advertising contract value and operating expenses per founding member attendee for the Company for the quarter ended September 27, 2007 and the 2007 post-IPO period and for NCM LLC for the 2007 pre-IPO period and the quarter ending September 28, 2006, which will be discussed further below.</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3"/>
          </w:tcPr>
          <w:p>
            <w:pPr>
              <w:jc w:val="center"/>
              <w:ind w:right="1280"/>
              <w:spacing w:after="0"/>
              <w:rPr>
                <w:sz w:val="20"/>
                <w:szCs w:val="20"/>
                <w:color w:val="auto"/>
              </w:rPr>
            </w:pPr>
            <w:r>
              <w:rPr>
                <w:rFonts w:ascii="Arial" w:cs="Arial" w:eastAsia="Arial" w:hAnsi="Arial"/>
                <w:sz w:val="14"/>
                <w:szCs w:val="14"/>
                <w:b w:val="1"/>
                <w:bCs w:val="1"/>
                <w:color w:val="auto"/>
                <w:w w:val="91"/>
              </w:rPr>
              <w:t>Period</w:t>
            </w:r>
          </w:p>
        </w:tc>
        <w:tc>
          <w:tcPr>
            <w:tcW w:w="140" w:type="dxa"/>
            <w:vAlign w:val="bottom"/>
          </w:tcPr>
          <w:p>
            <w:pPr>
              <w:spacing w:after="0"/>
              <w:rPr>
                <w:sz w:val="14"/>
                <w:szCs w:val="14"/>
                <w:color w:val="auto"/>
              </w:rPr>
            </w:pPr>
          </w:p>
        </w:tc>
        <w:tc>
          <w:tcPr>
            <w:tcW w:w="1020" w:type="dxa"/>
            <w:vAlign w:val="bottom"/>
            <w:gridSpan w:val="2"/>
          </w:tcPr>
          <w:p>
            <w:pPr>
              <w:ind w:left="60"/>
              <w:spacing w:after="0"/>
              <w:rPr>
                <w:sz w:val="20"/>
                <w:szCs w:val="20"/>
                <w:color w:val="auto"/>
              </w:rPr>
            </w:pPr>
            <w:r>
              <w:rPr>
                <w:rFonts w:ascii="Arial" w:cs="Arial" w:eastAsia="Arial" w:hAnsi="Arial"/>
                <w:sz w:val="14"/>
                <w:szCs w:val="14"/>
                <w:b w:val="1"/>
                <w:bCs w:val="1"/>
                <w:color w:val="auto"/>
              </w:rPr>
              <w:t>Period</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49"/>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94"/>
              </w:rPr>
              <w:t>Quarter</w:t>
            </w:r>
          </w:p>
        </w:tc>
        <w:tc>
          <w:tcPr>
            <w:tcW w:w="1960" w:type="dxa"/>
            <w:vAlign w:val="bottom"/>
            <w:gridSpan w:val="4"/>
          </w:tcPr>
          <w:p>
            <w:pPr>
              <w:jc w:val="center"/>
              <w:ind w:right="1120"/>
              <w:spacing w:after="0" w:line="149" w:lineRule="exact"/>
              <w:rPr>
                <w:sz w:val="20"/>
                <w:szCs w:val="20"/>
                <w:color w:val="auto"/>
              </w:rPr>
            </w:pPr>
            <w:r>
              <w:rPr>
                <w:rFonts w:ascii="Arial" w:cs="Arial" w:eastAsia="Arial" w:hAnsi="Arial"/>
                <w:sz w:val="14"/>
                <w:szCs w:val="14"/>
                <w:b w:val="1"/>
                <w:bCs w:val="1"/>
                <w:color w:val="auto"/>
                <w:w w:val="91"/>
              </w:rPr>
              <w:t>February 13,</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29,</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Quarter</w:t>
            </w:r>
          </w:p>
        </w:tc>
        <w:tc>
          <w:tcPr>
            <w:tcW w:w="220" w:type="dxa"/>
            <w:vAlign w:val="bottom"/>
          </w:tcPr>
          <w:p>
            <w:pPr>
              <w:spacing w:after="0"/>
              <w:rPr>
                <w:sz w:val="12"/>
                <w:szCs w:val="12"/>
                <w:color w:val="auto"/>
              </w:rPr>
            </w:pPr>
          </w:p>
        </w:tc>
        <w:tc>
          <w:tcPr>
            <w:tcW w:w="980" w:type="dxa"/>
            <w:vAlign w:val="bottom"/>
            <w:gridSpan w:val="3"/>
          </w:tcPr>
          <w:p>
            <w:pPr>
              <w:jc w:val="center"/>
              <w:ind w:right="140"/>
              <w:spacing w:after="0" w:line="149" w:lineRule="exact"/>
              <w:rPr>
                <w:sz w:val="20"/>
                <w:szCs w:val="20"/>
                <w:color w:val="auto"/>
              </w:rPr>
            </w:pPr>
            <w:r>
              <w:rPr>
                <w:rFonts w:ascii="Arial" w:cs="Arial" w:eastAsia="Arial" w:hAnsi="Arial"/>
                <w:sz w:val="14"/>
                <w:szCs w:val="14"/>
                <w:b w:val="1"/>
                <w:bCs w:val="1"/>
                <w:color w:val="auto"/>
                <w:w w:val="90"/>
              </w:rPr>
              <w:t>Nine Months</w:t>
            </w:r>
          </w:p>
        </w:tc>
      </w:tr>
      <w:tr>
        <w:trPr>
          <w:trHeight w:val="149"/>
        </w:trPr>
        <w:tc>
          <w:tcPr>
            <w:tcW w:w="3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8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4"/>
              </w:rPr>
              <w:t>Ended</w:t>
            </w:r>
          </w:p>
        </w:tc>
        <w:tc>
          <w:tcPr>
            <w:tcW w:w="1960" w:type="dxa"/>
            <w:vAlign w:val="bottom"/>
            <w:gridSpan w:val="4"/>
          </w:tcPr>
          <w:p>
            <w:pPr>
              <w:jc w:val="center"/>
              <w:ind w:right="112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2006 through</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Ended</w:t>
            </w: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3320" w:type="dxa"/>
            <w:vAlign w:val="bottom"/>
          </w:tcPr>
          <w:p>
            <w:pPr>
              <w:spacing w:after="0"/>
              <w:rPr>
                <w:sz w:val="12"/>
                <w:szCs w:val="12"/>
                <w:color w:val="auto"/>
              </w:rPr>
            </w:pPr>
          </w:p>
        </w:tc>
        <w:tc>
          <w:tcPr>
            <w:tcW w:w="14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27,</w:t>
            </w:r>
          </w:p>
        </w:tc>
        <w:tc>
          <w:tcPr>
            <w:tcW w:w="1960" w:type="dxa"/>
            <w:vAlign w:val="bottom"/>
            <w:gridSpan w:val="4"/>
          </w:tcPr>
          <w:p>
            <w:pPr>
              <w:jc w:val="center"/>
              <w:ind w:right="1120"/>
              <w:spacing w:after="0" w:line="149" w:lineRule="exact"/>
              <w:rPr>
                <w:sz w:val="20"/>
                <w:szCs w:val="20"/>
                <w:color w:val="auto"/>
              </w:rPr>
            </w:pPr>
            <w:r>
              <w:rPr>
                <w:rFonts w:ascii="Arial" w:cs="Arial" w:eastAsia="Arial" w:hAnsi="Arial"/>
                <w:sz w:val="14"/>
                <w:szCs w:val="14"/>
                <w:b w:val="1"/>
                <w:bCs w:val="1"/>
                <w:color w:val="auto"/>
                <w:w w:val="87"/>
              </w:rPr>
              <w:t>September 27,</w:t>
            </w: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12,</w:t>
            </w:r>
          </w:p>
        </w:tc>
        <w:tc>
          <w:tcPr>
            <w:tcW w:w="240" w:type="dxa"/>
            <w:vAlign w:val="bottom"/>
          </w:tcPr>
          <w:p>
            <w:pPr>
              <w:spacing w:after="0"/>
              <w:rPr>
                <w:sz w:val="12"/>
                <w:szCs w:val="12"/>
                <w:color w:val="auto"/>
              </w:rPr>
            </w:pPr>
          </w:p>
        </w:tc>
        <w:tc>
          <w:tcPr>
            <w:tcW w:w="12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28,</w:t>
            </w:r>
          </w:p>
        </w:tc>
        <w:tc>
          <w:tcPr>
            <w:tcW w:w="220" w:type="dxa"/>
            <w:vAlign w:val="bottom"/>
          </w:tcPr>
          <w:p>
            <w:pPr>
              <w:spacing w:after="0"/>
              <w:rPr>
                <w:sz w:val="12"/>
                <w:szCs w:val="12"/>
                <w:color w:val="auto"/>
              </w:rPr>
            </w:pP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28,</w:t>
            </w:r>
          </w:p>
        </w:tc>
      </w:tr>
      <w:tr>
        <w:trPr>
          <w:trHeight w:val="175"/>
        </w:trPr>
        <w:tc>
          <w:tcPr>
            <w:tcW w:w="33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61"/>
              <w:spacing w:after="0"/>
              <w:rPr>
                <w:sz w:val="20"/>
                <w:szCs w:val="20"/>
                <w:color w:val="auto"/>
              </w:rPr>
            </w:pPr>
            <w:r>
              <w:rPr>
                <w:rFonts w:ascii="Arial" w:cs="Arial" w:eastAsia="Arial" w:hAnsi="Arial"/>
                <w:sz w:val="14"/>
                <w:szCs w:val="14"/>
                <w:b w:val="1"/>
                <w:bCs w:val="1"/>
                <w:color w:val="auto"/>
                <w:w w:val="89"/>
              </w:rPr>
              <w:t>2007</w:t>
            </w:r>
          </w:p>
        </w:tc>
        <w:tc>
          <w:tcPr>
            <w:tcW w:w="58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2007</w:t>
            </w: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2007</w:t>
            </w:r>
          </w:p>
        </w:tc>
        <w:tc>
          <w:tcPr>
            <w:tcW w:w="3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3"/>
              </w:rPr>
              <w:t>2006</w:t>
            </w: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2006</w:t>
            </w:r>
          </w:p>
        </w:tc>
        <w:tc>
          <w:tcPr>
            <w:tcW w:w="140" w:type="dxa"/>
            <w:vAlign w:val="bottom"/>
          </w:tcPr>
          <w:p>
            <w:pPr>
              <w:spacing w:after="0"/>
              <w:rPr>
                <w:sz w:val="15"/>
                <w:szCs w:val="15"/>
                <w:color w:val="auto"/>
              </w:rPr>
            </w:pPr>
          </w:p>
        </w:tc>
      </w:tr>
      <w:tr>
        <w:trPr>
          <w:trHeight w:val="201"/>
        </w:trPr>
        <w:tc>
          <w:tcPr>
            <w:tcW w:w="33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Total advertising contract value ($ in</w:t>
            </w: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660" w:type="dxa"/>
            <w:vAlign w:val="bottom"/>
            <w:tcBorders>
              <w:right w:val="single" w:sz="8" w:color="auto"/>
            </w:tcBorders>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24"/>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millions)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91.3</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197.1</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20.9</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57.4</w:t>
            </w:r>
          </w:p>
        </w:tc>
        <w:tc>
          <w:tcPr>
            <w:tcW w:w="3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w:t>
            </w:r>
          </w:p>
        </w:tc>
        <w:tc>
          <w:tcPr>
            <w:tcW w:w="140" w:type="dxa"/>
            <w:vAlign w:val="bottom"/>
            <w:shd w:val="clear" w:color="auto" w:fill="CCEEFF"/>
          </w:tcPr>
          <w:p>
            <w:pPr>
              <w:spacing w:after="0"/>
              <w:rPr>
                <w:sz w:val="19"/>
                <w:szCs w:val="19"/>
                <w:color w:val="auto"/>
              </w:rPr>
            </w:pPr>
          </w:p>
        </w:tc>
      </w:tr>
      <w:tr>
        <w:trPr>
          <w:trHeight w:val="208"/>
        </w:trPr>
        <w:tc>
          <w:tcPr>
            <w:tcW w:w="3320" w:type="dxa"/>
            <w:vAlign w:val="bottom"/>
          </w:tcPr>
          <w:p>
            <w:pPr>
              <w:spacing w:after="0"/>
              <w:rPr>
                <w:sz w:val="20"/>
                <w:szCs w:val="20"/>
                <w:color w:val="auto"/>
              </w:rPr>
            </w:pPr>
            <w:r>
              <w:rPr>
                <w:rFonts w:ascii="Arial" w:cs="Arial" w:eastAsia="Arial" w:hAnsi="Arial"/>
                <w:sz w:val="18"/>
                <w:szCs w:val="18"/>
                <w:color w:val="auto"/>
              </w:rPr>
              <w:t>Total advertising contract value per</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2"/>
        </w:trPr>
        <w:tc>
          <w:tcPr>
            <w:tcW w:w="3320" w:type="dxa"/>
            <w:vAlign w:val="bottom"/>
          </w:tcPr>
          <w:p>
            <w:pPr>
              <w:ind w:left="220"/>
              <w:spacing w:after="0"/>
              <w:rPr>
                <w:sz w:val="20"/>
                <w:szCs w:val="20"/>
                <w:color w:val="auto"/>
              </w:rPr>
            </w:pPr>
            <w:r>
              <w:rPr>
                <w:rFonts w:ascii="Arial" w:cs="Arial" w:eastAsia="Arial" w:hAnsi="Arial"/>
                <w:sz w:val="18"/>
                <w:szCs w:val="18"/>
                <w:color w:val="auto"/>
              </w:rPr>
              <w:t>founding member attendee</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0.59</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auto"/>
            </w:tcBorders>
            <w:gridSpan w:val="2"/>
          </w:tcPr>
          <w:p>
            <w:pPr>
              <w:jc w:val="right"/>
              <w:ind w:right="660"/>
              <w:spacing w:after="0"/>
              <w:rPr>
                <w:sz w:val="20"/>
                <w:szCs w:val="20"/>
                <w:color w:val="auto"/>
              </w:rPr>
            </w:pPr>
            <w:r>
              <w:rPr>
                <w:rFonts w:ascii="Arial" w:cs="Arial" w:eastAsia="Arial" w:hAnsi="Arial"/>
                <w:sz w:val="18"/>
                <w:szCs w:val="18"/>
                <w:color w:val="auto"/>
              </w:rPr>
              <w:t>0.55</w:t>
            </w:r>
          </w:p>
        </w:tc>
        <w:tc>
          <w:tcPr>
            <w:tcW w:w="46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0.31</w:t>
            </w:r>
          </w:p>
        </w:tc>
        <w:tc>
          <w:tcPr>
            <w:tcW w:w="360" w:type="dxa"/>
            <w:vAlign w:val="bottom"/>
            <w:gridSpan w:val="2"/>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tcPr>
          <w:p>
            <w:pPr>
              <w:ind w:left="400"/>
              <w:spacing w:after="0"/>
              <w:rPr>
                <w:sz w:val="20"/>
                <w:szCs w:val="20"/>
                <w:color w:val="auto"/>
              </w:rPr>
            </w:pPr>
            <w:r>
              <w:rPr>
                <w:rFonts w:ascii="Arial" w:cs="Arial" w:eastAsia="Arial" w:hAnsi="Arial"/>
                <w:sz w:val="18"/>
                <w:szCs w:val="18"/>
                <w:color w:val="auto"/>
                <w:w w:val="79"/>
              </w:rPr>
              <w:t>0.44</w:t>
            </w:r>
          </w:p>
        </w:tc>
        <w:tc>
          <w:tcPr>
            <w:tcW w:w="380" w:type="dxa"/>
            <w:vAlign w:val="bottom"/>
          </w:tcPr>
          <w:p>
            <w:pPr>
              <w:spacing w:after="0"/>
              <w:rPr>
                <w:sz w:val="19"/>
                <w:szCs w:val="19"/>
                <w:color w:val="auto"/>
              </w:rPr>
            </w:pPr>
          </w:p>
        </w:tc>
        <w:tc>
          <w:tcPr>
            <w:tcW w:w="38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0.37</w:t>
            </w:r>
          </w:p>
        </w:tc>
        <w:tc>
          <w:tcPr>
            <w:tcW w:w="140" w:type="dxa"/>
            <w:vAlign w:val="bottom"/>
          </w:tcPr>
          <w:p>
            <w:pPr>
              <w:spacing w:after="0"/>
              <w:rPr>
                <w:sz w:val="19"/>
                <w:szCs w:val="19"/>
                <w:color w:val="auto"/>
              </w:rPr>
            </w:pPr>
          </w:p>
        </w:tc>
      </w:tr>
      <w:tr>
        <w:trPr>
          <w:trHeight w:val="210"/>
        </w:trPr>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 per founding</w:t>
            </w: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60" w:type="dxa"/>
            <w:vAlign w:val="bottom"/>
            <w:tcBorders>
              <w:right w:val="single" w:sz="8" w:color="auto"/>
            </w:tcBorders>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24"/>
        </w:trPr>
        <w:tc>
          <w:tcPr>
            <w:tcW w:w="3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member attendee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0.19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right w:val="single" w:sz="8" w:color="auto"/>
            </w:tcBorders>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0.20</w:t>
            </w:r>
          </w:p>
        </w:tc>
        <w:tc>
          <w:tcPr>
            <w:tcW w:w="4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0.19</w:t>
            </w:r>
          </w:p>
        </w:tc>
        <w:tc>
          <w:tcPr>
            <w:tcW w:w="3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79"/>
              </w:rPr>
              <w:t>0.17</w:t>
            </w:r>
          </w:p>
        </w:tc>
        <w:tc>
          <w:tcPr>
            <w:tcW w:w="380" w:type="dxa"/>
            <w:vAlign w:val="bottom"/>
            <w:shd w:val="clear" w:color="auto" w:fill="CCEEFF"/>
          </w:tcPr>
          <w:p>
            <w:pPr>
              <w:spacing w:after="0"/>
              <w:rPr>
                <w:sz w:val="19"/>
                <w:szCs w:val="19"/>
                <w:color w:val="auto"/>
              </w:rPr>
            </w:pPr>
          </w:p>
        </w:tc>
        <w:tc>
          <w:tcPr>
            <w:tcW w:w="38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40" w:type="dxa"/>
            <w:vAlign w:val="bottom"/>
            <w:shd w:val="clear" w:color="auto" w:fill="CCEEFF"/>
          </w:tcPr>
          <w:p>
            <w:pPr>
              <w:spacing w:after="0"/>
              <w:rPr>
                <w:sz w:val="19"/>
                <w:szCs w:val="19"/>
                <w:color w:val="auto"/>
              </w:rPr>
            </w:pPr>
          </w:p>
        </w:tc>
      </w:tr>
      <w:tr>
        <w:trPr>
          <w:trHeight w:val="208"/>
        </w:trPr>
        <w:tc>
          <w:tcPr>
            <w:tcW w:w="3320" w:type="dxa"/>
            <w:vAlign w:val="bottom"/>
          </w:tcPr>
          <w:p>
            <w:pPr>
              <w:spacing w:after="0"/>
              <w:rPr>
                <w:sz w:val="20"/>
                <w:szCs w:val="20"/>
                <w:color w:val="auto"/>
              </w:rPr>
            </w:pPr>
            <w:r>
              <w:rPr>
                <w:rFonts w:ascii="Arial" w:cs="Arial" w:eastAsia="Arial" w:hAnsi="Arial"/>
                <w:sz w:val="18"/>
                <w:szCs w:val="18"/>
                <w:color w:val="auto"/>
              </w:rPr>
              <w:t>Total operating expense as a percentage</w:t>
            </w: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Borders>
              <w:right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4"/>
        </w:trPr>
        <w:tc>
          <w:tcPr>
            <w:tcW w:w="3320" w:type="dxa"/>
            <w:vAlign w:val="bottom"/>
          </w:tcPr>
          <w:p>
            <w:pPr>
              <w:ind w:left="220"/>
              <w:spacing w:after="0"/>
              <w:rPr>
                <w:sz w:val="20"/>
                <w:szCs w:val="20"/>
                <w:color w:val="auto"/>
              </w:rPr>
            </w:pPr>
            <w:r>
              <w:rPr>
                <w:rFonts w:ascii="Arial" w:cs="Arial" w:eastAsia="Arial" w:hAnsi="Arial"/>
                <w:sz w:val="18"/>
                <w:szCs w:val="18"/>
                <w:color w:val="auto"/>
              </w:rPr>
              <w:t>of revenues</w:t>
            </w:r>
          </w:p>
        </w:tc>
        <w:tc>
          <w:tcPr>
            <w:tcW w:w="140" w:type="dxa"/>
            <w:vAlign w:val="bottom"/>
          </w:tcPr>
          <w:p>
            <w:pPr>
              <w:spacing w:after="0"/>
              <w:rPr>
                <w:sz w:val="19"/>
                <w:szCs w:val="19"/>
                <w:color w:val="auto"/>
              </w:rPr>
            </w:pPr>
          </w:p>
        </w:tc>
        <w:tc>
          <w:tcPr>
            <w:tcW w:w="1280" w:type="dxa"/>
            <w:vAlign w:val="bottom"/>
            <w:gridSpan w:val="2"/>
          </w:tcPr>
          <w:p>
            <w:pPr>
              <w:ind w:left="380"/>
              <w:spacing w:after="0"/>
              <w:rPr>
                <w:sz w:val="20"/>
                <w:szCs w:val="20"/>
                <w:color w:val="auto"/>
              </w:rPr>
            </w:pPr>
            <w:r>
              <w:rPr>
                <w:rFonts w:ascii="Arial" w:cs="Arial" w:eastAsia="Arial" w:hAnsi="Arial"/>
                <w:sz w:val="18"/>
                <w:szCs w:val="18"/>
                <w:color w:val="auto"/>
              </w:rPr>
              <w:t>30.9%</w:t>
            </w:r>
          </w:p>
        </w:tc>
        <w:tc>
          <w:tcPr>
            <w:tcW w:w="160" w:type="dxa"/>
            <w:vAlign w:val="bottom"/>
          </w:tcPr>
          <w:p>
            <w:pPr>
              <w:spacing w:after="0"/>
              <w:rPr>
                <w:sz w:val="19"/>
                <w:szCs w:val="19"/>
                <w:color w:val="auto"/>
              </w:rPr>
            </w:pPr>
          </w:p>
        </w:tc>
        <w:tc>
          <w:tcPr>
            <w:tcW w:w="1340" w:type="dxa"/>
            <w:vAlign w:val="bottom"/>
            <w:tcBorders>
              <w:right w:val="single" w:sz="8" w:color="auto"/>
            </w:tcBorders>
            <w:gridSpan w:val="2"/>
          </w:tcPr>
          <w:p>
            <w:pPr>
              <w:jc w:val="right"/>
              <w:ind w:right="520"/>
              <w:spacing w:after="0"/>
              <w:rPr>
                <w:sz w:val="20"/>
                <w:szCs w:val="20"/>
                <w:color w:val="auto"/>
              </w:rPr>
            </w:pPr>
            <w:r>
              <w:rPr>
                <w:rFonts w:ascii="Arial" w:cs="Arial" w:eastAsia="Arial" w:hAnsi="Arial"/>
                <w:sz w:val="18"/>
                <w:szCs w:val="18"/>
                <w:color w:val="auto"/>
              </w:rPr>
              <w:t>33.0%</w:t>
            </w: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gridSpan w:val="2"/>
          </w:tcPr>
          <w:p>
            <w:pPr>
              <w:ind w:left="340"/>
              <w:spacing w:after="0"/>
              <w:rPr>
                <w:sz w:val="20"/>
                <w:szCs w:val="20"/>
                <w:color w:val="auto"/>
              </w:rPr>
            </w:pPr>
            <w:r>
              <w:rPr>
                <w:rFonts w:ascii="Arial" w:cs="Arial" w:eastAsia="Arial" w:hAnsi="Arial"/>
                <w:sz w:val="18"/>
                <w:szCs w:val="18"/>
                <w:color w:val="auto"/>
              </w:rPr>
              <w:t>54.7%</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ind w:left="400"/>
              <w:spacing w:after="0"/>
              <w:rPr>
                <w:sz w:val="20"/>
                <w:szCs w:val="20"/>
                <w:color w:val="auto"/>
              </w:rPr>
            </w:pPr>
            <w:r>
              <w:rPr>
                <w:rFonts w:ascii="Arial" w:cs="Arial" w:eastAsia="Arial" w:hAnsi="Arial"/>
                <w:sz w:val="18"/>
                <w:szCs w:val="18"/>
                <w:color w:val="auto"/>
              </w:rPr>
              <w:t>36.9%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44.1%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Quarter ended September 27, 2007 and September 28, 2006</w:t>
      </w:r>
    </w:p>
    <w:p>
      <w:pPr>
        <w:spacing w:after="0" w:line="9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of the Company for the quarter ended September 27, 2007 was $97.6 million as compared to $60.7 million during the quarter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28, 2006, an increase of $36.9 million, or 60.8%. The increase was primarily the result of payments from the founding member beverage agreements, increase in national advertising inventory utilization, an increase in local and regional advertising sales, the conversion or assignment of certain legacy contracts and increasing meetings and events revenue. The national advertising revenue increase of 47.1% related primarily to an increase in national advertising inventory utilization to 93.1% from 81.6% in the comparable quarter last year, an increase in non-inventory on-screen and lobby revenue and a 17.9% increase in founding member attendance. The increase in founding member attendance related primarily to an approximate 9% increase in screens associated with a pre-IPO acquisition and a favorable film mix. CPM is relatively flat due to our focus on broadening our client base and advertising categories, competitive pressures and acceptance of some last minute scatter contracts. Local and regional advertising revenue increased by 25.6% primarily due to an increase in screens, time sold and a strong film slate. The meeting and events revenue increase related primarily to an increase in event count of approximately 35.5% despite an approximate 4.7% decrease in average revenue per event.</w:t>
      </w:r>
    </w:p>
    <w:p>
      <w:pPr>
        <w:spacing w:after="0" w:line="12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Total advertising contract value per founding member attendee for the Company for the quarter ended September 27, 2007 was $0.59, while the total advertising contract value per founding member attendee was $0.44 during the quarter ended September 28, 2006. The increase in the advertising contract value per founding member attendee of approximately 34.1% was primarily the result of increased utilization through increased expenditures from certain existing clients and the expansion of our advertising client base as well as an increase in sales of non-inventory on-screen and lobby revenue.</w:t>
      </w:r>
    </w:p>
    <w:p>
      <w:pPr>
        <w:spacing w:after="0" w:line="113"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for the quarter ended September 27, 2007 were $30.2 million as compared to $22.4 million for the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ended September 28, 2006. The increase of 34.8% for the third quarter of 2007 versus total operating expenses for the third quarter of 2006 was primarily the result of the increase in sales commissions and event costs associated with the increase in revenue discussed above and increased expenses due to an increase in film ticket and concession expenses associated with CineMeetings meeting and a movie events, additional staffing and infrastructure required to support the increase in the number of advertising contracts, expansion of the network and public company compliance costs.</w:t>
      </w:r>
    </w:p>
    <w:p>
      <w:pPr>
        <w:spacing w:after="0" w:line="11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Total operating expenses per founding member attendee for the Company for the quarter ended September 27, 2007 were $0.19, while the total operating expenses per founding member attendee were $0.17 during the quarter ended September 28, 2006. The increase was primarily the result of an increase in lower margin CineMeetings events and other factors discussed in the previous paragraph, partially offset by better absorption of the fixed nature of many of our operating expenses associated with our advertising business. Operating expenses as a percentage of revenues was 30.9% for the quarter ended September 27, 2007 as compared to 36.9% for the quarter ended September 28, 2006. The decrease in the percentage is the result of higher revenue levels discussed above, but also is a result of the scalable nature of components of our operating expenses.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i w:val="1"/>
          <w:iCs w:val="1"/>
          <w:color w:val="auto"/>
        </w:rPr>
        <w:t xml:space="preserve">Circuit share expense/theatre access fee. </w:t>
      </w:r>
      <w:r>
        <w:rPr>
          <w:rFonts w:ascii="Arial" w:cs="Arial" w:eastAsia="Arial" w:hAnsi="Arial"/>
          <w:sz w:val="16"/>
          <w:szCs w:val="16"/>
          <w:color w:val="auto"/>
        </w:rPr>
        <w:t>Theatre access fees of the Company for the quarter ended September 27, 2007 were $13.3 million, while circuit</w:t>
      </w:r>
      <w:r>
        <w:rPr>
          <w:rFonts w:ascii="Arial" w:cs="Arial" w:eastAsia="Arial" w:hAnsi="Arial"/>
          <w:sz w:val="16"/>
          <w:szCs w:val="16"/>
          <w:i w:val="1"/>
          <w:iCs w:val="1"/>
          <w:color w:val="auto"/>
        </w:rPr>
        <w:t xml:space="preserve"> </w:t>
      </w:r>
      <w:r>
        <w:rPr>
          <w:rFonts w:ascii="Arial" w:cs="Arial" w:eastAsia="Arial" w:hAnsi="Arial"/>
          <w:sz w:val="16"/>
          <w:szCs w:val="16"/>
          <w:color w:val="auto"/>
        </w:rPr>
        <w:t>share expense was $38.0 million during the quarter ended September 28, 2006. Total theatre access fees as a percentage of revenue of the Company for the third quarter of 2007 was 13.6%, while the total circuit share expense as a percentage of revenue was 62.6% for the third quarter of 2006. The decrease for the third quarter of 2007 versus the NCM LLC third quarter of 2006 was primarily the result of the amended and restated ESAs that became effective upon the completion of the IPO as discussed above. The theatre access fee reflects a payment of $0.07 per founding member attendee plus $800 per founding member digital screen per year, while the circuit share was 68% of advertising revenue and a share of the meetings and events revenue.</w:t>
      </w:r>
    </w:p>
    <w:p>
      <w:pPr>
        <w:spacing w:after="0" w:line="12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Net income (loss)</w:t>
      </w:r>
      <w:r>
        <w:rPr>
          <w:rFonts w:ascii="Arial" w:cs="Arial" w:eastAsia="Arial" w:hAnsi="Arial"/>
          <w:sz w:val="18"/>
          <w:szCs w:val="18"/>
          <w:color w:val="auto"/>
        </w:rPr>
        <w:t>. Net income generated by the Company for the quarter ended September 27, 2007 was $9.2 million, while there was a net loss of $0.6</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during the quarter ended September 28, 2006. The increase in the profitability was due to the increase in revenue and decrease in payments to the founding members discussed above, partially offset by an increase in operating and selling and marketing costs associated with the increased revenue, higher interest expense associated with the new credit facilities, provision for income taxes, minority interest expense and increased administrative costs associated with the new corporate structure. The comparability of the net income of the periods presented is limited due to the size of our network and changes in the corporate structure and capitalization as discussed above.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2007 Post-IPO Period and the 2007 Pre-IPO Period and the Nine Months Ended September 28, 2006</w:t>
      </w:r>
    </w:p>
    <w:p>
      <w:pPr>
        <w:spacing w:after="0" w:line="90" w:lineRule="exact"/>
        <w:rPr>
          <w:sz w:val="20"/>
          <w:szCs w:val="20"/>
          <w:color w:val="auto"/>
        </w:rPr>
      </w:pPr>
    </w:p>
    <w:p>
      <w:pPr>
        <w:ind w:right="160" w:firstLine="456"/>
        <w:spacing w:after="0" w:line="288" w:lineRule="auto"/>
        <w:rPr>
          <w:sz w:val="20"/>
          <w:szCs w:val="20"/>
          <w:color w:val="auto"/>
        </w:rPr>
      </w:pPr>
      <w:r>
        <w:rPr>
          <w:rFonts w:ascii="Arial" w:cs="Arial" w:eastAsia="Arial" w:hAnsi="Arial"/>
          <w:sz w:val="16"/>
          <w:szCs w:val="16"/>
          <w:i w:val="1"/>
          <w:iCs w:val="1"/>
          <w:color w:val="auto"/>
        </w:rPr>
        <w:t xml:space="preserve">Revenue. </w:t>
      </w:r>
      <w:r>
        <w:rPr>
          <w:rFonts w:ascii="Arial" w:cs="Arial" w:eastAsia="Arial" w:hAnsi="Arial"/>
          <w:sz w:val="16"/>
          <w:szCs w:val="16"/>
          <w:color w:val="auto"/>
        </w:rPr>
        <w:t>Total revenue of the Company for the 2007 post-IPO period was $213.7 million, while total revenue for the 2007 pre-IPO period was $23.6</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as compared to $145.2 million during the nine months ended September 28, 2006. The increase was primarily the result of payments from the founding member beverage agreements, increase in national advertising inventory utilization, an increase in local and regional advertising sales, the conversion or assignment of certain legacy contracts and increasing meetings and events revenue. The national advertising revenue increase of 50.9% related primarily to an increase in national advertising inventory utilization to 82.1% from 72.3%, a 1.7% increase in CPMs, an increase in non-inventory on-screen and lobby revenue and a 10% increase in founding member attendance. The increase in founding member attendance related primarily to an approximate 9% increase in screens associated with a pre-IPO acquisition and a favorable film mix. Local and regional advertising revenue increased by 27.7% primarily due to an increase in screens, time sold and a strong film slate. The meeting and events revenue increase of 55.2% related primarily to an increase in event count of approximately 52.0%.</w:t>
      </w:r>
    </w:p>
    <w:p>
      <w:pPr>
        <w:spacing w:after="0" w:line="120" w:lineRule="exact"/>
        <w:rPr>
          <w:sz w:val="20"/>
          <w:szCs w:val="20"/>
          <w:color w:val="auto"/>
        </w:rPr>
      </w:pPr>
    </w:p>
    <w:p>
      <w:pPr>
        <w:ind w:right="140" w:firstLine="456"/>
        <w:spacing w:after="0" w:line="291" w:lineRule="auto"/>
        <w:rPr>
          <w:sz w:val="20"/>
          <w:szCs w:val="20"/>
          <w:color w:val="auto"/>
        </w:rPr>
      </w:pPr>
      <w:r>
        <w:rPr>
          <w:rFonts w:ascii="Arial" w:cs="Arial" w:eastAsia="Arial" w:hAnsi="Arial"/>
          <w:sz w:val="16"/>
          <w:szCs w:val="16"/>
          <w:color w:val="auto"/>
        </w:rPr>
        <w:t>Total advertising contract value per founding member attendee for the Company for the 2007 post-IPO period was $0.55, while the total advertising contract value per founding member attendee was $0.31 for the 2007 pre-IPO period and $0.37 during the nine months ended September 28, 2006. The approximate 37.8% increase in the advertising contract value per founding member for the combined 2007 post-IPO period and 2007 pre-IPO period versus the nine months ended September 28, 2006 was primarily the result of increased utilization through an increase in expenditures from certain existing clients and the expansion of our advertising client base. The increase was also due to an increase in sales of non-inventory on-screen and lobby revenue, such as the sale of branded content segments, cell phone trailer segments and lobby promotional items.</w:t>
      </w:r>
    </w:p>
    <w:p>
      <w:pPr>
        <w:spacing w:after="0" w:line="12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i w:val="1"/>
          <w:iCs w:val="1"/>
          <w:color w:val="auto"/>
        </w:rPr>
        <w:t xml:space="preserve">Operating expenses. </w:t>
      </w:r>
      <w:r>
        <w:rPr>
          <w:rFonts w:ascii="Arial" w:cs="Arial" w:eastAsia="Arial" w:hAnsi="Arial"/>
          <w:sz w:val="16"/>
          <w:szCs w:val="16"/>
          <w:color w:val="auto"/>
        </w:rPr>
        <w:t>Total operating expenses for the 2007 post-IPO period were $70.6 million, $12.9 million during the 2007 pre-IPO period and $64.1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nine months ended September 28, 2006. The increase of the combined 2007 post-IPO period and 2007 pre-IPO period versus total operating expenses for the nine months ended September 28, 2006 was primarily the result of the increase in sales commissions and event costs associated with the increase in revenue discussed above and increased expenses due to additional staffing and infrastructure required to support the increase in the number of advertising contracts, expansion of the network and public company compliance costs.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Non-cash costs associated with our equity incentive plan also contributed to the increase in administrative expenses. Share-based compensation expense for the 2007 post-IPO period was $2.2 million, while the expense was $0.3 million for the 2007 pre-IPO period and $1.1 million for the nine months ended September 28, 2006. The increase in share-based compensation expense is primarily due to the plan being in place for the entire 2007 post-IPO and 2007 pre-IPO periods, while it was only in place for six months of the nine months ended September 28, 2006 as the options were originally issued in the second quarter of 2006. See the information provided under Note 11 to the unaudited condensed consolidated financial statements included elsewhere in this document for additional details.</w:t>
      </w:r>
    </w:p>
    <w:p>
      <w:pPr>
        <w:spacing w:after="0" w:line="144"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Total operating expenses per founding member attendee for the Company for the 2007 post-IPO period was $0.20, $0.19 for the 2007 pre-IPO period and $0.17 during the nine months ended September 28, 2006. The 37.8% increase in total operating expenses per founding member for the combined 2007 post-IPO period and 2007 pre-IPO period versus the nine months ended September 28, 2006 was primarily the result of increased revenue and related expenses associated with the lower-margin meetings and events businesses, offset by the fixed nature of many of our operating expenses associated with our advertising business. Operating expenses as a percentage of revenues for the 2007 post-IPO period was 33.0%, for the</w:t>
      </w:r>
    </w:p>
    <w:p>
      <w:pPr>
        <w:spacing w:after="0" w:line="102"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2007 pre-IPO period was 54.7% and for the nine months ended September 28, 2006 was 44.1%. The decrease in the 2007 post-IPO period percentage is primarily the result of higher advertising revenue levels discussed above and the scalable nature of several components of our operating expenses.</w:t>
      </w:r>
    </w:p>
    <w:p>
      <w:pPr>
        <w:spacing w:after="0" w:line="85" w:lineRule="exact"/>
        <w:rPr>
          <w:sz w:val="20"/>
          <w:szCs w:val="20"/>
          <w:color w:val="auto"/>
        </w:rPr>
      </w:pPr>
    </w:p>
    <w:p>
      <w:pPr>
        <w:ind w:right="60" w:firstLine="456"/>
        <w:spacing w:after="0" w:line="312" w:lineRule="auto"/>
        <w:rPr>
          <w:sz w:val="20"/>
          <w:szCs w:val="20"/>
          <w:color w:val="auto"/>
        </w:rPr>
      </w:pPr>
      <w:r>
        <w:rPr>
          <w:rFonts w:ascii="Arial" w:cs="Arial" w:eastAsia="Arial" w:hAnsi="Arial"/>
          <w:sz w:val="15"/>
          <w:szCs w:val="15"/>
          <w:i w:val="1"/>
          <w:iCs w:val="1"/>
          <w:color w:val="auto"/>
        </w:rPr>
        <w:t xml:space="preserve">Circuit share expense/theatre access fee. </w:t>
      </w:r>
      <w:r>
        <w:rPr>
          <w:rFonts w:ascii="Arial" w:cs="Arial" w:eastAsia="Arial" w:hAnsi="Arial"/>
          <w:sz w:val="15"/>
          <w:szCs w:val="15"/>
          <w:color w:val="auto"/>
        </w:rPr>
        <w:t>Theatre access fees of the Company for the 2007 post-IPO period were $30.8 million, while circuit share expense</w:t>
      </w:r>
      <w:r>
        <w:rPr>
          <w:rFonts w:ascii="Arial" w:cs="Arial" w:eastAsia="Arial" w:hAnsi="Arial"/>
          <w:sz w:val="15"/>
          <w:szCs w:val="15"/>
          <w:i w:val="1"/>
          <w:iCs w:val="1"/>
          <w:color w:val="auto"/>
        </w:rPr>
        <w:t xml:space="preserve"> </w:t>
      </w:r>
      <w:r>
        <w:rPr>
          <w:rFonts w:ascii="Arial" w:cs="Arial" w:eastAsia="Arial" w:hAnsi="Arial"/>
          <w:sz w:val="15"/>
          <w:szCs w:val="15"/>
          <w:color w:val="auto"/>
        </w:rPr>
        <w:t>was $14.4 million during the 2007 pre-IPO period and $88.6 million during nine months ended September 28, 2006. The decrease for the 2007 post-IPO period versus the NCM LLC 2007 pre-IPO period and the nine months ended September 28, 2006 was primarily the result of the amended and restated ESAs that became effective upon the completion of the IPO as discussed above. Total theatre access fees as a percentage of revenue of the Company for the 2007 post-IPO period were 14.4%, while the total circuit share expense as a percentage of revenue was 61.0% for the 2007 pre-IPO period and 61.0% during the nine months ended September 28, 2006. The decrease in the theatre access fee as a percentage of revenue for the 2007 post-IPO period was the result of the change in the structure of the theatre access fee as compared to the circuit share payments prior to the amendment and restatement of the ESAs, as previously discussed.</w:t>
      </w:r>
    </w:p>
    <w:p>
      <w:pPr>
        <w:spacing w:after="0" w:line="105" w:lineRule="exact"/>
        <w:rPr>
          <w:sz w:val="20"/>
          <w:szCs w:val="20"/>
          <w:color w:val="auto"/>
        </w:rPr>
      </w:pPr>
    </w:p>
    <w:p>
      <w:pPr>
        <w:ind w:right="60" w:firstLine="456"/>
        <w:spacing w:after="0" w:line="314" w:lineRule="auto"/>
        <w:rPr>
          <w:sz w:val="20"/>
          <w:szCs w:val="20"/>
          <w:color w:val="auto"/>
        </w:rPr>
      </w:pPr>
      <w:r>
        <w:rPr>
          <w:rFonts w:ascii="Arial" w:cs="Arial" w:eastAsia="Arial" w:hAnsi="Arial"/>
          <w:sz w:val="15"/>
          <w:szCs w:val="15"/>
          <w:i w:val="1"/>
          <w:iCs w:val="1"/>
          <w:color w:val="auto"/>
        </w:rPr>
        <w:t>Net income (loss)</w:t>
      </w:r>
      <w:r>
        <w:rPr>
          <w:rFonts w:ascii="Arial" w:cs="Arial" w:eastAsia="Arial" w:hAnsi="Arial"/>
          <w:sz w:val="15"/>
          <w:szCs w:val="15"/>
          <w:color w:val="auto"/>
        </w:rPr>
        <w:t>. Net income generated by the Company for the 2007 post-IPO period was $16.6 million, while for the 2007 pre-IPO period there was a</w:t>
      </w:r>
      <w:r>
        <w:rPr>
          <w:rFonts w:ascii="Arial" w:cs="Arial" w:eastAsia="Arial" w:hAnsi="Arial"/>
          <w:sz w:val="15"/>
          <w:szCs w:val="15"/>
          <w:i w:val="1"/>
          <w:iCs w:val="1"/>
          <w:color w:val="auto"/>
        </w:rPr>
        <w:t xml:space="preserve"> </w:t>
      </w:r>
      <w:r>
        <w:rPr>
          <w:rFonts w:ascii="Arial" w:cs="Arial" w:eastAsia="Arial" w:hAnsi="Arial"/>
          <w:sz w:val="15"/>
          <w:szCs w:val="15"/>
          <w:color w:val="auto"/>
        </w:rPr>
        <w:t>net loss of $4.2 million and there was a net loss of $11.2 million during the nine months ended September 28, 2006. The increase in the profitability of the Company for the 2007 post-IPO period versus the periods prior to the IPO was due to the increase in revenue and decrease in payments to the founding members discussed above, partially offset by an increase in interest expense associated with the new credit facilities and the income taxes and expenses associated with the tax receivable agreement and minority interest expense associated with the new corporate structure. The comparability of the net income of the periods presented is limited due to the differing lengths of the periods, size of our network and changes in the corporate structure and capitalization as discussed above.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EBITDA</w:t>
      </w:r>
    </w:p>
    <w:p>
      <w:pPr>
        <w:spacing w:after="0" w:line="90" w:lineRule="exact"/>
        <w:rPr>
          <w:sz w:val="20"/>
          <w:szCs w:val="20"/>
          <w:color w:val="auto"/>
        </w:rPr>
      </w:pPr>
    </w:p>
    <w:p>
      <w:pPr>
        <w:ind w:right="100" w:firstLine="456"/>
        <w:spacing w:after="0" w:line="290" w:lineRule="auto"/>
        <w:rPr>
          <w:sz w:val="20"/>
          <w:szCs w:val="20"/>
          <w:color w:val="auto"/>
        </w:rPr>
      </w:pPr>
      <w:r>
        <w:rPr>
          <w:rFonts w:ascii="Arial" w:cs="Arial" w:eastAsia="Arial" w:hAnsi="Arial"/>
          <w:sz w:val="16"/>
          <w:szCs w:val="16"/>
          <w:color w:val="auto"/>
        </w:rPr>
        <w:t>EBITDA, adjusted EBITDA and adjusted EBITDA margin are non-GAAP financial measures used by management to measure operating performance. EBITDA represents net income (loss) before net interest expense, income tax benefit (provision), and depreciation and amortization expense. Adjusted EBITDA excludes from EBITDA severance plan costs, non-cash unit based costs and deferred stock compensation. Adjusted EBITDA margin is calculated by dividing adjusted EBITDA by total revenue. EBITDA and adjusted EBITDA do not reflect the Loews payments. The Loews payments received are added to adjusted EBITDA to determine our compliance with financial covenants under our new senior secured credit facility. AMC will make Loews payments to NCM LLC pursuant to the Loews screen integration agreement, which were $3.8 million for the quarter ended September 27, 2007 and is expected to be approximately $11 million to $12 million on a pro forma basis for the year.</w:t>
      </w:r>
    </w:p>
    <w:p>
      <w:pPr>
        <w:spacing w:after="0" w:line="118"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We have included a discussion of EBITDA, adjusted EBITDA and adjusted EBITDA margin to provide investors with supplemental measures of our operating performance and because they are the basis for an important financial covenant that is contained in our senior secured credit facility. We believe EBITDA, adjusted EBITDA and adjusted EBITDA margin are important supplemental measures of operating performance because they eliminate items that have less bearing on our operating performance and so highlight trends in our core business that may not otherwise be apparent when relying solely on generally accepted accounting principles, or GAAP, financial measures. We also believe that securities analysts, investors and other interested parties frequently use EBITDA, adjusted EBITDA and adjusted EBITDA margin to evaluate and value companies, many of which present EBITDA, adjusted EBITDA and adjusted EBITDA margin when reporting their results. Also, because of the significant changes in our operating results that resulted from the acquisition of an interest in NCM LLC by NCM, Inc., the changes in the exhibitor services agreements and the financing transaction, we disclose pro forma EBITDA, adjusted EBITDA and adjusted EBITDA margin in this document. See the unaudited pro forma financial information contained elsewhere in this document.</w:t>
      </w:r>
    </w:p>
    <w:p>
      <w:pPr>
        <w:spacing w:after="0" w:line="120" w:lineRule="exact"/>
        <w:rPr>
          <w:sz w:val="20"/>
          <w:szCs w:val="20"/>
          <w:color w:val="auto"/>
        </w:rPr>
      </w:pPr>
    </w:p>
    <w:p>
      <w:pPr>
        <w:ind w:right="40" w:firstLine="456"/>
        <w:spacing w:after="0" w:line="253" w:lineRule="auto"/>
        <w:rPr>
          <w:sz w:val="20"/>
          <w:szCs w:val="20"/>
          <w:color w:val="auto"/>
        </w:rPr>
      </w:pPr>
      <w:r>
        <w:rPr>
          <w:rFonts w:ascii="Arial" w:cs="Arial" w:eastAsia="Arial" w:hAnsi="Arial"/>
          <w:sz w:val="18"/>
          <w:szCs w:val="18"/>
          <w:color w:val="auto"/>
        </w:rPr>
        <w:t>EBITDA, adjusted EBITDA and adjusted EBITDA margin are not presentations made in accordance with GAAP. As discussed above, we believe that the presentation of EBITDA, adjusted EBITDA and adjusted EBITDA margin is appropriate. However, when evaluating our results, you should not consider EBITDA, adjusted EBITDA and adjusted EBITDA margin in isolation of, or as a substitute for, measures of our financial performance as determined in accordance with GAAP, such as net income (loss). EBITDA, adjusted EBITDA and adjusted EBITDA margin have material limitations as performance measures because they exclude items that are necessary elements of our costs and operations. Because other companies may calculate EBITDA, adjusted EBITDA and adjusted EBITDA margin differently than we do, EBITDA, adjusted EBITDA and adjusted EBITDA margin may not be comparable to similarly-titled measures reported by other companies.</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historical net income (loss) to historical EBITDA and adjusted EBITDA for the periods presented (dollars in millions):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0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1"/>
              </w:rPr>
              <w:t>Post-IPO</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600"/>
              <w:spacing w:after="0"/>
              <w:rPr>
                <w:sz w:val="20"/>
                <w:szCs w:val="20"/>
                <w:color w:val="auto"/>
              </w:rPr>
            </w:pPr>
            <w:r>
              <w:rPr>
                <w:rFonts w:ascii="Arial" w:cs="Arial" w:eastAsia="Arial" w:hAnsi="Arial"/>
                <w:sz w:val="14"/>
                <w:szCs w:val="14"/>
                <w:b w:val="1"/>
                <w:bCs w:val="1"/>
                <w:color w:val="auto"/>
                <w:w w:val="93"/>
              </w:rPr>
              <w:t>Pre-IPO</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40" w:type="dxa"/>
            <w:vAlign w:val="bottom"/>
            <w:gridSpan w:val="2"/>
          </w:tcPr>
          <w:p>
            <w:pPr>
              <w:jc w:val="center"/>
              <w:ind w:right="720"/>
              <w:spacing w:after="0" w:line="149" w:lineRule="exact"/>
              <w:rPr>
                <w:sz w:val="20"/>
                <w:szCs w:val="20"/>
                <w:color w:val="auto"/>
              </w:rPr>
            </w:pPr>
            <w:r>
              <w:rPr>
                <w:rFonts w:ascii="Arial" w:cs="Arial" w:eastAsia="Arial" w:hAnsi="Arial"/>
                <w:sz w:val="14"/>
                <w:szCs w:val="14"/>
                <w:b w:val="1"/>
                <w:bCs w:val="1"/>
                <w:color w:val="auto"/>
                <w:w w:val="87"/>
              </w:rPr>
              <w:t>Period</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600"/>
              <w:spacing w:after="0" w:line="149" w:lineRule="exact"/>
              <w:rPr>
                <w:sz w:val="20"/>
                <w:szCs w:val="20"/>
                <w:color w:val="auto"/>
              </w:rPr>
            </w:pPr>
            <w:r>
              <w:rPr>
                <w:rFonts w:ascii="Arial" w:cs="Arial" w:eastAsia="Arial" w:hAnsi="Arial"/>
                <w:sz w:val="14"/>
                <w:szCs w:val="14"/>
                <w:b w:val="1"/>
                <w:bCs w:val="1"/>
                <w:color w:val="auto"/>
                <w:w w:val="91"/>
              </w:rPr>
              <w:t>Period</w:t>
            </w: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90"/>
              </w:rPr>
              <w:t>Quarter</w:t>
            </w:r>
          </w:p>
        </w:tc>
        <w:tc>
          <w:tcPr>
            <w:tcW w:w="14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1"/>
              </w:rPr>
              <w:t>February 13,</w:t>
            </w:r>
          </w:p>
        </w:tc>
        <w:tc>
          <w:tcPr>
            <w:tcW w:w="400" w:type="dxa"/>
            <w:vAlign w:val="bottom"/>
          </w:tcPr>
          <w:p>
            <w:pPr>
              <w:spacing w:after="0"/>
              <w:rPr>
                <w:sz w:val="12"/>
                <w:szCs w:val="12"/>
                <w:color w:val="auto"/>
              </w:rPr>
            </w:pPr>
          </w:p>
        </w:tc>
        <w:tc>
          <w:tcPr>
            <w:tcW w:w="12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December 29,</w:t>
            </w:r>
          </w:p>
        </w:tc>
        <w:tc>
          <w:tcPr>
            <w:tcW w:w="120" w:type="dxa"/>
            <w:vAlign w:val="bottom"/>
          </w:tcPr>
          <w:p>
            <w:pPr>
              <w:spacing w:after="0"/>
              <w:rPr>
                <w:sz w:val="12"/>
                <w:szCs w:val="12"/>
                <w:color w:val="auto"/>
              </w:rPr>
            </w:pPr>
          </w:p>
        </w:tc>
        <w:tc>
          <w:tcPr>
            <w:tcW w:w="1040" w:type="dxa"/>
            <w:vAlign w:val="bottom"/>
            <w:gridSpan w:val="2"/>
          </w:tcPr>
          <w:p>
            <w:pPr>
              <w:jc w:val="center"/>
              <w:ind w:right="480"/>
              <w:spacing w:after="0" w:line="149" w:lineRule="exact"/>
              <w:rPr>
                <w:sz w:val="20"/>
                <w:szCs w:val="20"/>
                <w:color w:val="auto"/>
              </w:rPr>
            </w:pPr>
            <w:r>
              <w:rPr>
                <w:rFonts w:ascii="Arial" w:cs="Arial" w:eastAsia="Arial" w:hAnsi="Arial"/>
                <w:sz w:val="14"/>
                <w:szCs w:val="14"/>
                <w:b w:val="1"/>
                <w:bCs w:val="1"/>
                <w:color w:val="auto"/>
                <w:w w:val="94"/>
              </w:rPr>
              <w:t>Quarter</w:t>
            </w:r>
          </w:p>
        </w:tc>
        <w:tc>
          <w:tcPr>
            <w:tcW w:w="200" w:type="dxa"/>
            <w:vAlign w:val="bottom"/>
          </w:tcPr>
          <w:p>
            <w:pPr>
              <w:spacing w:after="0"/>
              <w:rPr>
                <w:sz w:val="12"/>
                <w:szCs w:val="12"/>
                <w:color w:val="auto"/>
              </w:rPr>
            </w:pPr>
          </w:p>
        </w:tc>
        <w:tc>
          <w:tcPr>
            <w:tcW w:w="90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Nine Months</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60" w:type="dxa"/>
            <w:vAlign w:val="bottom"/>
            <w:gridSpan w:val="2"/>
          </w:tcPr>
          <w:p>
            <w:pPr>
              <w:jc w:val="center"/>
              <w:ind w:right="680"/>
              <w:spacing w:after="0" w:line="149" w:lineRule="exact"/>
              <w:rPr>
                <w:sz w:val="20"/>
                <w:szCs w:val="20"/>
                <w:color w:val="auto"/>
              </w:rPr>
            </w:pPr>
            <w:r>
              <w:rPr>
                <w:rFonts w:ascii="Arial" w:cs="Arial" w:eastAsia="Arial" w:hAnsi="Arial"/>
                <w:sz w:val="14"/>
                <w:szCs w:val="14"/>
                <w:b w:val="1"/>
                <w:bCs w:val="1"/>
                <w:color w:val="auto"/>
                <w:w w:val="88"/>
              </w:rPr>
              <w:t>Ended</w:t>
            </w:r>
          </w:p>
        </w:tc>
        <w:tc>
          <w:tcPr>
            <w:tcW w:w="144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86"/>
              </w:rPr>
              <w:t>2007 through</w:t>
            </w:r>
          </w:p>
        </w:tc>
        <w:tc>
          <w:tcPr>
            <w:tcW w:w="40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2006 through</w:t>
            </w:r>
          </w:p>
        </w:tc>
        <w:tc>
          <w:tcPr>
            <w:tcW w:w="120" w:type="dxa"/>
            <w:vAlign w:val="bottom"/>
          </w:tcPr>
          <w:p>
            <w:pPr>
              <w:spacing w:after="0"/>
              <w:rPr>
                <w:sz w:val="12"/>
                <w:szCs w:val="12"/>
                <w:color w:val="auto"/>
              </w:rPr>
            </w:pPr>
          </w:p>
        </w:tc>
        <w:tc>
          <w:tcPr>
            <w:tcW w:w="104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8"/>
              </w:rPr>
              <w:t>Ended</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Ended</w:t>
            </w:r>
          </w:p>
        </w:tc>
        <w:tc>
          <w:tcPr>
            <w:tcW w:w="0" w:type="dxa"/>
            <w:vAlign w:val="bottom"/>
          </w:tcPr>
          <w:p>
            <w:pPr>
              <w:spacing w:after="0"/>
              <w:rPr>
                <w:sz w:val="1"/>
                <w:szCs w:val="1"/>
                <w:color w:val="auto"/>
              </w:rPr>
            </w:pPr>
          </w:p>
        </w:tc>
      </w:tr>
      <w:tr>
        <w:trPr>
          <w:trHeight w:val="149"/>
        </w:trPr>
        <w:tc>
          <w:tcPr>
            <w:tcW w:w="30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3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27,</w:t>
            </w:r>
          </w:p>
        </w:tc>
        <w:tc>
          <w:tcPr>
            <w:tcW w:w="144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400" w:type="dxa"/>
            <w:vAlign w:val="bottom"/>
          </w:tcPr>
          <w:p>
            <w:pPr>
              <w:spacing w:after="0"/>
              <w:rPr>
                <w:sz w:val="12"/>
                <w:szCs w:val="12"/>
                <w:color w:val="auto"/>
              </w:rPr>
            </w:pPr>
          </w:p>
        </w:tc>
        <w:tc>
          <w:tcPr>
            <w:tcW w:w="12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February 12,</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28,</w:t>
            </w:r>
          </w:p>
        </w:tc>
        <w:tc>
          <w:tcPr>
            <w:tcW w:w="20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September 28,</w:t>
            </w:r>
          </w:p>
        </w:tc>
        <w:tc>
          <w:tcPr>
            <w:tcW w:w="0" w:type="dxa"/>
            <w:vAlign w:val="bottom"/>
          </w:tcPr>
          <w:p>
            <w:pPr>
              <w:spacing w:after="0"/>
              <w:rPr>
                <w:sz w:val="1"/>
                <w:szCs w:val="1"/>
                <w:color w:val="auto"/>
              </w:rPr>
            </w:pPr>
          </w:p>
        </w:tc>
      </w:tr>
      <w:tr>
        <w:trPr>
          <w:trHeight w:val="175"/>
        </w:trPr>
        <w:tc>
          <w:tcPr>
            <w:tcW w:w="30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2007</w:t>
            </w:r>
          </w:p>
        </w:tc>
        <w:tc>
          <w:tcPr>
            <w:tcW w:w="5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2007</w:t>
            </w:r>
          </w:p>
        </w:tc>
        <w:tc>
          <w:tcPr>
            <w:tcW w:w="6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2007</w:t>
            </w:r>
          </w:p>
        </w:tc>
        <w:tc>
          <w:tcPr>
            <w:tcW w:w="48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89"/>
              </w:rPr>
              <w:t>2006</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620" w:type="dxa"/>
            <w:vAlign w:val="bottom"/>
            <w:tcBorders>
              <w:right w:val="single" w:sz="8" w:color="auto"/>
            </w:tcBorders>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(0.6)</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Income taxes</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28.3</w:t>
            </w:r>
          </w:p>
        </w:tc>
        <w:tc>
          <w:tcPr>
            <w:tcW w:w="6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020" w:type="dxa"/>
            <w:vAlign w:val="bottom"/>
          </w:tcPr>
          <w:p>
            <w:pPr>
              <w:spacing w:after="0"/>
              <w:rPr>
                <w:sz w:val="20"/>
                <w:szCs w:val="20"/>
                <w:color w:val="auto"/>
              </w:rPr>
            </w:pPr>
            <w:r>
              <w:rPr>
                <w:rFonts w:ascii="Arial" w:cs="Arial" w:eastAsia="Arial" w:hAnsi="Arial"/>
                <w:sz w:val="18"/>
                <w:szCs w:val="18"/>
                <w:color w:val="auto"/>
              </w:rPr>
              <w:t>Interest expense</w:t>
            </w: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16.2</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40.7</w:t>
            </w:r>
          </w:p>
        </w:tc>
        <w:tc>
          <w:tcPr>
            <w:tcW w:w="620" w:type="dxa"/>
            <w:vAlign w:val="bottom"/>
            <w:tcBorders>
              <w:right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0.1</w:t>
            </w:r>
          </w:p>
        </w:tc>
        <w:tc>
          <w:tcPr>
            <w:tcW w:w="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0.2</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7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4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3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020" w:type="dxa"/>
            <w:vAlign w:val="bottom"/>
          </w:tcPr>
          <w:p>
            <w:pPr>
              <w:ind w:left="440"/>
              <w:spacing w:after="0"/>
              <w:rPr>
                <w:sz w:val="20"/>
                <w:szCs w:val="20"/>
                <w:color w:val="auto"/>
              </w:rPr>
            </w:pPr>
            <w:r>
              <w:rPr>
                <w:rFonts w:ascii="Arial" w:cs="Arial" w:eastAsia="Arial" w:hAnsi="Arial"/>
                <w:sz w:val="18"/>
                <w:szCs w:val="18"/>
                <w:color w:val="auto"/>
              </w:rPr>
              <w:t>EBITDA</w:t>
            </w: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55.3</w:t>
            </w: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114.3</w:t>
            </w:r>
          </w:p>
        </w:tc>
        <w:tc>
          <w:tcPr>
            <w:tcW w:w="6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42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0.7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18"/>
        </w:trPr>
        <w:tc>
          <w:tcPr>
            <w:tcW w:w="3020" w:type="dxa"/>
            <w:vAlign w:val="bottom"/>
            <w:shd w:val="clear" w:color="auto" w:fill="CCEEFF"/>
          </w:tcPr>
          <w:p>
            <w:pPr>
              <w:spacing w:after="0"/>
              <w:rPr>
                <w:sz w:val="20"/>
                <w:szCs w:val="20"/>
                <w:color w:val="auto"/>
              </w:rPr>
            </w:pPr>
            <w:r>
              <w:rPr>
                <w:rFonts w:ascii="Arial" w:cs="Arial" w:eastAsia="Arial" w:hAnsi="Arial"/>
                <w:sz w:val="18"/>
                <w:szCs w:val="18"/>
                <w:color w:val="auto"/>
              </w:rPr>
              <w:t>Severance plan costs</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620" w:type="dxa"/>
            <w:vAlign w:val="bottom"/>
            <w:tcBorders>
              <w:right w:val="single" w:sz="8" w:color="auto"/>
            </w:tcBorders>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4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0.7</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3020" w:type="dxa"/>
            <w:vAlign w:val="bottom"/>
          </w:tcPr>
          <w:p>
            <w:pPr>
              <w:spacing w:after="0"/>
              <w:rPr>
                <w:sz w:val="20"/>
                <w:szCs w:val="20"/>
                <w:color w:val="auto"/>
              </w:rPr>
            </w:pPr>
            <w:r>
              <w:rPr>
                <w:rFonts w:ascii="Arial" w:cs="Arial" w:eastAsia="Arial" w:hAnsi="Arial"/>
                <w:sz w:val="18"/>
                <w:szCs w:val="18"/>
                <w:color w:val="auto"/>
              </w:rPr>
              <w:t>Share-based compensation costs</w:t>
            </w:r>
          </w:p>
        </w:tc>
        <w:tc>
          <w:tcPr>
            <w:tcW w:w="7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5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620" w:type="dxa"/>
            <w:vAlign w:val="bottom"/>
            <w:tcBorders>
              <w:right w:val="single" w:sz="8" w:color="auto"/>
            </w:tcBorders>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4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EBITDA</w:t>
            </w:r>
          </w:p>
        </w:tc>
        <w:tc>
          <w:tcPr>
            <w:tcW w:w="84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117.8</w:t>
            </w:r>
          </w:p>
        </w:tc>
        <w:tc>
          <w:tcPr>
            <w:tcW w:w="620" w:type="dxa"/>
            <w:vAlign w:val="bottom"/>
            <w:tcBorders>
              <w:right w:val="single" w:sz="8" w:color="auto"/>
            </w:tcBorders>
            <w:shd w:val="clear" w:color="auto" w:fill="CCEEFF"/>
          </w:tcPr>
          <w:p>
            <w:pPr>
              <w:spacing w:after="0"/>
              <w:rPr>
                <w:sz w:val="18"/>
                <w:szCs w:val="18"/>
                <w:color w:val="auto"/>
              </w:rPr>
            </w:pPr>
          </w:p>
        </w:tc>
        <w:tc>
          <w:tcPr>
            <w:tcW w:w="5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(2.7)</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w:t>
            </w:r>
          </w:p>
        </w:tc>
        <w:tc>
          <w:tcPr>
            <w:tcW w:w="3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3020" w:type="dxa"/>
            <w:vAlign w:val="bottom"/>
            <w:vMerge w:val="continue"/>
          </w:tcPr>
          <w:p>
            <w:pPr>
              <w:spacing w:after="0"/>
              <w:rPr>
                <w:sz w:val="18"/>
                <w:szCs w:val="18"/>
                <w:color w:val="auto"/>
              </w:rPr>
            </w:pPr>
          </w:p>
        </w:tc>
        <w:tc>
          <w:tcPr>
            <w:tcW w:w="840" w:type="dxa"/>
            <w:vAlign w:val="bottom"/>
            <w:gridSpan w:val="2"/>
          </w:tcPr>
          <w:p>
            <w:pPr>
              <w:ind w:left="720"/>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97.6</w:t>
            </w:r>
          </w:p>
        </w:tc>
        <w:tc>
          <w:tcPr>
            <w:tcW w:w="5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213.7</w:t>
            </w:r>
          </w:p>
        </w:tc>
        <w:tc>
          <w:tcPr>
            <w:tcW w:w="620" w:type="dxa"/>
            <w:vAlign w:val="bottom"/>
            <w:tcBorders>
              <w:right w:val="single" w:sz="8" w:color="auto"/>
            </w:tcBorders>
          </w:tcPr>
          <w:p>
            <w:pPr>
              <w:spacing w:after="0"/>
              <w:rPr>
                <w:sz w:val="18"/>
                <w:szCs w:val="18"/>
                <w:color w:val="auto"/>
              </w:rPr>
            </w:pPr>
          </w:p>
        </w:tc>
        <w:tc>
          <w:tcPr>
            <w:tcW w:w="520" w:type="dxa"/>
            <w:vAlign w:val="bottom"/>
            <w:gridSpan w:val="2"/>
          </w:tcPr>
          <w:p>
            <w:pPr>
              <w:ind w:left="40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23.6</w:t>
            </w:r>
          </w:p>
        </w:tc>
        <w:tc>
          <w:tcPr>
            <w:tcW w:w="4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60.7</w:t>
            </w:r>
          </w:p>
        </w:tc>
        <w:tc>
          <w:tcPr>
            <w:tcW w:w="36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145.2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0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EBITDA margin</w:t>
            </w: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57.9%</w:t>
            </w:r>
          </w:p>
        </w:tc>
        <w:tc>
          <w:tcPr>
            <w:tcW w:w="100" w:type="dxa"/>
            <w:vAlign w:val="bottom"/>
            <w:shd w:val="clear" w:color="auto" w:fill="CCEEFF"/>
          </w:tcPr>
          <w:p>
            <w:pPr>
              <w:spacing w:after="0"/>
              <w:rPr>
                <w:sz w:val="18"/>
                <w:szCs w:val="18"/>
                <w:color w:val="auto"/>
              </w:rPr>
            </w:pPr>
          </w:p>
        </w:tc>
        <w:tc>
          <w:tcPr>
            <w:tcW w:w="1340" w:type="dxa"/>
            <w:vAlign w:val="bottom"/>
            <w:tcBorders>
              <w:right w:val="single" w:sz="8" w:color="auto"/>
            </w:tcBorders>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55.1%</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NM</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right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reconciles pro forma net income to pro forma EBITDA and adjusted EBITDA for the periods presented (dollars in millions):</w:t>
      </w:r>
    </w:p>
    <w:p>
      <w:pPr>
        <w:spacing w:after="0" w:line="21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60" w:type="dxa"/>
            <w:vAlign w:val="bottom"/>
            <w:gridSpan w:val="2"/>
          </w:tcPr>
          <w:p>
            <w:pPr>
              <w:jc w:val="center"/>
              <w:ind w:right="880"/>
              <w:spacing w:after="0"/>
              <w:rPr>
                <w:sz w:val="20"/>
                <w:szCs w:val="20"/>
                <w:color w:val="auto"/>
              </w:rPr>
            </w:pPr>
            <w:r>
              <w:rPr>
                <w:rFonts w:ascii="Arial" w:cs="Arial" w:eastAsia="Arial" w:hAnsi="Arial"/>
                <w:sz w:val="14"/>
                <w:szCs w:val="14"/>
                <w:b w:val="1"/>
                <w:bCs w:val="1"/>
                <w:color w:val="auto"/>
                <w:w w:val="90"/>
              </w:rPr>
              <w:t>Quarter</w:t>
            </w:r>
          </w:p>
        </w:tc>
        <w:tc>
          <w:tcPr>
            <w:tcW w:w="162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90"/>
              </w:rPr>
              <w:t>Nine Months</w:t>
            </w:r>
          </w:p>
        </w:tc>
        <w:tc>
          <w:tcPr>
            <w:tcW w:w="1600" w:type="dxa"/>
            <w:vAlign w:val="bottom"/>
            <w:gridSpan w:val="3"/>
          </w:tcPr>
          <w:p>
            <w:pPr>
              <w:jc w:val="center"/>
              <w:ind w:right="780"/>
              <w:spacing w:after="0"/>
              <w:rPr>
                <w:sz w:val="20"/>
                <w:szCs w:val="20"/>
                <w:color w:val="auto"/>
              </w:rPr>
            </w:pPr>
            <w:r>
              <w:rPr>
                <w:rFonts w:ascii="Arial" w:cs="Arial" w:eastAsia="Arial" w:hAnsi="Arial"/>
                <w:sz w:val="14"/>
                <w:szCs w:val="14"/>
                <w:b w:val="1"/>
                <w:bCs w:val="1"/>
                <w:color w:val="auto"/>
                <w:w w:val="88"/>
              </w:rPr>
              <w:t>Nine Months</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6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146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4"/>
              </w:rPr>
              <w:t>Ended</w:t>
            </w:r>
          </w:p>
        </w:tc>
        <w:tc>
          <w:tcPr>
            <w:tcW w:w="160" w:type="dxa"/>
            <w:vAlign w:val="bottom"/>
          </w:tcPr>
          <w:p>
            <w:pPr>
              <w:spacing w:after="0"/>
              <w:rPr>
                <w:sz w:val="12"/>
                <w:szCs w:val="12"/>
                <w:color w:val="auto"/>
              </w:rPr>
            </w:pPr>
          </w:p>
        </w:tc>
        <w:tc>
          <w:tcPr>
            <w:tcW w:w="144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88"/>
              </w:rPr>
              <w:t>Ended</w:t>
            </w:r>
          </w:p>
        </w:tc>
        <w:tc>
          <w:tcPr>
            <w:tcW w:w="92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Nine Months</w:t>
            </w:r>
          </w:p>
        </w:tc>
        <w:tc>
          <w:tcPr>
            <w:tcW w:w="0" w:type="dxa"/>
            <w:vAlign w:val="bottom"/>
          </w:tcPr>
          <w:p>
            <w:pPr>
              <w:spacing w:after="0"/>
              <w:rPr>
                <w:sz w:val="1"/>
                <w:szCs w:val="1"/>
                <w:color w:val="auto"/>
              </w:rPr>
            </w:pPr>
          </w:p>
        </w:tc>
      </w:tr>
      <w:tr>
        <w:trPr>
          <w:trHeight w:val="149"/>
        </w:trPr>
        <w:tc>
          <w:tcPr>
            <w:tcW w:w="4780" w:type="dxa"/>
            <w:vAlign w:val="bottom"/>
          </w:tcPr>
          <w:p>
            <w:pPr>
              <w:spacing w:after="0"/>
              <w:rPr>
                <w:sz w:val="12"/>
                <w:szCs w:val="12"/>
                <w:color w:val="auto"/>
              </w:rPr>
            </w:pPr>
          </w:p>
        </w:tc>
        <w:tc>
          <w:tcPr>
            <w:tcW w:w="15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28,</w:t>
            </w:r>
          </w:p>
        </w:tc>
        <w:tc>
          <w:tcPr>
            <w:tcW w:w="16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27,</w:t>
            </w:r>
          </w:p>
        </w:tc>
        <w:tc>
          <w:tcPr>
            <w:tcW w:w="16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28,</w:t>
            </w:r>
          </w:p>
        </w:tc>
        <w:tc>
          <w:tcPr>
            <w:tcW w:w="9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2007 vs. 2006</w:t>
            </w:r>
          </w:p>
        </w:tc>
        <w:tc>
          <w:tcPr>
            <w:tcW w:w="0" w:type="dxa"/>
            <w:vAlign w:val="bottom"/>
          </w:tcPr>
          <w:p>
            <w:pPr>
              <w:spacing w:after="0"/>
              <w:rPr>
                <w:sz w:val="1"/>
                <w:szCs w:val="1"/>
                <w:color w:val="auto"/>
              </w:rPr>
            </w:pPr>
          </w:p>
        </w:tc>
      </w:tr>
      <w:tr>
        <w:trPr>
          <w:trHeight w:val="161"/>
        </w:trPr>
        <w:tc>
          <w:tcPr>
            <w:tcW w:w="47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3"/>
              </w:rPr>
              <w:t>2006</w:t>
            </w:r>
          </w:p>
        </w:tc>
        <w:tc>
          <w:tcPr>
            <w:tcW w:w="7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9"/>
              </w:rPr>
              <w:t>2007</w:t>
            </w:r>
          </w:p>
        </w:tc>
        <w:tc>
          <w:tcPr>
            <w:tcW w:w="7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b w:val="1"/>
                <w:bCs w:val="1"/>
                <w:color w:val="auto"/>
                <w:w w:val="83"/>
              </w:rPr>
              <w:t>2006</w:t>
            </w:r>
          </w:p>
        </w:tc>
        <w:tc>
          <w:tcPr>
            <w:tcW w:w="780" w:type="dxa"/>
            <w:vAlign w:val="bottom"/>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change</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16.4</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9.8</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Income taxes</w:t>
            </w:r>
          </w:p>
        </w:tc>
        <w:tc>
          <w:tcPr>
            <w:tcW w:w="12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9.1</w:t>
            </w:r>
          </w:p>
        </w:tc>
        <w:tc>
          <w:tcPr>
            <w:tcW w:w="160" w:type="dxa"/>
            <w:vAlign w:val="bottom"/>
          </w:tcPr>
          <w:p>
            <w:pPr>
              <w:spacing w:after="0"/>
              <w:rPr>
                <w:sz w:val="18"/>
                <w:szCs w:val="18"/>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8"/>
                <w:szCs w:val="18"/>
                <w:color w:val="auto"/>
              </w:rPr>
              <w:t>29.0</w:t>
            </w:r>
          </w:p>
        </w:tc>
        <w:tc>
          <w:tcPr>
            <w:tcW w:w="16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14.5</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7.6</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12.1</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Interest expense</w:t>
            </w:r>
          </w:p>
        </w:tc>
        <w:tc>
          <w:tcPr>
            <w:tcW w:w="120" w:type="dxa"/>
            <w:vAlign w:val="bottom"/>
          </w:tcPr>
          <w:p>
            <w:pPr>
              <w:spacing w:after="0"/>
              <w:rPr>
                <w:sz w:val="18"/>
                <w:szCs w:val="18"/>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16.3</w:t>
            </w:r>
          </w:p>
        </w:tc>
        <w:tc>
          <w:tcPr>
            <w:tcW w:w="160" w:type="dxa"/>
            <w:vAlign w:val="bottom"/>
          </w:tcPr>
          <w:p>
            <w:pPr>
              <w:spacing w:after="0"/>
              <w:rPr>
                <w:sz w:val="18"/>
                <w:szCs w:val="18"/>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8"/>
                <w:szCs w:val="18"/>
                <w:color w:val="auto"/>
              </w:rPr>
              <w:t>48.9</w:t>
            </w:r>
          </w:p>
        </w:tc>
        <w:tc>
          <w:tcPr>
            <w:tcW w:w="160" w:type="dxa"/>
            <w:vAlign w:val="bottom"/>
          </w:tcPr>
          <w:p>
            <w:pPr>
              <w:spacing w:after="0"/>
              <w:rPr>
                <w:sz w:val="18"/>
                <w:szCs w:val="18"/>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48.7</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7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7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780" w:type="dxa"/>
            <w:vAlign w:val="bottom"/>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780" w:type="dxa"/>
            <w:vAlign w:val="bottom"/>
          </w:tcPr>
          <w:p>
            <w:pPr>
              <w:ind w:left="440"/>
              <w:spacing w:after="0"/>
              <w:rPr>
                <w:sz w:val="20"/>
                <w:szCs w:val="20"/>
                <w:color w:val="auto"/>
              </w:rPr>
            </w:pPr>
            <w:r>
              <w:rPr>
                <w:rFonts w:ascii="Arial" w:cs="Arial" w:eastAsia="Arial" w:hAnsi="Arial"/>
                <w:sz w:val="18"/>
                <w:szCs w:val="18"/>
                <w:color w:val="auto"/>
              </w:rPr>
              <w:t>EBITDA</w:t>
            </w:r>
          </w:p>
        </w:tc>
        <w:tc>
          <w:tcPr>
            <w:tcW w:w="120" w:type="dxa"/>
            <w:vAlign w:val="bottom"/>
          </w:tcPr>
          <w:p>
            <w:pPr>
              <w:spacing w:after="0"/>
              <w:rPr>
                <w:sz w:val="19"/>
                <w:szCs w:val="19"/>
                <w:color w:val="auto"/>
              </w:rPr>
            </w:pP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40.1</w:t>
            </w:r>
          </w:p>
        </w:tc>
        <w:tc>
          <w:tcPr>
            <w:tcW w:w="160" w:type="dxa"/>
            <w:vAlign w:val="bottom"/>
          </w:tcPr>
          <w:p>
            <w:pPr>
              <w:spacing w:after="0"/>
              <w:rPr>
                <w:sz w:val="19"/>
                <w:szCs w:val="19"/>
                <w:color w:val="auto"/>
              </w:rPr>
            </w:pPr>
          </w:p>
        </w:tc>
        <w:tc>
          <w:tcPr>
            <w:tcW w:w="1460" w:type="dxa"/>
            <w:vAlign w:val="bottom"/>
            <w:gridSpan w:val="2"/>
          </w:tcPr>
          <w:p>
            <w:pPr>
              <w:jc w:val="right"/>
              <w:ind w:right="780"/>
              <w:spacing w:after="0"/>
              <w:rPr>
                <w:sz w:val="20"/>
                <w:szCs w:val="20"/>
                <w:color w:val="auto"/>
              </w:rPr>
            </w:pPr>
            <w:r>
              <w:rPr>
                <w:rFonts w:ascii="Arial" w:cs="Arial" w:eastAsia="Arial" w:hAnsi="Arial"/>
                <w:sz w:val="18"/>
                <w:szCs w:val="18"/>
                <w:color w:val="auto"/>
              </w:rPr>
              <w:t>124.6</w:t>
            </w:r>
          </w:p>
        </w:tc>
        <w:tc>
          <w:tcPr>
            <w:tcW w:w="160" w:type="dxa"/>
            <w:vAlign w:val="bottom"/>
          </w:tcPr>
          <w:p>
            <w:pPr>
              <w:spacing w:after="0"/>
              <w:rPr>
                <w:sz w:val="19"/>
                <w:szCs w:val="19"/>
                <w:color w:val="auto"/>
              </w:rPr>
            </w:pP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88.5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40.2%</w:t>
            </w:r>
          </w:p>
        </w:tc>
        <w:tc>
          <w:tcPr>
            <w:tcW w:w="0" w:type="dxa"/>
            <w:vAlign w:val="bottom"/>
          </w:tcPr>
          <w:p>
            <w:pPr>
              <w:spacing w:after="0"/>
              <w:rPr>
                <w:sz w:val="1"/>
                <w:szCs w:val="1"/>
                <w:color w:val="auto"/>
              </w:rPr>
            </w:pPr>
          </w:p>
        </w:tc>
      </w:tr>
      <w:tr>
        <w:trPr>
          <w:trHeight w:val="218"/>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Severance plan costs</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0.7</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1.7</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3.4</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780" w:type="dxa"/>
            <w:vAlign w:val="bottom"/>
          </w:tcPr>
          <w:p>
            <w:pPr>
              <w:spacing w:after="0"/>
              <w:rPr>
                <w:sz w:val="20"/>
                <w:szCs w:val="20"/>
                <w:color w:val="auto"/>
              </w:rPr>
            </w:pPr>
            <w:r>
              <w:rPr>
                <w:rFonts w:ascii="Arial" w:cs="Arial" w:eastAsia="Arial" w:hAnsi="Arial"/>
                <w:sz w:val="18"/>
                <w:szCs w:val="18"/>
                <w:color w:val="auto"/>
              </w:rPr>
              <w:t>Share-based compensation costs</w:t>
            </w:r>
          </w:p>
        </w:tc>
        <w:tc>
          <w:tcPr>
            <w:tcW w:w="1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76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7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780" w:type="dxa"/>
            <w:vAlign w:val="bottom"/>
          </w:tcPr>
          <w:p>
            <w:pPr>
              <w:spacing w:after="0"/>
              <w:rPr>
                <w:sz w:val="19"/>
                <w:szCs w:val="19"/>
                <w:color w:val="auto"/>
              </w:rPr>
            </w:pPr>
          </w:p>
        </w:tc>
        <w:tc>
          <w:tcPr>
            <w:tcW w:w="78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EBITDA</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128.9</w:t>
            </w: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93.6</w:t>
            </w:r>
          </w:p>
        </w:tc>
        <w:tc>
          <w:tcPr>
            <w:tcW w:w="7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0"/>
        </w:trPr>
        <w:tc>
          <w:tcPr>
            <w:tcW w:w="4780" w:type="dxa"/>
            <w:vAlign w:val="bottom"/>
            <w:vMerge w:val="restart"/>
          </w:tcPr>
          <w:p>
            <w:pPr>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4780" w:type="dxa"/>
            <w:vAlign w:val="bottom"/>
            <w:vMerge w:val="continue"/>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60" w:type="dxa"/>
            <w:vAlign w:val="bottom"/>
            <w:gridSpan w:val="2"/>
          </w:tcPr>
          <w:p>
            <w:pPr>
              <w:jc w:val="right"/>
              <w:ind w:right="760"/>
              <w:spacing w:after="0"/>
              <w:rPr>
                <w:sz w:val="20"/>
                <w:szCs w:val="20"/>
                <w:color w:val="auto"/>
              </w:rPr>
            </w:pPr>
            <w:r>
              <w:rPr>
                <w:rFonts w:ascii="Arial" w:cs="Arial" w:eastAsia="Arial" w:hAnsi="Arial"/>
                <w:sz w:val="18"/>
                <w:szCs w:val="18"/>
                <w:color w:val="auto"/>
              </w:rPr>
              <w:t>73.9</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780"/>
              <w:spacing w:after="0"/>
              <w:rPr>
                <w:sz w:val="20"/>
                <w:szCs w:val="20"/>
                <w:color w:val="auto"/>
              </w:rPr>
            </w:pPr>
            <w:r>
              <w:rPr>
                <w:rFonts w:ascii="Arial" w:cs="Arial" w:eastAsia="Arial" w:hAnsi="Arial"/>
                <w:sz w:val="18"/>
                <w:szCs w:val="18"/>
                <w:color w:val="auto"/>
              </w:rPr>
              <w:t>243.4</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780"/>
              <w:spacing w:after="0"/>
              <w:rPr>
                <w:sz w:val="20"/>
                <w:szCs w:val="20"/>
                <w:color w:val="auto"/>
              </w:rPr>
            </w:pPr>
            <w:r>
              <w:rPr>
                <w:rFonts w:ascii="Arial" w:cs="Arial" w:eastAsia="Arial" w:hAnsi="Arial"/>
                <w:sz w:val="18"/>
                <w:szCs w:val="18"/>
                <w:color w:val="auto"/>
              </w:rPr>
              <w:t>188.1</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78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Adjusted EBITDA margin</w:t>
            </w:r>
          </w:p>
        </w:tc>
        <w:tc>
          <w:tcPr>
            <w:tcW w:w="1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56.8%</w:t>
            </w:r>
          </w:p>
        </w:tc>
        <w:tc>
          <w:tcPr>
            <w:tcW w:w="1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53.0%</w:t>
            </w:r>
          </w:p>
        </w:tc>
        <w:tc>
          <w:tcPr>
            <w:tcW w:w="1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49.8%</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and Liquidity</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 and Capital Resources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September 27, 2007, our cash and cash equivalents balance was $22.7 million, an increase of $16.0 million compared to the balance of $6.7 million as of December 28, 2006 and an increase of $18.1 million compared to the balance of $4.6 million as of September 28, 2006. In addition, we had access to an undrawn line of credit of $37.0 million for a total liquidity position of $59.7 million as of September 27, 2007. The increase in our liquidity position from December 28, 2006 was in part a result of positive cash from operating activities offset by higher levels of capital spending associated with the increase in network affiliate screens and cash reserves set aside for future income tax and dividend payments.</w:t>
      </w:r>
    </w:p>
    <w:p>
      <w:pPr>
        <w:spacing w:after="0" w:line="10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60"/>
          </w:cols>
          <w:pgMar w:left="240" w:top="459" w:right="39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Flows (in millions).</w:t>
      </w:r>
    </w:p>
    <w:p>
      <w:pPr>
        <w:spacing w:after="0" w:line="19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3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120" w:type="dxa"/>
            <w:vAlign w:val="bottom"/>
            <w:gridSpan w:val="2"/>
          </w:tcPr>
          <w:p>
            <w:pPr>
              <w:jc w:val="center"/>
              <w:ind w:right="1020"/>
              <w:spacing w:after="0"/>
              <w:rPr>
                <w:sz w:val="20"/>
                <w:szCs w:val="20"/>
                <w:color w:val="auto"/>
              </w:rPr>
            </w:pPr>
            <w:r>
              <w:rPr>
                <w:rFonts w:ascii="Arial" w:cs="Arial" w:eastAsia="Arial" w:hAnsi="Arial"/>
                <w:sz w:val="14"/>
                <w:szCs w:val="14"/>
                <w:b w:val="1"/>
                <w:bCs w:val="1"/>
                <w:color w:val="auto"/>
                <w:w w:val="87"/>
              </w:rPr>
              <w:t>Period</w:t>
            </w:r>
          </w:p>
        </w:tc>
        <w:tc>
          <w:tcPr>
            <w:tcW w:w="260" w:type="dxa"/>
            <w:vAlign w:val="bottom"/>
          </w:tcPr>
          <w:p>
            <w:pPr>
              <w:spacing w:after="0"/>
              <w:rPr>
                <w:sz w:val="14"/>
                <w:szCs w:val="14"/>
                <w:color w:val="auto"/>
              </w:rPr>
            </w:pPr>
          </w:p>
        </w:tc>
        <w:tc>
          <w:tcPr>
            <w:tcW w:w="2260" w:type="dxa"/>
            <w:vAlign w:val="bottom"/>
            <w:tcBorders>
              <w:right w:val="single" w:sz="8" w:color="auto"/>
            </w:tcBorders>
            <w:gridSpan w:val="2"/>
          </w:tcPr>
          <w:p>
            <w:pPr>
              <w:jc w:val="center"/>
              <w:ind w:right="1160"/>
              <w:spacing w:after="0"/>
              <w:rPr>
                <w:sz w:val="20"/>
                <w:szCs w:val="20"/>
                <w:color w:val="auto"/>
              </w:rPr>
            </w:pPr>
            <w:r>
              <w:rPr>
                <w:rFonts w:ascii="Arial" w:cs="Arial" w:eastAsia="Arial" w:hAnsi="Arial"/>
                <w:sz w:val="14"/>
                <w:szCs w:val="14"/>
                <w:b w:val="1"/>
                <w:bCs w:val="1"/>
                <w:color w:val="auto"/>
                <w:w w:val="87"/>
              </w:rPr>
              <w:t>Period</w:t>
            </w:r>
          </w:p>
        </w:tc>
        <w:tc>
          <w:tcPr>
            <w:tcW w:w="720" w:type="dxa"/>
            <w:vAlign w:val="bottom"/>
          </w:tcPr>
          <w:p>
            <w:pPr>
              <w:spacing w:after="0"/>
              <w:rPr>
                <w:sz w:val="14"/>
                <w:szCs w:val="14"/>
                <w:color w:val="auto"/>
              </w:rPr>
            </w:pPr>
          </w:p>
        </w:tc>
        <w:tc>
          <w:tcPr>
            <w:tcW w:w="9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Nine Months</w:t>
            </w:r>
          </w:p>
        </w:tc>
      </w:tr>
      <w:tr>
        <w:trPr>
          <w:trHeight w:val="149"/>
        </w:trPr>
        <w:tc>
          <w:tcPr>
            <w:tcW w:w="3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3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February 13, 2007 through</w:t>
            </w:r>
          </w:p>
        </w:tc>
        <w:tc>
          <w:tcPr>
            <w:tcW w:w="2520" w:type="dxa"/>
            <w:vAlign w:val="bottom"/>
            <w:tcBorders>
              <w:right w:val="single" w:sz="8" w:color="auto"/>
            </w:tcBorders>
            <w:gridSpan w:val="3"/>
          </w:tcPr>
          <w:p>
            <w:pPr>
              <w:ind w:left="20"/>
              <w:spacing w:after="0" w:line="149" w:lineRule="exact"/>
              <w:rPr>
                <w:sz w:val="20"/>
                <w:szCs w:val="20"/>
                <w:color w:val="auto"/>
              </w:rPr>
            </w:pPr>
            <w:r>
              <w:rPr>
                <w:rFonts w:ascii="Arial" w:cs="Arial" w:eastAsia="Arial" w:hAnsi="Arial"/>
                <w:sz w:val="14"/>
                <w:szCs w:val="14"/>
                <w:b w:val="1"/>
                <w:bCs w:val="1"/>
                <w:color w:val="auto"/>
              </w:rPr>
              <w:t>December 29, 2006 through</w:t>
            </w: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4"/>
              </w:rPr>
              <w:t>Ended</w:t>
            </w:r>
          </w:p>
        </w:tc>
      </w:tr>
      <w:tr>
        <w:trPr>
          <w:trHeight w:val="149"/>
        </w:trPr>
        <w:tc>
          <w:tcPr>
            <w:tcW w:w="3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20" w:type="dxa"/>
            <w:vAlign w:val="bottom"/>
            <w:gridSpan w:val="2"/>
          </w:tcPr>
          <w:p>
            <w:pPr>
              <w:jc w:val="center"/>
              <w:ind w:right="1020"/>
              <w:spacing w:after="0" w:line="149" w:lineRule="exact"/>
              <w:rPr>
                <w:sz w:val="20"/>
                <w:szCs w:val="20"/>
                <w:color w:val="auto"/>
              </w:rPr>
            </w:pPr>
            <w:r>
              <w:rPr>
                <w:rFonts w:ascii="Arial" w:cs="Arial" w:eastAsia="Arial" w:hAnsi="Arial"/>
                <w:sz w:val="14"/>
                <w:szCs w:val="14"/>
                <w:b w:val="1"/>
                <w:bCs w:val="1"/>
                <w:color w:val="auto"/>
                <w:w w:val="85"/>
              </w:rPr>
              <w:t>September 27,</w:t>
            </w:r>
          </w:p>
        </w:tc>
        <w:tc>
          <w:tcPr>
            <w:tcW w:w="260" w:type="dxa"/>
            <w:vAlign w:val="bottom"/>
          </w:tcPr>
          <w:p>
            <w:pPr>
              <w:spacing w:after="0"/>
              <w:rPr>
                <w:sz w:val="12"/>
                <w:szCs w:val="12"/>
                <w:color w:val="auto"/>
              </w:rPr>
            </w:pPr>
          </w:p>
        </w:tc>
        <w:tc>
          <w:tcPr>
            <w:tcW w:w="2260" w:type="dxa"/>
            <w:vAlign w:val="bottom"/>
            <w:tcBorders>
              <w:right w:val="single" w:sz="8" w:color="auto"/>
            </w:tcBorders>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91"/>
              </w:rPr>
              <w:t>February 12,</w:t>
            </w:r>
          </w:p>
        </w:tc>
        <w:tc>
          <w:tcPr>
            <w:tcW w:w="720" w:type="dxa"/>
            <w:vAlign w:val="bottom"/>
          </w:tcPr>
          <w:p>
            <w:pPr>
              <w:spacing w:after="0"/>
              <w:rPr>
                <w:sz w:val="12"/>
                <w:szCs w:val="12"/>
                <w:color w:val="auto"/>
              </w:rPr>
            </w:pPr>
          </w:p>
        </w:tc>
        <w:tc>
          <w:tcPr>
            <w:tcW w:w="90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89"/>
              </w:rPr>
              <w:t>September 28,</w:t>
            </w:r>
          </w:p>
        </w:tc>
      </w:tr>
      <w:tr>
        <w:trPr>
          <w:trHeight w:val="175"/>
        </w:trPr>
        <w:tc>
          <w:tcPr>
            <w:tcW w:w="3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3"/>
              </w:rPr>
              <w:t>2007</w:t>
            </w:r>
          </w:p>
        </w:tc>
        <w:tc>
          <w:tcPr>
            <w:tcW w:w="7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center"/>
              <w:ind w:right="162"/>
              <w:spacing w:after="0"/>
              <w:rPr>
                <w:sz w:val="20"/>
                <w:szCs w:val="20"/>
                <w:color w:val="auto"/>
              </w:rPr>
            </w:pPr>
            <w:r>
              <w:rPr>
                <w:rFonts w:ascii="Arial" w:cs="Arial" w:eastAsia="Arial" w:hAnsi="Arial"/>
                <w:sz w:val="14"/>
                <w:szCs w:val="14"/>
                <w:b w:val="1"/>
                <w:bCs w:val="1"/>
                <w:color w:val="auto"/>
                <w:w w:val="83"/>
              </w:rPr>
              <w:t>2007</w:t>
            </w:r>
          </w:p>
        </w:tc>
        <w:tc>
          <w:tcPr>
            <w:tcW w:w="920" w:type="dxa"/>
            <w:vAlign w:val="bottom"/>
            <w:tcBorders>
              <w:right w:val="single" w:sz="8" w:color="auto"/>
            </w:tcBorders>
          </w:tcPr>
          <w:p>
            <w:pPr>
              <w:spacing w:after="0"/>
              <w:rPr>
                <w:sz w:val="15"/>
                <w:szCs w:val="15"/>
                <w:color w:val="auto"/>
              </w:rPr>
            </w:pPr>
          </w:p>
        </w:tc>
        <w:tc>
          <w:tcPr>
            <w:tcW w:w="7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9"/>
              </w:rPr>
              <w:t>2006</w:t>
            </w:r>
          </w:p>
        </w:tc>
        <w:tc>
          <w:tcPr>
            <w:tcW w:w="60" w:type="dxa"/>
            <w:vAlign w:val="bottom"/>
          </w:tcPr>
          <w:p>
            <w:pPr>
              <w:spacing w:after="0"/>
              <w:rPr>
                <w:sz w:val="15"/>
                <w:szCs w:val="15"/>
                <w:color w:val="auto"/>
              </w:rPr>
            </w:pPr>
          </w:p>
        </w:tc>
      </w:tr>
      <w:tr>
        <w:trPr>
          <w:trHeight w:val="210"/>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cash from operating activities</w:t>
            </w:r>
          </w:p>
        </w:tc>
        <w:tc>
          <w:tcPr>
            <w:tcW w:w="10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2.2</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Net cash from investing activities</w:t>
            </w:r>
          </w:p>
        </w:tc>
        <w:tc>
          <w:tcPr>
            <w:tcW w:w="104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2120" w:type="dxa"/>
            <w:vAlign w:val="bottom"/>
            <w:gridSpan w:val="2"/>
          </w:tcPr>
          <w:p>
            <w:pPr>
              <w:jc w:val="right"/>
              <w:ind w:right="740"/>
              <w:spacing w:after="0"/>
              <w:rPr>
                <w:sz w:val="20"/>
                <w:szCs w:val="20"/>
                <w:color w:val="auto"/>
              </w:rPr>
            </w:pPr>
            <w:r>
              <w:rPr>
                <w:rFonts w:ascii="Arial" w:cs="Arial" w:eastAsia="Arial" w:hAnsi="Arial"/>
                <w:sz w:val="18"/>
                <w:szCs w:val="18"/>
                <w:color w:val="auto"/>
              </w:rPr>
              <w:t>(14.9)</w:t>
            </w:r>
          </w:p>
        </w:tc>
        <w:tc>
          <w:tcPr>
            <w:tcW w:w="260" w:type="dxa"/>
            <w:vAlign w:val="bottom"/>
          </w:tcPr>
          <w:p>
            <w:pPr>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gridSpan w:val="2"/>
          </w:tcPr>
          <w:p>
            <w:pPr>
              <w:jc w:val="right"/>
              <w:ind w:right="860"/>
              <w:spacing w:after="0"/>
              <w:rPr>
                <w:sz w:val="20"/>
                <w:szCs w:val="20"/>
                <w:color w:val="auto"/>
              </w:rPr>
            </w:pPr>
            <w:r>
              <w:rPr>
                <w:rFonts w:ascii="Arial" w:cs="Arial" w:eastAsia="Arial" w:hAnsi="Arial"/>
                <w:sz w:val="18"/>
                <w:szCs w:val="18"/>
                <w:color w:val="auto"/>
              </w:rPr>
              <w:t>(0.5)</w:t>
            </w:r>
          </w:p>
        </w:tc>
        <w:tc>
          <w:tcPr>
            <w:tcW w:w="880" w:type="dxa"/>
            <w:vAlign w:val="bottom"/>
            <w:gridSpan w:val="2"/>
          </w:tcPr>
          <w:p>
            <w:pPr>
              <w:ind w:left="72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Net cash from financing activities</w:t>
            </w:r>
          </w:p>
        </w:tc>
        <w:tc>
          <w:tcPr>
            <w:tcW w:w="104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120" w:type="dxa"/>
            <w:vAlign w:val="bottom"/>
            <w:gridSpan w:val="2"/>
            <w:shd w:val="clear" w:color="auto" w:fill="CCEEFF"/>
          </w:tcPr>
          <w:p>
            <w:pPr>
              <w:jc w:val="right"/>
              <w:ind w:right="780"/>
              <w:spacing w:after="0"/>
              <w:rPr>
                <w:sz w:val="20"/>
                <w:szCs w:val="20"/>
                <w:color w:val="auto"/>
              </w:rPr>
            </w:pPr>
            <w:r>
              <w:rPr>
                <w:rFonts w:ascii="Arial" w:cs="Arial" w:eastAsia="Arial" w:hAnsi="Arial"/>
                <w:sz w:val="18"/>
                <w:szCs w:val="18"/>
                <w:color w:val="auto"/>
              </w:rPr>
              <w:t>12.9</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260" w:type="dxa"/>
            <w:vAlign w:val="bottom"/>
            <w:tcBorders>
              <w:right w:val="single" w:sz="8" w:color="auto"/>
            </w:tcBorders>
            <w:gridSpan w:val="2"/>
            <w:shd w:val="clear" w:color="auto" w:fill="CCEEFF"/>
          </w:tcPr>
          <w:p>
            <w:pPr>
              <w:jc w:val="right"/>
              <w:ind w:right="860"/>
              <w:spacing w:after="0"/>
              <w:rPr>
                <w:sz w:val="20"/>
                <w:szCs w:val="20"/>
                <w:color w:val="auto"/>
              </w:rPr>
            </w:pPr>
            <w:r>
              <w:rPr>
                <w:rFonts w:ascii="Arial" w:cs="Arial" w:eastAsia="Arial" w:hAnsi="Arial"/>
                <w:sz w:val="18"/>
                <w:szCs w:val="18"/>
                <w:color w:val="auto"/>
              </w:rPr>
              <w:t>(0.1)</w:t>
            </w:r>
          </w:p>
        </w:tc>
        <w:tc>
          <w:tcPr>
            <w:tcW w:w="880" w:type="dxa"/>
            <w:vAlign w:val="bottom"/>
            <w:gridSpan w:val="2"/>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8"/>
                <w:szCs w:val="18"/>
                <w:color w:val="auto"/>
              </w:rPr>
            </w:pPr>
          </w:p>
        </w:tc>
      </w:tr>
    </w:tbl>
    <w:p>
      <w:pPr>
        <w:spacing w:after="0" w:line="194" w:lineRule="exact"/>
        <w:rPr>
          <w:sz w:val="20"/>
          <w:szCs w:val="20"/>
          <w:color w:val="auto"/>
        </w:rPr>
      </w:pPr>
    </w:p>
    <w:p>
      <w:pPr>
        <w:ind w:left="900" w:right="40" w:hanging="325"/>
        <w:spacing w:after="0" w:line="294"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Operating Activities. </w:t>
      </w:r>
      <w:r>
        <w:rPr>
          <w:rFonts w:ascii="Arial" w:cs="Arial" w:eastAsia="Arial" w:hAnsi="Arial"/>
          <w:sz w:val="16"/>
          <w:szCs w:val="16"/>
          <w:color w:val="auto"/>
        </w:rPr>
        <w:t>We generated cash from operating activities of $16.4 million for the 2007 post-IPO period, $2.2 million for the 2007 pre-IPO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and $1.1 million for the nine months ended September 28, 2006. The increase in funds provided by operating activities for the combined 2007 post-IPO period and 2007 pre-IPO period versus the nine months ended September 28, 2006 was primarily due to increases in revenues in the 2007 periods and lower payments to the founding members related to the transition from a circuit share to a theatre access fee structure after the IPO. See Note 9 to the unaudited condensed consolidated financial statements included elsewhere in this document.</w:t>
      </w:r>
    </w:p>
    <w:p>
      <w:pPr>
        <w:spacing w:after="0" w:line="34" w:lineRule="exact"/>
        <w:rPr>
          <w:rFonts w:ascii="Arial" w:cs="Arial" w:eastAsia="Arial" w:hAnsi="Arial"/>
          <w:sz w:val="16"/>
          <w:szCs w:val="16"/>
          <w:color w:val="auto"/>
        </w:rPr>
      </w:pPr>
    </w:p>
    <w:p>
      <w:pPr>
        <w:ind w:left="900" w:right="240" w:hanging="325"/>
        <w:spacing w:after="0" w:line="294"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Investing Activities. </w:t>
      </w:r>
      <w:r>
        <w:rPr>
          <w:rFonts w:ascii="Arial" w:cs="Arial" w:eastAsia="Arial" w:hAnsi="Arial"/>
          <w:sz w:val="16"/>
          <w:szCs w:val="16"/>
          <w:color w:val="auto"/>
        </w:rPr>
        <w:t>Net cash was used for investing activities of $14.9 million for the 2007 post-IPO period, $0.5 million for the 2007 pre-IPO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period and $4.0 million for the nine months ended September 28, 2006. The increase in funds used for investing activities for the combined 2007 post-IPO period and 2007 pre-IPO period versus the nine months ended September 28, 2006 was primarily due to investments in our network software and in corporate management systems and purchases of equipment necessary to service the expansion of network affiliate theatre screens and the $7.1 million of cash invested in 6% convertible preferred stock of IdeaCast, Inc.</w:t>
      </w:r>
    </w:p>
    <w:p>
      <w:pPr>
        <w:spacing w:after="0" w:line="34" w:lineRule="exact"/>
        <w:rPr>
          <w:rFonts w:ascii="Arial" w:cs="Arial" w:eastAsia="Arial" w:hAnsi="Arial"/>
          <w:sz w:val="16"/>
          <w:szCs w:val="16"/>
          <w:color w:val="auto"/>
        </w:rPr>
      </w:pPr>
    </w:p>
    <w:p>
      <w:pPr>
        <w:ind w:left="900" w:right="240" w:hanging="325"/>
        <w:spacing w:after="0" w:line="298" w:lineRule="auto"/>
        <w:tabs>
          <w:tab w:leader="none" w:pos="9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Financing Activities. </w:t>
      </w:r>
      <w:r>
        <w:rPr>
          <w:rFonts w:ascii="Arial" w:cs="Arial" w:eastAsia="Arial" w:hAnsi="Arial"/>
          <w:sz w:val="16"/>
          <w:szCs w:val="16"/>
          <w:color w:val="auto"/>
        </w:rPr>
        <w:t>Net cash was generated from financing activities of $12.9 million for the 2007 post-IPO period and $7.5 million for the nine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months ended September 28, 2006. Net cash was used for financing activities of $0.1 million for the 2007 pre-IPO period. The increase in funds generated from financing activities for the combined 2007 post-IPO period and 2007 pre-IPO period versus the nine months ended September 28, 2006 was primarily due to amounts related to the IPO, net borrowings and distributions paid to the founding members.</w:t>
      </w:r>
    </w:p>
    <w:p>
      <w:pPr>
        <w:spacing w:after="0" w:line="113"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i w:val="1"/>
          <w:iCs w:val="1"/>
          <w:color w:val="auto"/>
        </w:rPr>
        <w:t xml:space="preserve">Sources of capital and capital requirements. </w:t>
      </w:r>
      <w:r>
        <w:rPr>
          <w:rFonts w:ascii="Arial" w:cs="Arial" w:eastAsia="Arial" w:hAnsi="Arial"/>
          <w:sz w:val="18"/>
          <w:szCs w:val="18"/>
          <w:color w:val="auto"/>
        </w:rPr>
        <w:t>NCM, Inc’s primary source of liquidity and capital resources are distributions from NCM LLC generated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operating, investing and financing activities of the operating subsidiary, NCM LLC, and availability of up to $80.0 million under NCM LLC’s senior secured revolving credit facility entered into in February 2007.</w:t>
      </w:r>
    </w:p>
    <w:p>
      <w:pPr>
        <w:spacing w:after="0" w:line="14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Management believes that future funds generated from NCM LLC’s operations and distributions to NCM, Inc. and available borrowing capacity of up to $80.0 million under NCM LLC’s revolving credit facility will be sufficient to fund quarterly dividends, NCM LLC’s debt service requirements, working capital requirements and capital expenditure and other investing requirements, through the next 12 months. We made a draw of $10.0 million on the new credit facility at the closing of the IPO to repay amounts outstanding under NCM LLC’s then-existing revolving credit facility and made a draw of $50.8 million on March 15, 2007 to repay remaining amounts owed to the founding members under the prior exhibitor services agreements that, due to timing differences, were funded by the collection by us of related receivables. The amount outstanding as of September 27, 2007 on our revolving credit facility was $43.0 million. Cash flows generated by NCM LLC’s distributions to NCM, Inc. can be impacted by the seasonality experienced in advertising revenues at NCM LLC and the impact to associated collections of accounts receivable.</w:t>
      </w:r>
    </w:p>
    <w:p>
      <w:pPr>
        <w:spacing w:after="0" w:line="118" w:lineRule="exact"/>
        <w:rPr>
          <w:sz w:val="20"/>
          <w:szCs w:val="20"/>
          <w:color w:val="auto"/>
        </w:rPr>
      </w:pPr>
    </w:p>
    <w:p>
      <w:pPr>
        <w:jc w:val="both"/>
        <w:ind w:right="180" w:firstLine="456"/>
        <w:spacing w:after="0" w:line="302" w:lineRule="auto"/>
        <w:rPr>
          <w:sz w:val="20"/>
          <w:szCs w:val="20"/>
          <w:color w:val="auto"/>
        </w:rPr>
      </w:pPr>
      <w:r>
        <w:rPr>
          <w:rFonts w:ascii="Arial" w:cs="Arial" w:eastAsia="Arial" w:hAnsi="Arial"/>
          <w:sz w:val="15"/>
          <w:szCs w:val="15"/>
          <w:color w:val="auto"/>
        </w:rPr>
        <w:t>Our short and long term cash requirements consist of minimum annual payments under our operating leases for our headquarters and regional offices and capital expenditures and other investments. Minimum annual operating lease requirements associated with our headquarters and regional offices are included in our direct operating expenses, which have historically been satisfied by cash generated from operations. For the remainder of fiscal 2007, we are committed to $0.4 million of annual operating lease payments. In addition, NCM LLC is required pursuant to terms of the operating agreement effective as of February 13,</w:t>
      </w:r>
    </w:p>
    <w:p>
      <w:pPr>
        <w:spacing w:after="0" w:line="3" w:lineRule="exact"/>
        <w:rPr>
          <w:sz w:val="20"/>
          <w:szCs w:val="20"/>
          <w:color w:val="auto"/>
        </w:rPr>
      </w:pPr>
    </w:p>
    <w:p>
      <w:pPr>
        <w:spacing w:after="0" w:line="295" w:lineRule="auto"/>
        <w:rPr>
          <w:sz w:val="20"/>
          <w:szCs w:val="20"/>
          <w:color w:val="auto"/>
        </w:rPr>
      </w:pPr>
      <w:r>
        <w:rPr>
          <w:rFonts w:ascii="Arial" w:cs="Arial" w:eastAsia="Arial" w:hAnsi="Arial"/>
          <w:sz w:val="16"/>
          <w:szCs w:val="16"/>
          <w:color w:val="auto"/>
        </w:rPr>
        <w:t>2007 to distribute its available cash, as defined in the operating agreement, to its members, including the Company. The available cash distribution for the quarter ended September 27, 2007 was approximately $41.0 million, of which $18.4 million was the Company’s portion. The total available cash distribution for the 2007 post-IPO period was approximately $82.1 million, of which $36.7 million was the Company’s portion. The Company will use cash received from the available cash distributions to fund income taxes and current and future dividends as declared by the Board</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of Directors, including a dividend declared of $0.15 per share (approximately $6.3 million) which will be paid on December 6, 2007.</w:t>
      </w:r>
    </w:p>
    <w:p>
      <w:pPr>
        <w:spacing w:after="0" w:line="171"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i w:val="1"/>
          <w:iCs w:val="1"/>
          <w:color w:val="auto"/>
        </w:rPr>
        <w:t xml:space="preserve">Capital expenditures. </w:t>
      </w:r>
      <w:r>
        <w:rPr>
          <w:rFonts w:ascii="Arial" w:cs="Arial" w:eastAsia="Arial" w:hAnsi="Arial"/>
          <w:sz w:val="16"/>
          <w:szCs w:val="16"/>
          <w:color w:val="auto"/>
        </w:rPr>
        <w:t>Capital expenditures of NCM LLC have typically been related to equipment required for our network operations center and content</w:t>
      </w:r>
      <w:r>
        <w:rPr>
          <w:rFonts w:ascii="Arial" w:cs="Arial" w:eastAsia="Arial" w:hAnsi="Arial"/>
          <w:sz w:val="16"/>
          <w:szCs w:val="16"/>
          <w:i w:val="1"/>
          <w:iCs w:val="1"/>
          <w:color w:val="auto"/>
        </w:rPr>
        <w:t xml:space="preserve"> </w:t>
      </w:r>
      <w:r>
        <w:rPr>
          <w:rFonts w:ascii="Arial" w:cs="Arial" w:eastAsia="Arial" w:hAnsi="Arial"/>
          <w:sz w:val="16"/>
          <w:szCs w:val="16"/>
          <w:color w:val="auto"/>
        </w:rPr>
        <w:t>production and post-production facilities, digital content system, or DCS, and “back-office” capitalized software upgrades developed primarily by our programmers, office leasehold improvements, desktop equipment for use by our employees, and in certain cases, the costs necessary to digitize all or a portion of a network affiliate’s theatres. Capital expenditures for the 2007 post-IPO period were $7.9 million, while capital expenditures were $0.6 million for the 2007 pre-IPO period and $4.3 million for the nine month period ended September 28, 2006. The capital expenditures have typically been satisfied through a combination of cash flow from operations and from financing sources. All capital expenditures related to the digital content network within NCM LLC’s founding members’ theatres have been made by the founding members under the exhibitor services agreements. We expect they will continue to be made by the founding members in accordance with the amended and restated ESAs.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and Other Obligations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contractual obligations at September 27, 2007 were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9"/>
          </w:tcPr>
          <w:p>
            <w:pPr>
              <w:ind w:left="320"/>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960" w:type="dxa"/>
            <w:vAlign w:val="bottom"/>
          </w:tcPr>
          <w:p>
            <w:pPr>
              <w:spacing w:after="0"/>
              <w:rPr>
                <w:sz w:val="11"/>
                <w:szCs w:val="11"/>
                <w:color w:val="auto"/>
              </w:rPr>
            </w:pPr>
          </w:p>
        </w:tc>
        <w:tc>
          <w:tcPr>
            <w:tcW w:w="6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gridSpan w:val="2"/>
          </w:tcPr>
          <w:p>
            <w:pPr>
              <w:jc w:val="right"/>
              <w:ind w:right="26"/>
              <w:spacing w:after="0" w:line="129" w:lineRule="exact"/>
              <w:rPr>
                <w:sz w:val="20"/>
                <w:szCs w:val="20"/>
                <w:color w:val="auto"/>
              </w:rPr>
            </w:pPr>
            <w:r>
              <w:rPr>
                <w:rFonts w:ascii="Arial" w:cs="Arial" w:eastAsia="Arial" w:hAnsi="Arial"/>
                <w:sz w:val="14"/>
                <w:szCs w:val="14"/>
                <w:b w:val="1"/>
                <w:bCs w:val="1"/>
                <w:color w:val="auto"/>
              </w:rPr>
              <w:t>2008-</w:t>
            </w:r>
          </w:p>
        </w:tc>
        <w:tc>
          <w:tcPr>
            <w:tcW w:w="260" w:type="dxa"/>
            <w:vAlign w:val="bottom"/>
          </w:tcPr>
          <w:p>
            <w:pPr>
              <w:spacing w:after="0"/>
              <w:rPr>
                <w:sz w:val="11"/>
                <w:szCs w:val="11"/>
                <w:color w:val="auto"/>
              </w:rPr>
            </w:pPr>
          </w:p>
        </w:tc>
        <w:tc>
          <w:tcPr>
            <w:tcW w:w="560" w:type="dxa"/>
            <w:vAlign w:val="bottom"/>
            <w:gridSpan w:val="3"/>
          </w:tcPr>
          <w:p>
            <w:pPr>
              <w:jc w:val="right"/>
              <w:ind w:right="16"/>
              <w:spacing w:after="0" w:line="129" w:lineRule="exact"/>
              <w:rPr>
                <w:sz w:val="20"/>
                <w:szCs w:val="20"/>
                <w:color w:val="auto"/>
              </w:rPr>
            </w:pPr>
            <w:r>
              <w:rPr>
                <w:rFonts w:ascii="Arial" w:cs="Arial" w:eastAsia="Arial" w:hAnsi="Arial"/>
                <w:sz w:val="14"/>
                <w:szCs w:val="14"/>
                <w:b w:val="1"/>
                <w:bCs w:val="1"/>
                <w:color w:val="auto"/>
              </w:rPr>
              <w:t>2010-</w:t>
            </w:r>
          </w:p>
        </w:tc>
        <w:tc>
          <w:tcPr>
            <w:tcW w:w="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960" w:type="dxa"/>
            <w:vAlign w:val="bottom"/>
          </w:tcPr>
          <w:p>
            <w:pPr>
              <w:spacing w:after="0"/>
              <w:rPr>
                <w:sz w:val="14"/>
                <w:szCs w:val="14"/>
                <w:color w:val="auto"/>
              </w:rPr>
            </w:pPr>
          </w:p>
        </w:tc>
        <w:tc>
          <w:tcPr>
            <w:tcW w:w="65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Total</w:t>
            </w:r>
          </w:p>
        </w:tc>
        <w:tc>
          <w:tcPr>
            <w:tcW w:w="34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2007*</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Borders>
              <w:bottom w:val="single" w:sz="8" w:color="auto"/>
            </w:tcBorders>
          </w:tcPr>
          <w:p>
            <w:pPr>
              <w:jc w:val="right"/>
              <w:ind w:right="46"/>
              <w:spacing w:after="0"/>
              <w:rPr>
                <w:sz w:val="20"/>
                <w:szCs w:val="20"/>
                <w:color w:val="auto"/>
              </w:rPr>
            </w:pPr>
            <w:r>
              <w:rPr>
                <w:rFonts w:ascii="Arial" w:cs="Arial" w:eastAsia="Arial" w:hAnsi="Arial"/>
                <w:sz w:val="14"/>
                <w:szCs w:val="14"/>
                <w:b w:val="1"/>
                <w:bCs w:val="1"/>
                <w:color w:val="auto"/>
              </w:rPr>
              <w:t>2009</w:t>
            </w:r>
          </w:p>
        </w:tc>
        <w:tc>
          <w:tcPr>
            <w:tcW w:w="2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83"/>
              </w:rPr>
              <w:t>2011</w:t>
            </w: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After 2011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960" w:type="dxa"/>
            <w:vAlign w:val="bottom"/>
          </w:tcPr>
          <w:p>
            <w:pPr>
              <w:spacing w:after="0"/>
              <w:rPr>
                <w:sz w:val="12"/>
                <w:szCs w:val="12"/>
                <w:color w:val="auto"/>
              </w:rPr>
            </w:pPr>
          </w:p>
        </w:tc>
        <w:tc>
          <w:tcPr>
            <w:tcW w:w="65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760" w:type="dxa"/>
            <w:vAlign w:val="bottom"/>
            <w:gridSpan w:val="2"/>
          </w:tcPr>
          <w:p>
            <w:pPr>
              <w:ind w:left="40"/>
              <w:spacing w:after="0" w:line="142" w:lineRule="exact"/>
              <w:rPr>
                <w:sz w:val="20"/>
                <w:szCs w:val="20"/>
                <w:color w:val="auto"/>
              </w:rPr>
            </w:pPr>
            <w:r>
              <w:rPr>
                <w:rFonts w:ascii="Arial" w:cs="Arial" w:eastAsia="Arial" w:hAnsi="Arial"/>
                <w:sz w:val="14"/>
                <w:szCs w:val="14"/>
                <w:b w:val="1"/>
                <w:bCs w:val="1"/>
                <w:color w:val="auto"/>
                <w:w w:val="94"/>
              </w:rPr>
              <w:t>in millions)</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Borrowings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725.0</w:t>
            </w:r>
          </w:p>
        </w:tc>
        <w:tc>
          <w:tcPr>
            <w:tcW w:w="5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0"/>
              </w:rPr>
              <w:t>$ —</w:t>
            </w:r>
          </w:p>
        </w:tc>
        <w:tc>
          <w:tcPr>
            <w:tcW w:w="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w w:val="99"/>
              </w:rPr>
              <w:t>$  —</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725.0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Future interest on borrowings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369.9</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12.7</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97.9</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99.2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160.1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Office leases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9.4</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0.4</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3.5</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60" w:type="dxa"/>
            <w:vAlign w:val="bottom"/>
            <w:gridSpan w:val="2"/>
          </w:tcPr>
          <w:p>
            <w:pPr>
              <w:spacing w:after="0"/>
              <w:rPr>
                <w:sz w:val="20"/>
                <w:szCs w:val="20"/>
                <w:color w:val="auto"/>
              </w:rPr>
            </w:pPr>
            <w:r>
              <w:rPr>
                <w:rFonts w:ascii="Arial" w:cs="Arial" w:eastAsia="Arial" w:hAnsi="Arial"/>
                <w:sz w:val="18"/>
                <w:szCs w:val="18"/>
                <w:color w:val="auto"/>
              </w:rPr>
              <w:t>Network affiliate agreements</w:t>
            </w:r>
          </w:p>
        </w:tc>
        <w:tc>
          <w:tcPr>
            <w:tcW w:w="100" w:type="dxa"/>
            <w:vAlign w:val="bottom"/>
          </w:tcPr>
          <w:p>
            <w:pPr>
              <w:spacing w:after="0"/>
              <w:rPr>
                <w:sz w:val="18"/>
                <w:szCs w:val="18"/>
                <w:color w:val="auto"/>
              </w:rPr>
            </w:pPr>
          </w:p>
        </w:tc>
        <w:tc>
          <w:tcPr>
            <w:tcW w:w="860" w:type="dxa"/>
            <w:vAlign w:val="bottom"/>
            <w:gridSpan w:val="2"/>
          </w:tcPr>
          <w:p>
            <w:pPr>
              <w:jc w:val="right"/>
              <w:ind w:right="340"/>
              <w:spacing w:after="0"/>
              <w:rPr>
                <w:sz w:val="20"/>
                <w:szCs w:val="20"/>
                <w:color w:val="auto"/>
              </w:rPr>
            </w:pPr>
            <w:r>
              <w:rPr>
                <w:rFonts w:ascii="Arial" w:cs="Arial" w:eastAsia="Arial" w:hAnsi="Arial"/>
                <w:sz w:val="18"/>
                <w:szCs w:val="18"/>
                <w:color w:val="auto"/>
              </w:rPr>
              <w:t>24.1</w:t>
            </w:r>
          </w:p>
        </w:tc>
        <w:tc>
          <w:tcPr>
            <w:tcW w:w="520" w:type="dxa"/>
            <w:vAlign w:val="bottom"/>
            <w:gridSpan w:val="2"/>
          </w:tcPr>
          <w:p>
            <w:pPr>
              <w:jc w:val="right"/>
              <w:ind w:right="120"/>
              <w:spacing w:after="0"/>
              <w:rPr>
                <w:sz w:val="20"/>
                <w:szCs w:val="20"/>
                <w:color w:val="auto"/>
              </w:rPr>
            </w:pPr>
            <w:r>
              <w:rPr>
                <w:rFonts w:ascii="Arial" w:cs="Arial" w:eastAsia="Arial" w:hAnsi="Arial"/>
                <w:sz w:val="18"/>
                <w:szCs w:val="18"/>
                <w:color w:val="auto"/>
              </w:rPr>
              <w:t>0.9</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8"/>
                <w:szCs w:val="18"/>
                <w:color w:val="auto"/>
              </w:rPr>
              <w:t>8.7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960" w:type="dxa"/>
            <w:vAlign w:val="bottom"/>
          </w:tcPr>
          <w:p>
            <w:pPr>
              <w:spacing w:after="0"/>
              <w:rPr>
                <w:sz w:val="2"/>
                <w:szCs w:val="2"/>
                <w:color w:val="auto"/>
              </w:rPr>
            </w:pPr>
          </w:p>
        </w:tc>
        <w:tc>
          <w:tcPr>
            <w:tcW w:w="65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Total contractual cash obligations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3"/>
              </w:rPr>
              <w:t>1,128.4</w:t>
            </w:r>
          </w:p>
        </w:tc>
        <w:tc>
          <w:tcPr>
            <w:tcW w:w="5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14.0</w:t>
            </w:r>
          </w:p>
        </w:tc>
        <w:tc>
          <w:tcPr>
            <w:tcW w:w="98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112.0</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5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4"/>
              </w:rPr>
              <w:t>110.8</w:t>
            </w:r>
          </w:p>
        </w:tc>
        <w:tc>
          <w:tcPr>
            <w:tcW w:w="32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891.6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960" w:type="dxa"/>
            <w:vAlign w:val="bottom"/>
            <w:tcBorders>
              <w:bottom w:val="single" w:sz="8" w:color="auto"/>
            </w:tcBorders>
          </w:tcPr>
          <w:p>
            <w:pPr>
              <w:spacing w:after="0"/>
              <w:rPr>
                <w:sz w:val="8"/>
                <w:szCs w:val="8"/>
                <w:color w:val="auto"/>
              </w:rPr>
            </w:pPr>
          </w:p>
        </w:tc>
        <w:tc>
          <w:tcPr>
            <w:tcW w:w="65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6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00" w:lineRule="exact"/>
        <w:rPr>
          <w:sz w:val="20"/>
          <w:szCs w:val="20"/>
          <w:color w:val="auto"/>
        </w:rPr>
      </w:pPr>
    </w:p>
    <w:p>
      <w:pPr>
        <w:spacing w:after="0"/>
        <w:rPr>
          <w:sz w:val="20"/>
          <w:szCs w:val="20"/>
          <w:color w:val="auto"/>
        </w:rPr>
      </w:pPr>
      <w:r>
        <w:rPr>
          <w:rFonts w:ascii="Arial" w:cs="Arial" w:eastAsia="Arial" w:hAnsi="Arial"/>
          <w:sz w:val="18"/>
          <w:szCs w:val="18"/>
          <w:color w:val="auto"/>
        </w:rPr>
        <w:t>*  Last three months of our fiscal year.</w:t>
      </w:r>
    </w:p>
    <w:p>
      <w:pPr>
        <w:spacing w:after="0" w:line="171"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NCM LLC will be obligated to make periodic interest payments on the loans under the senior secured credit facility entered into in February 2007, based on an interest rate equal to an applicable margin plus either a variable base rate or a eurodollar rate. The applicable margin for the term loan facility and the revolving credit facility is 0.75% with respect to base rate loans and 1.75% with respect to eurodollar loans (LIBOR). Commencing with the third fiscal quarter in fiscal year 2008, the applicable margin for the revolving credit facility will be determined quarterly and will be subject to downward adjustment based upon a consolidated net senior secured leverage ratio for NCM LLC and its subsidiaries (as defined in the NCM LLC credit agreement as the ratio of secured funded debt less unrestricted cash and cash equivalents, over adjusted EBITDA including the Loews payment). The terms of the new senior secured credit facility required us to hedge the cash flow variability of interest for at least 50% of the term loan. In March of 2007, NCM LLC entered into fixed interest rate swap arrangements hedging $550.0 million of the $725.0 million senior secured credit facility at a fixed interest rate of 6.734%. The amounts of future interest payments in the table above are based on the amount outstanding on the term loan, estimated rates of interest over the term of the variable rate portion and the rates in effect on our interest rate swap. In addition, we have a variable rate revolving credit agreement. Debt service requirements under this agreement will depend on the amounts borrowed and the level of the based interest rate, in addition to a commitment fee on the unused portion of the revolving credit facility.</w:t>
      </w:r>
    </w:p>
    <w:p>
      <w:pPr>
        <w:spacing w:after="0" w:line="127"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amended and restated ESAs entered into at the completion of our IPO require payments based on a combination of founding member attendance and the number of digital screens of each founding member. The former factor will vary from quarter to quarter and year to year as theatre attendance varies while the latter factor will be more predictable but will also vary quarter to quarter and year to year as screens are converted to digital screens and others are added or removed through acquisition, divestiture or closure activities of the founding members. The payments made to founding members also will vary due to the escalation of the rates paid for each factor pursuant to the amended and restated ESAs. The table above does not include amounts payable under the amended and restated ESAs as they are based on variable factors, which are not capable of precise estimation.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For a discussion of accounting policies that we consider critical to our business operations and understanding of our results of operations, and that affect the more significant judgments and estimates used in the preparation of our unaudited condensed consolidated financial statements, see Item 7. “Management’s Discussion and Analysis of Financial Condition and</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45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Results of Operations – Critical Accounting Policies” contained in our annual report on Form 10-K for the fiscal year ended December 28, 2006 and incorporated by reference herein. During the three months ended September 27, 2007, there were no significant changes in those critical accounting policies or estimation procedures except for the addition of the fair value estimation policy detailed below.</w:t>
      </w:r>
    </w:p>
    <w:p>
      <w:pPr>
        <w:spacing w:after="0" w:line="14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Fair Value Estimation</w:t>
      </w:r>
      <w:r>
        <w:rPr>
          <w:rFonts w:ascii="Arial" w:cs="Arial" w:eastAsia="Arial" w:hAnsi="Arial"/>
          <w:sz w:val="16"/>
          <w:szCs w:val="16"/>
          <w:color w:val="auto"/>
        </w:rPr>
        <w:t>. NCM LLC considers estimates regarding fair value of our investment in preferred stock of IdeaCast, Inc. to be a critical accounting</w:t>
      </w:r>
      <w:r>
        <w:rPr>
          <w:rFonts w:ascii="Arial" w:cs="Arial" w:eastAsia="Arial" w:hAnsi="Arial"/>
          <w:sz w:val="16"/>
          <w:szCs w:val="16"/>
          <w:i w:val="1"/>
          <w:iCs w:val="1"/>
          <w:color w:val="auto"/>
        </w:rPr>
        <w:t xml:space="preserve"> </w:t>
      </w:r>
      <w:r>
        <w:rPr>
          <w:rFonts w:ascii="Arial" w:cs="Arial" w:eastAsia="Arial" w:hAnsi="Arial"/>
          <w:sz w:val="16"/>
          <w:szCs w:val="16"/>
          <w:color w:val="auto"/>
        </w:rPr>
        <w:t>policy that requires significant judgments, assumptions and estimates used in the preparation of its financial statements. The Company’s investment in IdeaCast, Inc., which is accounted for as an available-for-sale debt security, requires significant management judgment because the securities are not publicly traded and as a result there is no readily determinable fair value. The Company will base its estimated fair value on the following factors, including, but not limited to, product development activity, whether there have been significant changes, positive or negative, in the prospects for IdeaCast’s business, the overall health of the IdeaCast and its industry. In addition, should the fair value of IdeaCast decline below our cost, management judgment will be required to assess whether the investment should be considered other-than-temporarily impaired.</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 a discussion of the recent accounting pronouncements relevant to our business operations, see the information provided under Note 5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Related-Party Transactions</w:t>
      </w:r>
    </w:p>
    <w:p>
      <w:pPr>
        <w:spacing w:after="0" w:line="96"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For a discussion of the related-party transactions, see the information provided under Note 9 to the unaudited condensed consolidated financial statements included elsewhere in this document.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had no off-balance sheet arrangements or obligations for the periods presented in this report.</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96"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The levels of revenue, operating income, net income, EBITDA and adjusted EBITDA are seasonal in nature, coinciding with the timing of marketing expenditures by our advertising clients, and to a lesser extent, to the attendance patterns within the film exhibition industry. Advertising expenditures tend to be higher during the second, third, and fourth fiscal quarters and are correlated to new product releases and marketing cycles. Theatrical attendance is generally highest during the summer and year-end holiday season coinciding with the release of blockbuster films. As a result, we typically have less revenue, operating income, net income, EBITDA and adjusted EBITDA and our operating margins are lower in the first quarter than the other quarters of a given year. Importantly, the results of one quarter are not necessarily indicative of results for the next or any future quarter.</w:t>
      </w:r>
    </w:p>
    <w:p>
      <w:pPr>
        <w:spacing w:after="0" w:line="23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96"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The primary market risk to which we are exposed is interest rate risk. On February 13, 2007, NCM LLC entered into a new $805.0 million senior secured credit facility, comprised of a $725.0 million term facility and $80.0 million revolver facility, which permits borrowings at a rate equal to an applicable margin plus, at our option, either a base rate or LIBOR. On March 2, 2007, NCM LLC entered into fixed interest rate swap arrangements hedging $550.0 million of the $725.0 million senior secured credit facility at a fixed interest rate of 6.734%. An increase or decrease in interest rates would affect interest costs relating to the variable portion of our senior secured debt facility which is not covered under the hedging agreement. At September 27, 2007, there was an aggregate of $175.0 million of variable rate debt outstanding on the term portion of our facility that was not covered by interest rate swaps, and $43.0 million of variable rate debt outstanding on the revolver portion of our facility. Based on the interest rate levels in effect on the variable rate debt outstanding at September 27, 2007, a 100 basis point fluctuation in market interest rates would have increased or decreased our interest expense by approximately $2.2 million for an annual period, net of the effect on interest rate swaps.</w:t>
      </w:r>
    </w:p>
    <w:p>
      <w:pPr>
        <w:spacing w:after="0" w:line="235"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Controls and Procedures</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maintain disclosure controls and procedures that are designed to ensure that information required to be disclosed by us in the reports that we file or submit to the Securities and Exchange Commission under the Securities Exchange Act of 1934, as amended, is recorded, processed, summarized and reported within the time periods specified by the Commission’s rules and forms, and that information is accumulated and communicated to our management, including the Chief Executive Officer (principal executive officer) and Chief Financial Officer (principal financial and accounting officer) as appropriate to</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allow timely decisions regarding required disclosure. As of September 27, 2007, our management evaluated, with the participation of the Chief Executive Officer and Chief Financial Officer, the effectiveness of the Company’s disclosure controls and procedures pursuant to Rule 13a-15(b) of the Securities Exchange Act of 1934. Based on that evaluation, the Company’s management concluded that the Company’s disclosure controls and procedures as of September 27, 2007 were effective.</w:t>
      </w:r>
    </w:p>
    <w:p>
      <w:pPr>
        <w:spacing w:after="0" w:line="143"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There were no changes in our internal control over financial reporting that occurred during our most recently completed fiscal quarter that have materially affected, or are reasonably likely to materially affect, our internal control over financial reporting.</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PART II</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u w:val="single" w:color="auto"/>
          <w:color w:val="auto"/>
        </w:rPr>
        <w:t>Legal Proceedings</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are sometimes involved in legal proceedings arising in the ordinary course of business. We are not aware of any litigation currently pending that would have a material adverse affect on our operating results or financial condition.</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u w:val="single" w:color="auto"/>
          <w:color w:val="auto"/>
        </w:rPr>
        <w:t>Risk Factors</w:t>
      </w:r>
    </w:p>
    <w:p>
      <w:pPr>
        <w:spacing w:after="0" w:line="96"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There have been no material changes from risk factors as previously disclosed in our annual report on Form 10-K filed on March 28, 2007 with the Securities and Exchange Commission for the fiscal year ended December 28, 2006.</w:t>
      </w:r>
    </w:p>
    <w:p>
      <w:pPr>
        <w:spacing w:after="0" w:line="24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u w:val="single" w:color="auto"/>
          <w:color w:val="auto"/>
        </w:rPr>
        <w:t>Unregistered Sales of Equity Securities and Use of Proceeds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u w:val="single" w:color="auto"/>
          <w:color w:val="auto"/>
        </w:rPr>
        <w:t>Defaults Upon Senior Securities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u w:val="single" w:color="auto"/>
          <w:color w:val="auto"/>
        </w:rPr>
        <w:t>Submission of Matters to a Vote of Security 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28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u w:val="single" w:color="auto"/>
          <w:color w:val="auto"/>
        </w:rPr>
        <w:t>Other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60"/>
          </w:cols>
          <w:pgMar w:left="240" w:top="459" w:right="29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u w:val="single" w:color="auto"/>
          <w:color w:val="auto"/>
        </w:rPr>
        <w:t>Exhibits –</w:t>
      </w:r>
    </w:p>
    <w:p>
      <w:pPr>
        <w:spacing w:after="0" w:line="201" w:lineRule="exact"/>
        <w:rPr>
          <w:sz w:val="20"/>
          <w:szCs w:val="20"/>
          <w:color w:val="auto"/>
        </w:rPr>
      </w:pPr>
    </w:p>
    <w:p>
      <w:pPr>
        <w:ind w:left="460"/>
        <w:spacing w:after="0"/>
        <w:rPr>
          <w:sz w:val="20"/>
          <w:szCs w:val="20"/>
          <w:color w:val="auto"/>
        </w:rPr>
      </w:pPr>
      <w:r>
        <w:rPr>
          <w:rFonts w:ascii="Arial" w:cs="Arial" w:eastAsia="Arial" w:hAnsi="Arial"/>
          <w:sz w:val="14"/>
          <w:szCs w:val="14"/>
          <w:b w:val="1"/>
          <w:bCs w:val="1"/>
          <w:color w:val="auto"/>
        </w:rPr>
        <w:t>Exhibit</w:t>
      </w:r>
    </w:p>
    <w:p>
      <w:pPr>
        <w:ind w:left="460"/>
        <w:spacing w:after="0"/>
        <w:tabs>
          <w:tab w:leader="none" w:pos="1120" w:val="left"/>
        </w:tabs>
        <w:rPr>
          <w:sz w:val="20"/>
          <w:szCs w:val="20"/>
          <w:color w:val="auto"/>
        </w:rPr>
      </w:pPr>
      <w:r>
        <w:rPr>
          <w:rFonts w:ascii="Arial" w:cs="Arial" w:eastAsia="Arial" w:hAnsi="Arial"/>
          <w:sz w:val="14"/>
          <w:szCs w:val="14"/>
          <w:b w:val="1"/>
          <w:bCs w:val="1"/>
          <w:u w:val="single" w:color="auto"/>
          <w:color w:val="auto"/>
        </w:rPr>
        <w:t>Number</w:t>
      </w:r>
      <w:r>
        <w:rPr>
          <w:sz w:val="20"/>
          <w:szCs w:val="20"/>
          <w:color w:val="auto"/>
        </w:rPr>
        <w:tab/>
      </w:r>
      <w:r>
        <w:rPr>
          <w:rFonts w:ascii="Arial" w:cs="Arial" w:eastAsia="Arial" w:hAnsi="Arial"/>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0</wp:posOffset>
            </wp:positionV>
            <wp:extent cx="62344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34430" cy="8890"/>
                    </a:xfrm>
                    <a:prstGeom prst="rect">
                      <a:avLst/>
                    </a:prstGeom>
                    <a:noFill/>
                  </pic:spPr>
                </pic:pic>
              </a:graphicData>
            </a:graphic>
          </wp:anchor>
        </w:drawing>
      </w:r>
    </w:p>
    <w:p>
      <w:pPr>
        <w:ind w:left="460"/>
        <w:spacing w:after="0"/>
        <w:tabs>
          <w:tab w:leader="none" w:pos="112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Amended and Restated Certificate of Incorporation (1)</w:t>
      </w:r>
    </w:p>
    <w:p>
      <w:pPr>
        <w:spacing w:after="0" w:line="109"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5"/>
          <w:szCs w:val="15"/>
          <w:color w:val="auto"/>
        </w:rPr>
        <w:t>Amended and Restated Bylaws (1)</w:t>
      </w:r>
    </w:p>
    <w:p>
      <w:pPr>
        <w:spacing w:after="0" w:line="117"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6"/>
          <w:szCs w:val="16"/>
          <w:color w:val="auto"/>
        </w:rPr>
        <w:t>Confirmation of Swap, dated as of July 25, 2007, between National CineMedia, LLC and Credit Suisse International *</w:t>
      </w:r>
    </w:p>
    <w:p>
      <w:pPr>
        <w:spacing w:after="0" w:line="117"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6"/>
          <w:szCs w:val="16"/>
          <w:color w:val="auto"/>
        </w:rPr>
        <w:t>ISDA Master Agreement dated as of March 2, 2007, between National CineMedia, LLC and Credit Suisse International and Schedule *</w:t>
      </w:r>
    </w:p>
    <w:p>
      <w:pPr>
        <w:spacing w:after="0" w:line="117"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6"/>
          <w:szCs w:val="16"/>
          <w:color w:val="auto"/>
        </w:rPr>
        <w:t>Confirmation of Swap, dated as of August 6, 2007, between National CineMedia, LLC and JPMorgan Chase Bank, N.A. *</w:t>
      </w:r>
    </w:p>
    <w:p>
      <w:pPr>
        <w:spacing w:after="0" w:line="117"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ISDA Master Agreement dated as of August 6, 2007, between National CineMedia, LLC and JPMorgan Chase Bank, N.A. *</w:t>
      </w:r>
    </w:p>
    <w:p>
      <w:pPr>
        <w:spacing w:after="0" w:line="117"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10.5</w:t>
      </w:r>
      <w:r>
        <w:rPr>
          <w:sz w:val="20"/>
          <w:szCs w:val="20"/>
          <w:color w:val="auto"/>
        </w:rPr>
        <w:tab/>
      </w:r>
      <w:r>
        <w:rPr>
          <w:rFonts w:ascii="Arial" w:cs="Arial" w:eastAsia="Arial" w:hAnsi="Arial"/>
          <w:sz w:val="16"/>
          <w:szCs w:val="16"/>
          <w:color w:val="auto"/>
        </w:rPr>
        <w:t>Confirmation of Swap, dated as of September 14, 2007, between National CineMedia, LLC and Lehman Brothers Special Financing, Inc. *</w:t>
      </w:r>
    </w:p>
    <w:p>
      <w:pPr>
        <w:spacing w:after="0" w:line="117"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10.6</w:t>
      </w:r>
      <w:r>
        <w:rPr>
          <w:sz w:val="20"/>
          <w:szCs w:val="20"/>
          <w:color w:val="auto"/>
        </w:rPr>
        <w:tab/>
      </w:r>
      <w:r>
        <w:rPr>
          <w:rFonts w:ascii="Arial" w:cs="Arial" w:eastAsia="Arial" w:hAnsi="Arial"/>
          <w:sz w:val="16"/>
          <w:szCs w:val="16"/>
          <w:color w:val="auto"/>
        </w:rPr>
        <w:t>ISDA Master Agreement dated as of September 14, 2007, between National CineMedia, LLC and Lehman Brothers Special Financing, Inc.</w:t>
      </w:r>
    </w:p>
    <w:p>
      <w:pPr>
        <w:spacing w:after="0" w:line="15"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w:t>
      </w:r>
    </w:p>
    <w:p>
      <w:pPr>
        <w:spacing w:after="0" w:line="111"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10.7</w:t>
      </w:r>
      <w:r>
        <w:rPr>
          <w:sz w:val="20"/>
          <w:szCs w:val="20"/>
          <w:color w:val="auto"/>
        </w:rPr>
        <w:tab/>
      </w:r>
      <w:r>
        <w:rPr>
          <w:rFonts w:ascii="Arial" w:cs="Arial" w:eastAsia="Arial" w:hAnsi="Arial"/>
          <w:sz w:val="16"/>
          <w:szCs w:val="16"/>
          <w:color w:val="auto"/>
        </w:rPr>
        <w:t>National CineMedia, Inc. Executive Officer 2007 Performance Bonus Plan (2)</w:t>
      </w:r>
    </w:p>
    <w:p>
      <w:pPr>
        <w:spacing w:after="0" w:line="117"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Rule 13a-14(a) Certification of Chief Executive Officer *</w:t>
      </w:r>
    </w:p>
    <w:p>
      <w:pPr>
        <w:spacing w:after="0" w:line="117"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Rule 13a-14(a) Certification of Chief Financial Officer *</w:t>
      </w:r>
    </w:p>
    <w:p>
      <w:pPr>
        <w:spacing w:after="0" w:line="117"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Certification of Chief Executive Officer Pursuant to 18 U.S.C. Section 1350 **</w:t>
      </w:r>
    </w:p>
    <w:p>
      <w:pPr>
        <w:spacing w:after="0" w:line="117" w:lineRule="exact"/>
        <w:rPr>
          <w:sz w:val="20"/>
          <w:szCs w:val="20"/>
          <w:color w:val="auto"/>
        </w:rPr>
      </w:pPr>
    </w:p>
    <w:p>
      <w:pPr>
        <w:ind w:left="460"/>
        <w:spacing w:after="0"/>
        <w:tabs>
          <w:tab w:leader="none" w:pos="11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6"/>
          <w:szCs w:val="16"/>
          <w:color w:val="auto"/>
        </w:rPr>
        <w:t>Certification of Chief Financial Officer Pursuant to 18 U.S.C. Section 1350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ind w:left="460" w:hanging="452"/>
        <w:spacing w:after="0"/>
        <w:tabs>
          <w:tab w:leader="none" w:pos="4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Furnished herewith.</w:t>
      </w:r>
    </w:p>
    <w:p>
      <w:pPr>
        <w:spacing w:after="0" w:line="9"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color w:val="auto"/>
        </w:rPr>
        <w:t>Incorporated by reference from the Registrant’s Registration Statement on Form S-8 (File No. 333-140652) filed on February 13, 2007.</w:t>
      </w:r>
    </w:p>
    <w:p>
      <w:pPr>
        <w:spacing w:after="0" w:line="32" w:lineRule="exact"/>
        <w:rPr>
          <w:rFonts w:ascii="Arial" w:cs="Arial" w:eastAsia="Arial" w:hAnsi="Arial"/>
          <w:sz w:val="16"/>
          <w:szCs w:val="16"/>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Incorporated by reference from the Registrant’s Current Report on Form 8-K (File No. 001-33296) filed on August 30, 2007.</w:t>
      </w:r>
    </w:p>
    <w:p>
      <w:pPr>
        <w:spacing w:after="0" w:line="151"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0960"/>
          </w:cols>
          <w:pgMar w:left="240" w:top="459" w:right="69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SIGNATURES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6" w:lineRule="exact"/>
        <w:rPr>
          <w:sz w:val="20"/>
          <w:szCs w:val="20"/>
          <w:color w:val="auto"/>
        </w:rPr>
      </w:pPr>
    </w:p>
    <w:p>
      <w:pPr>
        <w:ind w:left="5820"/>
        <w:spacing w:after="0"/>
        <w:rPr>
          <w:sz w:val="20"/>
          <w:szCs w:val="20"/>
          <w:color w:val="auto"/>
        </w:rPr>
      </w:pPr>
      <w:r>
        <w:rPr>
          <w:rFonts w:ascii="Arial" w:cs="Arial" w:eastAsia="Arial" w:hAnsi="Arial"/>
          <w:sz w:val="18"/>
          <w:szCs w:val="18"/>
          <w:b w:val="1"/>
          <w:bCs w:val="1"/>
          <w:color w:val="auto"/>
        </w:rPr>
        <w:t>NATIONAL CINEMEDIA, INC.</w:t>
      </w:r>
    </w:p>
    <w:p>
      <w:pPr>
        <w:spacing w:after="0" w:line="231"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November 9, 2007</w:t>
      </w:r>
      <w:r>
        <w:rPr>
          <w:sz w:val="20"/>
          <w:szCs w:val="20"/>
          <w:color w:val="auto"/>
        </w:rPr>
        <w:tab/>
      </w:r>
      <w:r>
        <w:rPr>
          <w:rFonts w:ascii="Arial" w:cs="Arial" w:eastAsia="Arial" w:hAnsi="Arial"/>
          <w:sz w:val="16"/>
          <w:szCs w:val="16"/>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Executive Officer)</w:t>
      </w:r>
    </w:p>
    <w:p>
      <w:pPr>
        <w:spacing w:after="0" w:line="205" w:lineRule="exact"/>
        <w:rPr>
          <w:sz w:val="20"/>
          <w:szCs w:val="20"/>
          <w:color w:val="auto"/>
        </w:rPr>
      </w:pPr>
    </w:p>
    <w:p>
      <w:pPr>
        <w:spacing w:after="0"/>
        <w:tabs>
          <w:tab w:leader="none" w:pos="5800" w:val="left"/>
        </w:tabs>
        <w:rPr>
          <w:sz w:val="20"/>
          <w:szCs w:val="20"/>
          <w:color w:val="auto"/>
        </w:rPr>
      </w:pPr>
      <w:r>
        <w:rPr>
          <w:rFonts w:ascii="Arial" w:cs="Arial" w:eastAsia="Arial" w:hAnsi="Arial"/>
          <w:sz w:val="18"/>
          <w:szCs w:val="18"/>
          <w:color w:val="auto"/>
        </w:rPr>
        <w:t>Dated: November 9, 2007</w:t>
      </w:r>
      <w:r>
        <w:rPr>
          <w:sz w:val="20"/>
          <w:szCs w:val="20"/>
          <w:color w:val="auto"/>
        </w:rPr>
        <w:tab/>
      </w:r>
      <w:r>
        <w:rPr>
          <w:rFonts w:ascii="Arial" w:cs="Arial" w:eastAsia="Arial" w:hAnsi="Arial"/>
          <w:sz w:val="15"/>
          <w:szCs w:val="15"/>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3701415</wp:posOffset>
            </wp:positionH>
            <wp:positionV relativeFrom="paragraph">
              <wp:posOffset>10795</wp:posOffset>
            </wp:positionV>
            <wp:extent cx="3550285"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550285" cy="8890"/>
                    </a:xfrm>
                    <a:prstGeom prst="rect">
                      <a:avLst/>
                    </a:prstGeom>
                    <a:noFill/>
                  </pic:spPr>
                </pic:pic>
              </a:graphicData>
            </a:graphic>
          </wp:anchor>
        </w:drawing>
      </w:r>
    </w:p>
    <w:p>
      <w:pPr>
        <w:spacing w:after="0" w:line="16"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5820"/>
        <w:spacing w:after="0"/>
        <w:rPr>
          <w:sz w:val="20"/>
          <w:szCs w:val="20"/>
          <w:color w:val="auto"/>
        </w:rPr>
      </w:pPr>
      <w:r>
        <w:rPr>
          <w:rFonts w:ascii="Arial" w:cs="Arial" w:eastAsia="Arial" w:hAnsi="Arial"/>
          <w:sz w:val="18"/>
          <w:szCs w:val="18"/>
          <w:color w:val="auto"/>
        </w:rPr>
        <w:t>(Principal Accounting and Financial Officer)</w:t>
      </w:r>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0500"/>
          </w:cols>
          <w:pgMar w:left="240" w:top="459" w:right="115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t>Exhibit 10.1</w:t>
      </w:r>
    </w:p>
    <w:p>
      <w:pPr>
        <w:spacing w:after="0" w:line="177"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25 July 2007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91 10 East Nicholas Avenue, Suite 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Circle Suite 360 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Centennial, Co 80112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External ID: 53199051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Dear Sir/Madam:</w:t>
      </w:r>
    </w:p>
    <w:p>
      <w:pPr>
        <w:spacing w:after="0" w:line="90" w:lineRule="exact"/>
        <w:rPr>
          <w:sz w:val="20"/>
          <w:szCs w:val="20"/>
          <w:color w:val="auto"/>
        </w:rPr>
      </w:pPr>
    </w:p>
    <w:p>
      <w:pPr>
        <w:ind w:right="280"/>
        <w:spacing w:after="0" w:line="332" w:lineRule="auto"/>
        <w:rPr>
          <w:sz w:val="20"/>
          <w:szCs w:val="20"/>
          <w:color w:val="auto"/>
        </w:rPr>
      </w:pPr>
      <w:r>
        <w:rPr>
          <w:rFonts w:ascii="Arial" w:cs="Arial" w:eastAsia="Arial" w:hAnsi="Arial"/>
          <w:sz w:val="16"/>
          <w:szCs w:val="16"/>
          <w:color w:val="auto"/>
        </w:rPr>
        <w:t>The purpose of this letter agreement (this “Confirmation”) is to confirm the terms and conditions of the Transaction entered into between us on the Trade Date specified below (the “Transaction”). This Confirmation constitutes a “Confirmation” as referred to in the Agreement specified below.</w:t>
      </w:r>
    </w:p>
    <w:p>
      <w:pPr>
        <w:spacing w:after="0" w:line="7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This Confirmation amends restates and supersedes in its entirety all Confirmations dated prior to the date hereof in respect of this Transaction.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this Confirmation “CSIN” means Credit Suisse International and “Counterparty” means National CineMedia, LLC.</w:t>
      </w:r>
    </w:p>
    <w:p>
      <w:pPr>
        <w:spacing w:after="0" w:line="96" w:lineRule="exact"/>
        <w:rPr>
          <w:sz w:val="20"/>
          <w:szCs w:val="20"/>
          <w:color w:val="auto"/>
        </w:rPr>
      </w:pPr>
    </w:p>
    <w:p>
      <w:pPr>
        <w:ind w:left="460" w:right="60" w:hanging="452"/>
        <w:spacing w:after="0" w:line="306" w:lineRule="auto"/>
        <w:tabs>
          <w:tab w:leader="none" w:pos="4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definitions and provisions contained in the 2000 ISDA Definitions (as published by the International Swaps and Derivatives Association, Inc.) are incorporated into this Confirmation. In the event of any inconsistency between those definitions and provisions and this Confirmation, this Confirmation will govern. References herein to a “Transaction” shall be deemed to be references to a “Swap Transaction” for the purposes of the 2000 ISDA Definitions.</w:t>
      </w:r>
    </w:p>
    <w:p>
      <w:pPr>
        <w:spacing w:after="0" w:line="19" w:lineRule="exact"/>
        <w:rPr>
          <w:rFonts w:ascii="Arial" w:cs="Arial" w:eastAsia="Arial" w:hAnsi="Arial"/>
          <w:sz w:val="16"/>
          <w:szCs w:val="16"/>
          <w:color w:val="auto"/>
        </w:rPr>
      </w:pPr>
    </w:p>
    <w:p>
      <w:pPr>
        <w:ind w:left="460" w:right="280"/>
        <w:spacing w:after="0" w:line="262" w:lineRule="auto"/>
        <w:rPr>
          <w:rFonts w:ascii="Arial" w:cs="Arial" w:eastAsia="Arial" w:hAnsi="Arial"/>
          <w:sz w:val="16"/>
          <w:szCs w:val="16"/>
          <w:color w:val="auto"/>
        </w:rPr>
      </w:pPr>
      <w:r>
        <w:rPr>
          <w:rFonts w:ascii="Arial" w:cs="Arial" w:eastAsia="Arial" w:hAnsi="Arial"/>
          <w:sz w:val="18"/>
          <w:szCs w:val="18"/>
          <w:color w:val="auto"/>
        </w:rPr>
        <w:t xml:space="preserve">This Confirmation supplements, forms part of, and is subject to the 1992 ISDA Master Agreement dated as of </w:t>
      </w:r>
      <w:r>
        <w:rPr>
          <w:rFonts w:ascii="Arial" w:cs="Arial" w:eastAsia="Arial" w:hAnsi="Arial"/>
          <w:sz w:val="18"/>
          <w:szCs w:val="18"/>
          <w:b w:val="1"/>
          <w:bCs w:val="1"/>
          <w:color w:val="auto"/>
        </w:rPr>
        <w:t>02 March 2007</w:t>
      </w:r>
      <w:r>
        <w:rPr>
          <w:rFonts w:ascii="Arial" w:cs="Arial" w:eastAsia="Arial" w:hAnsi="Arial"/>
          <w:sz w:val="18"/>
          <w:szCs w:val="18"/>
          <w:color w:val="auto"/>
        </w:rPr>
        <w:t xml:space="preserve"> as amended and supplemented from time to time (the “Agreement”), between you and us. All provisions contained in the Agreement govern this Confirmation except as expressly modified below</w:t>
      </w:r>
    </w:p>
    <w:p>
      <w:pPr>
        <w:spacing w:after="0" w:line="57" w:lineRule="exact"/>
        <w:rPr>
          <w:rFonts w:ascii="Arial" w:cs="Arial" w:eastAsia="Arial" w:hAnsi="Arial"/>
          <w:sz w:val="16"/>
          <w:szCs w:val="16"/>
          <w:color w:val="auto"/>
        </w:rPr>
      </w:pPr>
    </w:p>
    <w:p>
      <w:pPr>
        <w:ind w:left="460" w:hanging="452"/>
        <w:spacing w:after="0"/>
        <w:tabs>
          <w:tab w:leader="none" w:pos="4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terms of the particular Transaction to which this Confirmation relates are as follows:</w:t>
      </w:r>
    </w:p>
    <w:p>
      <w:pPr>
        <w:spacing w:after="0" w:line="212" w:lineRule="exact"/>
        <w:rPr>
          <w:sz w:val="20"/>
          <w:szCs w:val="20"/>
          <w:color w:val="auto"/>
        </w:rPr>
      </w:pPr>
    </w:p>
    <w:tbl>
      <w:tblPr>
        <w:tblLayout w:type="fixed"/>
        <w:tblInd w:w="2720" w:type="dxa"/>
        <w:tblCellMar>
          <w:top w:w="0" w:type="dxa"/>
          <w:left w:w="0" w:type="dxa"/>
          <w:bottom w:w="0" w:type="dxa"/>
          <w:right w:w="0" w:type="dxa"/>
        </w:tblCellMar>
      </w:tblPr>
      <w:tr>
        <w:trPr>
          <w:trHeight w:val="222"/>
        </w:trPr>
        <w:tc>
          <w:tcPr>
            <w:tcW w:w="2180" w:type="dxa"/>
            <w:vAlign w:val="bottom"/>
          </w:tcPr>
          <w:p>
            <w:pPr>
              <w:spacing w:after="0"/>
              <w:rPr>
                <w:sz w:val="20"/>
                <w:szCs w:val="20"/>
                <w:color w:val="auto"/>
              </w:rPr>
            </w:pPr>
            <w:r>
              <w:rPr>
                <w:rFonts w:ascii="Arial" w:cs="Arial" w:eastAsia="Arial" w:hAnsi="Arial"/>
                <w:sz w:val="18"/>
                <w:szCs w:val="18"/>
                <w:color w:val="auto"/>
              </w:rPr>
              <w:t>Notional Amount:</w:t>
            </w:r>
          </w:p>
        </w:tc>
        <w:tc>
          <w:tcPr>
            <w:tcW w:w="3900" w:type="dxa"/>
            <w:vAlign w:val="bottom"/>
            <w:gridSpan w:val="2"/>
          </w:tcPr>
          <w:p>
            <w:pPr>
              <w:ind w:left="880"/>
              <w:spacing w:after="0"/>
              <w:rPr>
                <w:sz w:val="20"/>
                <w:szCs w:val="20"/>
                <w:color w:val="auto"/>
              </w:rPr>
            </w:pPr>
            <w:r>
              <w:rPr>
                <w:rFonts w:ascii="Arial" w:cs="Arial" w:eastAsia="Arial" w:hAnsi="Arial"/>
                <w:sz w:val="18"/>
                <w:szCs w:val="18"/>
                <w:color w:val="auto"/>
              </w:rPr>
              <w:t>USD 137,500,000</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Trade Date:</w:t>
            </w:r>
          </w:p>
        </w:tc>
        <w:tc>
          <w:tcPr>
            <w:tcW w:w="1080" w:type="dxa"/>
            <w:vAlign w:val="bottom"/>
          </w:tcPr>
          <w:p>
            <w:pPr>
              <w:ind w:left="880"/>
              <w:spacing w:after="0"/>
              <w:rPr>
                <w:sz w:val="20"/>
                <w:szCs w:val="20"/>
                <w:color w:val="auto"/>
              </w:rPr>
            </w:pPr>
            <w:r>
              <w:rPr>
                <w:rFonts w:ascii="Arial" w:cs="Arial" w:eastAsia="Arial" w:hAnsi="Arial"/>
                <w:sz w:val="18"/>
                <w:szCs w:val="18"/>
                <w:color w:val="auto"/>
                <w:w w:val="89"/>
              </w:rPr>
              <w:t>02</w:t>
            </w:r>
          </w:p>
        </w:tc>
        <w:tc>
          <w:tcPr>
            <w:tcW w:w="2820" w:type="dxa"/>
            <w:vAlign w:val="bottom"/>
          </w:tcPr>
          <w:p>
            <w:pPr>
              <w:ind w:left="20"/>
              <w:spacing w:after="0"/>
              <w:rPr>
                <w:sz w:val="20"/>
                <w:szCs w:val="20"/>
                <w:color w:val="auto"/>
              </w:rPr>
            </w:pPr>
            <w:r>
              <w:rPr>
                <w:rFonts w:ascii="Arial" w:cs="Arial" w:eastAsia="Arial" w:hAnsi="Arial"/>
                <w:sz w:val="18"/>
                <w:szCs w:val="18"/>
                <w:color w:val="auto"/>
              </w:rPr>
              <w:t>March 2007</w:t>
            </w:r>
          </w:p>
        </w:tc>
      </w:tr>
      <w:tr>
        <w:trPr>
          <w:trHeight w:val="324"/>
        </w:trPr>
        <w:tc>
          <w:tcPr>
            <w:tcW w:w="2180" w:type="dxa"/>
            <w:vAlign w:val="bottom"/>
          </w:tcPr>
          <w:p>
            <w:pPr>
              <w:spacing w:after="0"/>
              <w:rPr>
                <w:sz w:val="20"/>
                <w:szCs w:val="20"/>
                <w:color w:val="auto"/>
              </w:rPr>
            </w:pPr>
            <w:r>
              <w:rPr>
                <w:rFonts w:ascii="Arial" w:cs="Arial" w:eastAsia="Arial" w:hAnsi="Arial"/>
                <w:sz w:val="18"/>
                <w:szCs w:val="18"/>
                <w:color w:val="auto"/>
              </w:rPr>
              <w:t>Effective Date:</w:t>
            </w:r>
          </w:p>
        </w:tc>
        <w:tc>
          <w:tcPr>
            <w:tcW w:w="1080" w:type="dxa"/>
            <w:vAlign w:val="bottom"/>
          </w:tcPr>
          <w:p>
            <w:pPr>
              <w:ind w:left="880"/>
              <w:spacing w:after="0"/>
              <w:rPr>
                <w:sz w:val="20"/>
                <w:szCs w:val="20"/>
                <w:color w:val="auto"/>
              </w:rPr>
            </w:pPr>
            <w:r>
              <w:rPr>
                <w:rFonts w:ascii="Arial" w:cs="Arial" w:eastAsia="Arial" w:hAnsi="Arial"/>
                <w:sz w:val="18"/>
                <w:szCs w:val="18"/>
                <w:color w:val="auto"/>
                <w:w w:val="89"/>
              </w:rPr>
              <w:t>13</w:t>
            </w:r>
          </w:p>
        </w:tc>
        <w:tc>
          <w:tcPr>
            <w:tcW w:w="2820" w:type="dxa"/>
            <w:vAlign w:val="bottom"/>
          </w:tcPr>
          <w:p>
            <w:pPr>
              <w:ind w:left="20"/>
              <w:spacing w:after="0"/>
              <w:rPr>
                <w:sz w:val="20"/>
                <w:szCs w:val="20"/>
                <w:color w:val="auto"/>
              </w:rPr>
            </w:pPr>
            <w:r>
              <w:rPr>
                <w:rFonts w:ascii="Arial" w:cs="Arial" w:eastAsia="Arial" w:hAnsi="Arial"/>
                <w:sz w:val="18"/>
                <w:szCs w:val="18"/>
                <w:color w:val="auto"/>
              </w:rPr>
              <w:t>March 2007</w:t>
            </w:r>
          </w:p>
        </w:tc>
      </w:tr>
      <w:tr>
        <w:trPr>
          <w:trHeight w:val="318"/>
        </w:trPr>
        <w:tc>
          <w:tcPr>
            <w:tcW w:w="2180" w:type="dxa"/>
            <w:vAlign w:val="bottom"/>
          </w:tcPr>
          <w:p>
            <w:pPr>
              <w:spacing w:after="0"/>
              <w:rPr>
                <w:sz w:val="20"/>
                <w:szCs w:val="20"/>
                <w:color w:val="auto"/>
              </w:rPr>
            </w:pPr>
            <w:r>
              <w:rPr>
                <w:rFonts w:ascii="Arial" w:cs="Arial" w:eastAsia="Arial" w:hAnsi="Arial"/>
                <w:sz w:val="18"/>
                <w:szCs w:val="18"/>
                <w:color w:val="auto"/>
              </w:rPr>
              <w:t>Termination Date:</w:t>
            </w:r>
          </w:p>
        </w:tc>
        <w:tc>
          <w:tcPr>
            <w:tcW w:w="1080" w:type="dxa"/>
            <w:vAlign w:val="bottom"/>
          </w:tcPr>
          <w:p>
            <w:pPr>
              <w:ind w:left="880"/>
              <w:spacing w:after="0"/>
              <w:rPr>
                <w:sz w:val="20"/>
                <w:szCs w:val="20"/>
                <w:color w:val="auto"/>
              </w:rPr>
            </w:pPr>
            <w:r>
              <w:rPr>
                <w:rFonts w:ascii="Arial" w:cs="Arial" w:eastAsia="Arial" w:hAnsi="Arial"/>
                <w:sz w:val="18"/>
                <w:szCs w:val="18"/>
                <w:color w:val="auto"/>
                <w:w w:val="89"/>
              </w:rPr>
              <w:t>13</w:t>
            </w:r>
          </w:p>
        </w:tc>
        <w:tc>
          <w:tcPr>
            <w:tcW w:w="2820" w:type="dxa"/>
            <w:vAlign w:val="bottom"/>
          </w:tcPr>
          <w:p>
            <w:pPr>
              <w:ind w:left="20"/>
              <w:spacing w:after="0"/>
              <w:rPr>
                <w:sz w:val="20"/>
                <w:szCs w:val="20"/>
                <w:color w:val="auto"/>
              </w:rPr>
            </w:pPr>
            <w:r>
              <w:rPr>
                <w:rFonts w:ascii="Arial" w:cs="Arial" w:eastAsia="Arial" w:hAnsi="Arial"/>
                <w:sz w:val="18"/>
                <w:szCs w:val="18"/>
                <w:color w:val="auto"/>
                <w:w w:val="87"/>
              </w:rPr>
              <w:t>February 2015, subject to adjustment in</w:t>
            </w:r>
          </w:p>
        </w:tc>
      </w:tr>
      <w:tr>
        <w:trPr>
          <w:trHeight w:val="216"/>
        </w:trPr>
        <w:tc>
          <w:tcPr>
            <w:tcW w:w="2180" w:type="dxa"/>
            <w:vAlign w:val="bottom"/>
          </w:tcPr>
          <w:p>
            <w:pPr>
              <w:spacing w:after="0"/>
              <w:rPr>
                <w:sz w:val="18"/>
                <w:szCs w:val="18"/>
                <w:color w:val="auto"/>
              </w:rPr>
            </w:pPr>
          </w:p>
        </w:tc>
        <w:tc>
          <w:tcPr>
            <w:tcW w:w="3900" w:type="dxa"/>
            <w:vAlign w:val="bottom"/>
            <w:gridSpan w:val="2"/>
          </w:tcPr>
          <w:p>
            <w:pPr>
              <w:ind w:left="880"/>
              <w:spacing w:after="0"/>
              <w:rPr>
                <w:sz w:val="20"/>
                <w:szCs w:val="20"/>
                <w:color w:val="auto"/>
              </w:rPr>
            </w:pPr>
            <w:r>
              <w:rPr>
                <w:rFonts w:ascii="Arial" w:cs="Arial" w:eastAsia="Arial" w:hAnsi="Arial"/>
                <w:sz w:val="18"/>
                <w:szCs w:val="18"/>
                <w:color w:val="auto"/>
                <w:w w:val="95"/>
              </w:rPr>
              <w:t>accordance with the Modified Following</w:t>
            </w:r>
          </w:p>
        </w:tc>
      </w:tr>
      <w:tr>
        <w:trPr>
          <w:trHeight w:val="216"/>
        </w:trPr>
        <w:tc>
          <w:tcPr>
            <w:tcW w:w="2180" w:type="dxa"/>
            <w:vAlign w:val="bottom"/>
          </w:tcPr>
          <w:p>
            <w:pPr>
              <w:spacing w:after="0"/>
              <w:rPr>
                <w:sz w:val="18"/>
                <w:szCs w:val="18"/>
                <w:color w:val="auto"/>
              </w:rPr>
            </w:pPr>
          </w:p>
        </w:tc>
        <w:tc>
          <w:tcPr>
            <w:tcW w:w="3900" w:type="dxa"/>
            <w:vAlign w:val="bottom"/>
            <w:gridSpan w:val="2"/>
          </w:tcPr>
          <w:p>
            <w:pPr>
              <w:ind w:left="880"/>
              <w:spacing w:after="0"/>
              <w:rPr>
                <w:sz w:val="20"/>
                <w:szCs w:val="20"/>
                <w:color w:val="auto"/>
              </w:rPr>
            </w:pPr>
            <w:r>
              <w:rPr>
                <w:rFonts w:ascii="Arial" w:cs="Arial" w:eastAsia="Arial" w:hAnsi="Arial"/>
                <w:sz w:val="18"/>
                <w:szCs w:val="18"/>
                <w:color w:val="auto"/>
              </w:rPr>
              <w:t>Business</w:t>
            </w:r>
          </w:p>
        </w:tc>
      </w:tr>
      <w:tr>
        <w:trPr>
          <w:trHeight w:val="222"/>
        </w:trPr>
        <w:tc>
          <w:tcPr>
            <w:tcW w:w="2180" w:type="dxa"/>
            <w:vAlign w:val="bottom"/>
          </w:tcPr>
          <w:p>
            <w:pPr>
              <w:spacing w:after="0"/>
              <w:rPr>
                <w:sz w:val="19"/>
                <w:szCs w:val="19"/>
                <w:color w:val="auto"/>
              </w:rPr>
            </w:pPr>
          </w:p>
        </w:tc>
        <w:tc>
          <w:tcPr>
            <w:tcW w:w="3900" w:type="dxa"/>
            <w:vAlign w:val="bottom"/>
            <w:gridSpan w:val="2"/>
          </w:tcPr>
          <w:p>
            <w:pPr>
              <w:ind w:left="880"/>
              <w:spacing w:after="0"/>
              <w:rPr>
                <w:sz w:val="20"/>
                <w:szCs w:val="20"/>
                <w:color w:val="auto"/>
              </w:rPr>
            </w:pPr>
            <w:r>
              <w:rPr>
                <w:rFonts w:ascii="Arial" w:cs="Arial" w:eastAsia="Arial" w:hAnsi="Arial"/>
                <w:sz w:val="18"/>
                <w:szCs w:val="18"/>
                <w:color w:val="auto"/>
              </w:rPr>
              <w:t>Day Convention</w:t>
            </w:r>
          </w:p>
        </w:tc>
      </w:tr>
    </w:tbl>
    <w:p>
      <w:pPr>
        <w:sectPr>
          <w:pgSz w:w="11900" w:h="16838" w:orient="portrait"/>
          <w:cols w:equalWidth="0" w:num="1">
            <w:col w:w="11420"/>
          </w:cols>
          <w:pgMar w:left="240" w:top="125" w:right="239" w:bottom="1440" w:gutter="0" w:footer="0" w:header="0"/>
        </w:sectPr>
      </w:pPr>
    </w:p>
    <w:bookmarkStart w:id="37" w:name="page38"/>
    <w:bookmarkEnd w:id="3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1100" w:type="dxa"/>
        <w:tblCellMar>
          <w:top w:w="0" w:type="dxa"/>
          <w:left w:w="0" w:type="dxa"/>
          <w:bottom w:w="0" w:type="dxa"/>
          <w:right w:w="0" w:type="dxa"/>
        </w:tblCellMar>
      </w:tblPr>
      <w:tr>
        <w:trPr>
          <w:trHeight w:val="222"/>
        </w:trPr>
        <w:tc>
          <w:tcPr>
            <w:tcW w:w="2660" w:type="dxa"/>
            <w:vAlign w:val="bottom"/>
          </w:tcPr>
          <w:p>
            <w:pPr>
              <w:spacing w:after="0"/>
              <w:rPr>
                <w:sz w:val="20"/>
                <w:szCs w:val="20"/>
                <w:color w:val="auto"/>
              </w:rPr>
            </w:pPr>
            <w:r>
              <w:rPr>
                <w:rFonts w:ascii="Arial" w:cs="Arial" w:eastAsia="Arial" w:hAnsi="Arial"/>
                <w:sz w:val="18"/>
                <w:szCs w:val="18"/>
                <w:color w:val="auto"/>
              </w:rPr>
              <w:t>Fixed Amounts:</w:t>
            </w:r>
          </w:p>
        </w:tc>
        <w:tc>
          <w:tcPr>
            <w:tcW w:w="4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2660" w:type="dxa"/>
            <w:vAlign w:val="bottom"/>
          </w:tcPr>
          <w:p>
            <w:pPr>
              <w:ind w:left="420"/>
              <w:spacing w:after="0"/>
              <w:rPr>
                <w:sz w:val="20"/>
                <w:szCs w:val="20"/>
                <w:color w:val="auto"/>
              </w:rPr>
            </w:pPr>
            <w:r>
              <w:rPr>
                <w:rFonts w:ascii="Arial" w:cs="Arial" w:eastAsia="Arial" w:hAnsi="Arial"/>
                <w:sz w:val="18"/>
                <w:szCs w:val="18"/>
                <w:color w:val="auto"/>
              </w:rPr>
              <w:t>Fixed Rate Payer:</w:t>
            </w:r>
          </w:p>
        </w:tc>
        <w:tc>
          <w:tcPr>
            <w:tcW w:w="4120" w:type="dxa"/>
            <w:vAlign w:val="bottom"/>
          </w:tcPr>
          <w:p>
            <w:pPr>
              <w:ind w:left="820"/>
              <w:spacing w:after="0"/>
              <w:rPr>
                <w:sz w:val="20"/>
                <w:szCs w:val="20"/>
                <w:color w:val="auto"/>
              </w:rPr>
            </w:pPr>
            <w:r>
              <w:rPr>
                <w:rFonts w:ascii="Arial" w:cs="Arial" w:eastAsia="Arial" w:hAnsi="Arial"/>
                <w:sz w:val="18"/>
                <w:szCs w:val="18"/>
                <w:color w:val="auto"/>
              </w:rPr>
              <w:t>Counterparty</w:t>
            </w:r>
          </w:p>
        </w:tc>
        <w:tc>
          <w:tcPr>
            <w:tcW w:w="0" w:type="dxa"/>
            <w:vAlign w:val="bottom"/>
          </w:tcPr>
          <w:p>
            <w:pPr>
              <w:spacing w:after="0"/>
              <w:rPr>
                <w:sz w:val="1"/>
                <w:szCs w:val="1"/>
                <w:color w:val="auto"/>
              </w:rPr>
            </w:pPr>
          </w:p>
        </w:tc>
      </w:tr>
      <w:tr>
        <w:trPr>
          <w:trHeight w:val="318"/>
        </w:trPr>
        <w:tc>
          <w:tcPr>
            <w:tcW w:w="2660" w:type="dxa"/>
            <w:vAlign w:val="bottom"/>
          </w:tcPr>
          <w:p>
            <w:pPr>
              <w:ind w:left="420"/>
              <w:spacing w:after="0"/>
              <w:rPr>
                <w:sz w:val="20"/>
                <w:szCs w:val="20"/>
                <w:color w:val="auto"/>
              </w:rPr>
            </w:pPr>
            <w:r>
              <w:rPr>
                <w:rFonts w:ascii="Arial" w:cs="Arial" w:eastAsia="Arial" w:hAnsi="Arial"/>
                <w:sz w:val="18"/>
                <w:szCs w:val="18"/>
                <w:color w:val="auto"/>
              </w:rPr>
              <w:t>Fixed Rate Payer</w:t>
            </w:r>
          </w:p>
        </w:tc>
        <w:tc>
          <w:tcPr>
            <w:tcW w:w="4120" w:type="dxa"/>
            <w:vAlign w:val="bottom"/>
            <w:vMerge w:val="restart"/>
          </w:tcPr>
          <w:p>
            <w:pPr>
              <w:ind w:left="820"/>
              <w:spacing w:after="0"/>
              <w:rPr>
                <w:sz w:val="20"/>
                <w:szCs w:val="20"/>
                <w:color w:val="auto"/>
              </w:rPr>
            </w:pPr>
            <w:r>
              <w:rPr>
                <w:rFonts w:ascii="Arial" w:cs="Arial" w:eastAsia="Arial" w:hAnsi="Arial"/>
                <w:sz w:val="18"/>
                <w:szCs w:val="18"/>
                <w:b w:val="1"/>
                <w:bCs w:val="1"/>
                <w:color w:val="auto"/>
                <w:w w:val="89"/>
              </w:rPr>
              <w:t>Each 13 March, 13 June, 13 September and</w:t>
            </w:r>
          </w:p>
        </w:tc>
        <w:tc>
          <w:tcPr>
            <w:tcW w:w="0" w:type="dxa"/>
            <w:vAlign w:val="bottom"/>
          </w:tcPr>
          <w:p>
            <w:pPr>
              <w:spacing w:after="0"/>
              <w:rPr>
                <w:sz w:val="1"/>
                <w:szCs w:val="1"/>
                <w:color w:val="auto"/>
              </w:rPr>
            </w:pPr>
          </w:p>
        </w:tc>
      </w:tr>
      <w:tr>
        <w:trPr>
          <w:trHeight w:val="210"/>
        </w:trPr>
        <w:tc>
          <w:tcPr>
            <w:tcW w:w="2660" w:type="dxa"/>
            <w:vAlign w:val="bottom"/>
          </w:tcPr>
          <w:p>
            <w:pPr>
              <w:ind w:left="420"/>
              <w:spacing w:after="0"/>
              <w:rPr>
                <w:sz w:val="20"/>
                <w:szCs w:val="20"/>
                <w:color w:val="auto"/>
              </w:rPr>
            </w:pPr>
            <w:r>
              <w:rPr>
                <w:rFonts w:ascii="Arial" w:cs="Arial" w:eastAsia="Arial" w:hAnsi="Arial"/>
                <w:sz w:val="18"/>
                <w:szCs w:val="18"/>
                <w:color w:val="auto"/>
              </w:rPr>
              <w:t>Payment Dates:</w:t>
            </w:r>
          </w:p>
        </w:tc>
        <w:tc>
          <w:tcPr>
            <w:tcW w:w="4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20" w:type="dxa"/>
            <w:vAlign w:val="bottom"/>
          </w:tcPr>
          <w:p>
            <w:pPr>
              <w:ind w:left="820"/>
              <w:spacing w:after="0"/>
              <w:rPr>
                <w:sz w:val="20"/>
                <w:szCs w:val="20"/>
                <w:color w:val="auto"/>
              </w:rPr>
            </w:pPr>
            <w:r>
              <w:rPr>
                <w:rFonts w:ascii="Arial" w:cs="Arial" w:eastAsia="Arial" w:hAnsi="Arial"/>
                <w:sz w:val="18"/>
                <w:szCs w:val="18"/>
                <w:b w:val="1"/>
                <w:bCs w:val="1"/>
                <w:color w:val="auto"/>
                <w:w w:val="92"/>
              </w:rPr>
              <w:t>13 December, from and including 13 June</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20" w:type="dxa"/>
            <w:vAlign w:val="bottom"/>
          </w:tcPr>
          <w:p>
            <w:pPr>
              <w:ind w:left="820"/>
              <w:spacing w:after="0"/>
              <w:rPr>
                <w:sz w:val="20"/>
                <w:szCs w:val="20"/>
                <w:color w:val="auto"/>
              </w:rPr>
            </w:pPr>
            <w:r>
              <w:rPr>
                <w:rFonts w:ascii="Arial" w:cs="Arial" w:eastAsia="Arial" w:hAnsi="Arial"/>
                <w:sz w:val="18"/>
                <w:szCs w:val="18"/>
                <w:b w:val="1"/>
                <w:bCs w:val="1"/>
                <w:color w:val="auto"/>
                <w:w w:val="92"/>
              </w:rPr>
              <w:t>2007, to and including 13 December 2014,</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20" w:type="dxa"/>
            <w:vAlign w:val="bottom"/>
          </w:tcPr>
          <w:p>
            <w:pPr>
              <w:ind w:left="820"/>
              <w:spacing w:after="0"/>
              <w:rPr>
                <w:sz w:val="20"/>
                <w:szCs w:val="20"/>
                <w:color w:val="auto"/>
              </w:rPr>
            </w:pPr>
            <w:r>
              <w:rPr>
                <w:rFonts w:ascii="Arial" w:cs="Arial" w:eastAsia="Arial" w:hAnsi="Arial"/>
                <w:sz w:val="18"/>
                <w:szCs w:val="18"/>
                <w:b w:val="1"/>
                <w:bCs w:val="1"/>
                <w:color w:val="auto"/>
                <w:w w:val="92"/>
              </w:rPr>
              <w:t>with a final payment on 13 February 2015,</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20" w:type="dxa"/>
            <w:vAlign w:val="bottom"/>
          </w:tcPr>
          <w:p>
            <w:pPr>
              <w:ind w:left="820"/>
              <w:spacing w:after="0"/>
              <w:rPr>
                <w:sz w:val="20"/>
                <w:szCs w:val="20"/>
                <w:color w:val="auto"/>
              </w:rPr>
            </w:pPr>
            <w:r>
              <w:rPr>
                <w:rFonts w:ascii="Arial" w:cs="Arial" w:eastAsia="Arial" w:hAnsi="Arial"/>
                <w:sz w:val="18"/>
                <w:szCs w:val="18"/>
                <w:b w:val="1"/>
                <w:bCs w:val="1"/>
                <w:color w:val="auto"/>
                <w:w w:val="92"/>
              </w:rPr>
              <w:t>subject to adjustment in accordance with</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20" w:type="dxa"/>
            <w:vAlign w:val="bottom"/>
          </w:tcPr>
          <w:p>
            <w:pPr>
              <w:ind w:left="820"/>
              <w:spacing w:after="0"/>
              <w:rPr>
                <w:sz w:val="20"/>
                <w:szCs w:val="20"/>
                <w:color w:val="auto"/>
              </w:rPr>
            </w:pPr>
            <w:r>
              <w:rPr>
                <w:rFonts w:ascii="Arial" w:cs="Arial" w:eastAsia="Arial" w:hAnsi="Arial"/>
                <w:sz w:val="18"/>
                <w:szCs w:val="18"/>
                <w:b w:val="1"/>
                <w:bCs w:val="1"/>
                <w:color w:val="auto"/>
              </w:rPr>
              <w:t>the Modified Following Business Day</w:t>
            </w:r>
          </w:p>
        </w:tc>
        <w:tc>
          <w:tcPr>
            <w:tcW w:w="0" w:type="dxa"/>
            <w:vAlign w:val="bottom"/>
          </w:tcPr>
          <w:p>
            <w:pPr>
              <w:spacing w:after="0"/>
              <w:rPr>
                <w:sz w:val="1"/>
                <w:szCs w:val="1"/>
                <w:color w:val="auto"/>
              </w:rPr>
            </w:pPr>
          </w:p>
        </w:tc>
      </w:tr>
      <w:tr>
        <w:trPr>
          <w:trHeight w:val="228"/>
        </w:trPr>
        <w:tc>
          <w:tcPr>
            <w:tcW w:w="2660" w:type="dxa"/>
            <w:vAlign w:val="bottom"/>
          </w:tcPr>
          <w:p>
            <w:pPr>
              <w:spacing w:after="0"/>
              <w:rPr>
                <w:sz w:val="19"/>
                <w:szCs w:val="19"/>
                <w:color w:val="auto"/>
              </w:rPr>
            </w:pPr>
          </w:p>
        </w:tc>
        <w:tc>
          <w:tcPr>
            <w:tcW w:w="4120" w:type="dxa"/>
            <w:vAlign w:val="bottom"/>
          </w:tcPr>
          <w:p>
            <w:pPr>
              <w:ind w:left="820"/>
              <w:spacing w:after="0"/>
              <w:rPr>
                <w:sz w:val="20"/>
                <w:szCs w:val="20"/>
                <w:color w:val="auto"/>
              </w:rPr>
            </w:pPr>
            <w:r>
              <w:rPr>
                <w:rFonts w:ascii="Arial" w:cs="Arial" w:eastAsia="Arial" w:hAnsi="Arial"/>
                <w:sz w:val="18"/>
                <w:szCs w:val="18"/>
                <w:b w:val="1"/>
                <w:bCs w:val="1"/>
                <w:color w:val="auto"/>
              </w:rPr>
              <w:t>Convention</w:t>
            </w:r>
          </w:p>
        </w:tc>
        <w:tc>
          <w:tcPr>
            <w:tcW w:w="0" w:type="dxa"/>
            <w:vAlign w:val="bottom"/>
          </w:tcPr>
          <w:p>
            <w:pPr>
              <w:spacing w:after="0"/>
              <w:rPr>
                <w:sz w:val="1"/>
                <w:szCs w:val="1"/>
                <w:color w:val="auto"/>
              </w:rPr>
            </w:pPr>
          </w:p>
        </w:tc>
      </w:tr>
      <w:tr>
        <w:trPr>
          <w:trHeight w:val="324"/>
        </w:trPr>
        <w:tc>
          <w:tcPr>
            <w:tcW w:w="2660" w:type="dxa"/>
            <w:vAlign w:val="bottom"/>
          </w:tcPr>
          <w:p>
            <w:pPr>
              <w:ind w:left="420"/>
              <w:spacing w:after="0"/>
              <w:rPr>
                <w:sz w:val="20"/>
                <w:szCs w:val="20"/>
                <w:color w:val="auto"/>
              </w:rPr>
            </w:pPr>
            <w:r>
              <w:rPr>
                <w:rFonts w:ascii="Arial" w:cs="Arial" w:eastAsia="Arial" w:hAnsi="Arial"/>
                <w:sz w:val="18"/>
                <w:szCs w:val="18"/>
                <w:color w:val="auto"/>
              </w:rPr>
              <w:t>Fixed Rate:</w:t>
            </w:r>
          </w:p>
        </w:tc>
        <w:tc>
          <w:tcPr>
            <w:tcW w:w="4120" w:type="dxa"/>
            <w:vAlign w:val="bottom"/>
          </w:tcPr>
          <w:p>
            <w:pPr>
              <w:ind w:left="820"/>
              <w:spacing w:after="0"/>
              <w:rPr>
                <w:sz w:val="20"/>
                <w:szCs w:val="20"/>
                <w:color w:val="auto"/>
              </w:rPr>
            </w:pPr>
            <w:r>
              <w:rPr>
                <w:rFonts w:ascii="Arial" w:cs="Arial" w:eastAsia="Arial" w:hAnsi="Arial"/>
                <w:sz w:val="18"/>
                <w:szCs w:val="18"/>
                <w:color w:val="auto"/>
              </w:rPr>
              <w:t>4.984%</w:t>
            </w:r>
          </w:p>
        </w:tc>
        <w:tc>
          <w:tcPr>
            <w:tcW w:w="0" w:type="dxa"/>
            <w:vAlign w:val="bottom"/>
          </w:tcPr>
          <w:p>
            <w:pPr>
              <w:spacing w:after="0"/>
              <w:rPr>
                <w:sz w:val="1"/>
                <w:szCs w:val="1"/>
                <w:color w:val="auto"/>
              </w:rPr>
            </w:pPr>
          </w:p>
        </w:tc>
      </w:tr>
      <w:tr>
        <w:trPr>
          <w:trHeight w:val="318"/>
        </w:trPr>
        <w:tc>
          <w:tcPr>
            <w:tcW w:w="2660" w:type="dxa"/>
            <w:vAlign w:val="bottom"/>
          </w:tcPr>
          <w:p>
            <w:pPr>
              <w:ind w:left="420"/>
              <w:spacing w:after="0"/>
              <w:rPr>
                <w:sz w:val="20"/>
                <w:szCs w:val="20"/>
                <w:color w:val="auto"/>
              </w:rPr>
            </w:pPr>
            <w:r>
              <w:rPr>
                <w:rFonts w:ascii="Arial" w:cs="Arial" w:eastAsia="Arial" w:hAnsi="Arial"/>
                <w:sz w:val="18"/>
                <w:szCs w:val="18"/>
                <w:color w:val="auto"/>
              </w:rPr>
              <w:t>Fixed Rate</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60" w:type="dxa"/>
            <w:vAlign w:val="bottom"/>
          </w:tcPr>
          <w:p>
            <w:pPr>
              <w:ind w:left="420"/>
              <w:spacing w:after="0"/>
              <w:rPr>
                <w:sz w:val="20"/>
                <w:szCs w:val="20"/>
                <w:color w:val="auto"/>
              </w:rPr>
            </w:pPr>
            <w:r>
              <w:rPr>
                <w:rFonts w:ascii="Arial" w:cs="Arial" w:eastAsia="Arial" w:hAnsi="Arial"/>
                <w:sz w:val="18"/>
                <w:szCs w:val="18"/>
                <w:color w:val="auto"/>
              </w:rPr>
              <w:t>Day Count Fraction:</w:t>
            </w:r>
          </w:p>
        </w:tc>
        <w:tc>
          <w:tcPr>
            <w:tcW w:w="4120" w:type="dxa"/>
            <w:vAlign w:val="bottom"/>
          </w:tcPr>
          <w:p>
            <w:pPr>
              <w:ind w:left="820"/>
              <w:spacing w:after="0"/>
              <w:rPr>
                <w:sz w:val="20"/>
                <w:szCs w:val="20"/>
                <w:color w:val="auto"/>
              </w:rPr>
            </w:pPr>
            <w:r>
              <w:rPr>
                <w:rFonts w:ascii="Arial" w:cs="Arial" w:eastAsia="Arial" w:hAnsi="Arial"/>
                <w:sz w:val="18"/>
                <w:szCs w:val="18"/>
                <w:color w:val="auto"/>
              </w:rPr>
              <w:t>Actual/360</w:t>
            </w:r>
          </w:p>
        </w:tc>
        <w:tc>
          <w:tcPr>
            <w:tcW w:w="0" w:type="dxa"/>
            <w:vAlign w:val="bottom"/>
          </w:tcPr>
          <w:p>
            <w:pPr>
              <w:spacing w:after="0"/>
              <w:rPr>
                <w:sz w:val="1"/>
                <w:szCs w:val="1"/>
                <w:color w:val="auto"/>
              </w:rPr>
            </w:pPr>
          </w:p>
        </w:tc>
      </w:tr>
      <w:tr>
        <w:trPr>
          <w:trHeight w:val="324"/>
        </w:trPr>
        <w:tc>
          <w:tcPr>
            <w:tcW w:w="2660" w:type="dxa"/>
            <w:vAlign w:val="bottom"/>
          </w:tcPr>
          <w:p>
            <w:pPr>
              <w:ind w:left="420"/>
              <w:spacing w:after="0"/>
              <w:rPr>
                <w:sz w:val="20"/>
                <w:szCs w:val="20"/>
                <w:color w:val="auto"/>
              </w:rPr>
            </w:pPr>
            <w:r>
              <w:rPr>
                <w:rFonts w:ascii="Arial" w:cs="Arial" w:eastAsia="Arial" w:hAnsi="Arial"/>
                <w:sz w:val="18"/>
                <w:szCs w:val="18"/>
                <w:color w:val="auto"/>
              </w:rPr>
              <w:t>Floating Amounts:</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2660" w:type="dxa"/>
            <w:vAlign w:val="bottom"/>
          </w:tcPr>
          <w:p>
            <w:pPr>
              <w:ind w:left="420"/>
              <w:spacing w:after="0"/>
              <w:rPr>
                <w:sz w:val="20"/>
                <w:szCs w:val="20"/>
                <w:color w:val="auto"/>
              </w:rPr>
            </w:pPr>
            <w:r>
              <w:rPr>
                <w:rFonts w:ascii="Arial" w:cs="Arial" w:eastAsia="Arial" w:hAnsi="Arial"/>
                <w:sz w:val="18"/>
                <w:szCs w:val="18"/>
                <w:color w:val="auto"/>
              </w:rPr>
              <w:t>Floating Rate Payer:</w:t>
            </w:r>
          </w:p>
        </w:tc>
        <w:tc>
          <w:tcPr>
            <w:tcW w:w="4120" w:type="dxa"/>
            <w:vAlign w:val="bottom"/>
          </w:tcPr>
          <w:p>
            <w:pPr>
              <w:ind w:left="820"/>
              <w:spacing w:after="0"/>
              <w:rPr>
                <w:sz w:val="20"/>
                <w:szCs w:val="20"/>
                <w:color w:val="auto"/>
              </w:rPr>
            </w:pPr>
            <w:r>
              <w:rPr>
                <w:rFonts w:ascii="Arial" w:cs="Arial" w:eastAsia="Arial" w:hAnsi="Arial"/>
                <w:sz w:val="18"/>
                <w:szCs w:val="18"/>
                <w:color w:val="auto"/>
              </w:rPr>
              <w:t>CSIN</w:t>
            </w:r>
          </w:p>
        </w:tc>
        <w:tc>
          <w:tcPr>
            <w:tcW w:w="0" w:type="dxa"/>
            <w:vAlign w:val="bottom"/>
          </w:tcPr>
          <w:p>
            <w:pPr>
              <w:spacing w:after="0"/>
              <w:rPr>
                <w:sz w:val="1"/>
                <w:szCs w:val="1"/>
                <w:color w:val="auto"/>
              </w:rPr>
            </w:pPr>
          </w:p>
        </w:tc>
      </w:tr>
      <w:tr>
        <w:trPr>
          <w:trHeight w:val="318"/>
        </w:trPr>
        <w:tc>
          <w:tcPr>
            <w:tcW w:w="2660" w:type="dxa"/>
            <w:vAlign w:val="bottom"/>
          </w:tcPr>
          <w:p>
            <w:pPr>
              <w:ind w:left="420"/>
              <w:spacing w:after="0"/>
              <w:rPr>
                <w:sz w:val="20"/>
                <w:szCs w:val="20"/>
                <w:color w:val="auto"/>
              </w:rPr>
            </w:pPr>
            <w:r>
              <w:rPr>
                <w:rFonts w:ascii="Arial" w:cs="Arial" w:eastAsia="Arial" w:hAnsi="Arial"/>
                <w:sz w:val="18"/>
                <w:szCs w:val="18"/>
                <w:color w:val="auto"/>
              </w:rPr>
              <w:t>Floating Rate Payer</w:t>
            </w:r>
          </w:p>
        </w:tc>
        <w:tc>
          <w:tcPr>
            <w:tcW w:w="4120" w:type="dxa"/>
            <w:vAlign w:val="bottom"/>
            <w:vMerge w:val="restart"/>
          </w:tcPr>
          <w:p>
            <w:pPr>
              <w:ind w:left="820"/>
              <w:spacing w:after="0"/>
              <w:rPr>
                <w:sz w:val="20"/>
                <w:szCs w:val="20"/>
                <w:color w:val="auto"/>
              </w:rPr>
            </w:pPr>
            <w:r>
              <w:rPr>
                <w:rFonts w:ascii="Arial" w:cs="Arial" w:eastAsia="Arial" w:hAnsi="Arial"/>
                <w:sz w:val="18"/>
                <w:szCs w:val="18"/>
                <w:b w:val="1"/>
                <w:bCs w:val="1"/>
                <w:color w:val="auto"/>
                <w:w w:val="89"/>
              </w:rPr>
              <w:t>Each 13 March, 13 June, 13 September and</w:t>
            </w:r>
          </w:p>
        </w:tc>
        <w:tc>
          <w:tcPr>
            <w:tcW w:w="0" w:type="dxa"/>
            <w:vAlign w:val="bottom"/>
          </w:tcPr>
          <w:p>
            <w:pPr>
              <w:spacing w:after="0"/>
              <w:rPr>
                <w:sz w:val="1"/>
                <w:szCs w:val="1"/>
                <w:color w:val="auto"/>
              </w:rPr>
            </w:pPr>
          </w:p>
        </w:tc>
      </w:tr>
      <w:tr>
        <w:trPr>
          <w:trHeight w:val="210"/>
        </w:trPr>
        <w:tc>
          <w:tcPr>
            <w:tcW w:w="2660" w:type="dxa"/>
            <w:vAlign w:val="bottom"/>
          </w:tcPr>
          <w:p>
            <w:pPr>
              <w:ind w:left="420"/>
              <w:spacing w:after="0"/>
              <w:rPr>
                <w:sz w:val="20"/>
                <w:szCs w:val="20"/>
                <w:color w:val="auto"/>
              </w:rPr>
            </w:pPr>
            <w:r>
              <w:rPr>
                <w:rFonts w:ascii="Arial" w:cs="Arial" w:eastAsia="Arial" w:hAnsi="Arial"/>
                <w:sz w:val="18"/>
                <w:szCs w:val="18"/>
                <w:color w:val="auto"/>
              </w:rPr>
              <w:t>Payment Dates:</w:t>
            </w:r>
          </w:p>
        </w:tc>
        <w:tc>
          <w:tcPr>
            <w:tcW w:w="4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20" w:type="dxa"/>
            <w:vAlign w:val="bottom"/>
          </w:tcPr>
          <w:p>
            <w:pPr>
              <w:ind w:left="820"/>
              <w:spacing w:after="0"/>
              <w:rPr>
                <w:sz w:val="20"/>
                <w:szCs w:val="20"/>
                <w:color w:val="auto"/>
              </w:rPr>
            </w:pPr>
            <w:r>
              <w:rPr>
                <w:rFonts w:ascii="Arial" w:cs="Arial" w:eastAsia="Arial" w:hAnsi="Arial"/>
                <w:sz w:val="18"/>
                <w:szCs w:val="18"/>
                <w:b w:val="1"/>
                <w:bCs w:val="1"/>
                <w:color w:val="auto"/>
                <w:w w:val="92"/>
              </w:rPr>
              <w:t>13 December, from and including 13 June</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20" w:type="dxa"/>
            <w:vAlign w:val="bottom"/>
          </w:tcPr>
          <w:p>
            <w:pPr>
              <w:ind w:left="820"/>
              <w:spacing w:after="0"/>
              <w:rPr>
                <w:sz w:val="20"/>
                <w:szCs w:val="20"/>
                <w:color w:val="auto"/>
              </w:rPr>
            </w:pPr>
            <w:r>
              <w:rPr>
                <w:rFonts w:ascii="Arial" w:cs="Arial" w:eastAsia="Arial" w:hAnsi="Arial"/>
                <w:sz w:val="18"/>
                <w:szCs w:val="18"/>
                <w:b w:val="1"/>
                <w:bCs w:val="1"/>
                <w:color w:val="auto"/>
                <w:w w:val="92"/>
              </w:rPr>
              <w:t>2007, to and including 13 December 2014,</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20" w:type="dxa"/>
            <w:vAlign w:val="bottom"/>
          </w:tcPr>
          <w:p>
            <w:pPr>
              <w:ind w:left="820"/>
              <w:spacing w:after="0"/>
              <w:rPr>
                <w:sz w:val="20"/>
                <w:szCs w:val="20"/>
                <w:color w:val="auto"/>
              </w:rPr>
            </w:pPr>
            <w:r>
              <w:rPr>
                <w:rFonts w:ascii="Arial" w:cs="Arial" w:eastAsia="Arial" w:hAnsi="Arial"/>
                <w:sz w:val="18"/>
                <w:szCs w:val="18"/>
                <w:b w:val="1"/>
                <w:bCs w:val="1"/>
                <w:color w:val="auto"/>
                <w:w w:val="92"/>
              </w:rPr>
              <w:t>with a final payment on 13 February 2015,</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20" w:type="dxa"/>
            <w:vAlign w:val="bottom"/>
          </w:tcPr>
          <w:p>
            <w:pPr>
              <w:ind w:left="820"/>
              <w:spacing w:after="0"/>
              <w:rPr>
                <w:sz w:val="20"/>
                <w:szCs w:val="20"/>
                <w:color w:val="auto"/>
              </w:rPr>
            </w:pPr>
            <w:r>
              <w:rPr>
                <w:rFonts w:ascii="Arial" w:cs="Arial" w:eastAsia="Arial" w:hAnsi="Arial"/>
                <w:sz w:val="18"/>
                <w:szCs w:val="18"/>
                <w:b w:val="1"/>
                <w:bCs w:val="1"/>
                <w:color w:val="auto"/>
                <w:w w:val="92"/>
              </w:rPr>
              <w:t>subject to adjustment in accordance with</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20" w:type="dxa"/>
            <w:vAlign w:val="bottom"/>
          </w:tcPr>
          <w:p>
            <w:pPr>
              <w:ind w:left="820"/>
              <w:spacing w:after="0"/>
              <w:rPr>
                <w:sz w:val="20"/>
                <w:szCs w:val="20"/>
                <w:color w:val="auto"/>
              </w:rPr>
            </w:pPr>
            <w:r>
              <w:rPr>
                <w:rFonts w:ascii="Arial" w:cs="Arial" w:eastAsia="Arial" w:hAnsi="Arial"/>
                <w:sz w:val="18"/>
                <w:szCs w:val="18"/>
                <w:b w:val="1"/>
                <w:bCs w:val="1"/>
                <w:color w:val="auto"/>
              </w:rPr>
              <w:t>the Modified Following Business Day</w:t>
            </w:r>
          </w:p>
        </w:tc>
        <w:tc>
          <w:tcPr>
            <w:tcW w:w="0" w:type="dxa"/>
            <w:vAlign w:val="bottom"/>
          </w:tcPr>
          <w:p>
            <w:pPr>
              <w:spacing w:after="0"/>
              <w:rPr>
                <w:sz w:val="1"/>
                <w:szCs w:val="1"/>
                <w:color w:val="auto"/>
              </w:rPr>
            </w:pPr>
          </w:p>
        </w:tc>
      </w:tr>
      <w:tr>
        <w:trPr>
          <w:trHeight w:val="228"/>
        </w:trPr>
        <w:tc>
          <w:tcPr>
            <w:tcW w:w="2660" w:type="dxa"/>
            <w:vAlign w:val="bottom"/>
          </w:tcPr>
          <w:p>
            <w:pPr>
              <w:spacing w:after="0"/>
              <w:rPr>
                <w:sz w:val="19"/>
                <w:szCs w:val="19"/>
                <w:color w:val="auto"/>
              </w:rPr>
            </w:pPr>
          </w:p>
        </w:tc>
        <w:tc>
          <w:tcPr>
            <w:tcW w:w="4120" w:type="dxa"/>
            <w:vAlign w:val="bottom"/>
          </w:tcPr>
          <w:p>
            <w:pPr>
              <w:ind w:left="820"/>
              <w:spacing w:after="0"/>
              <w:rPr>
                <w:sz w:val="20"/>
                <w:szCs w:val="20"/>
                <w:color w:val="auto"/>
              </w:rPr>
            </w:pPr>
            <w:r>
              <w:rPr>
                <w:rFonts w:ascii="Arial" w:cs="Arial" w:eastAsia="Arial" w:hAnsi="Arial"/>
                <w:sz w:val="18"/>
                <w:szCs w:val="18"/>
                <w:b w:val="1"/>
                <w:bCs w:val="1"/>
                <w:color w:val="auto"/>
              </w:rPr>
              <w:t>Convention</w:t>
            </w:r>
          </w:p>
        </w:tc>
        <w:tc>
          <w:tcPr>
            <w:tcW w:w="0" w:type="dxa"/>
            <w:vAlign w:val="bottom"/>
          </w:tcPr>
          <w:p>
            <w:pPr>
              <w:spacing w:after="0"/>
              <w:rPr>
                <w:sz w:val="1"/>
                <w:szCs w:val="1"/>
                <w:color w:val="auto"/>
              </w:rPr>
            </w:pPr>
          </w:p>
        </w:tc>
      </w:tr>
      <w:tr>
        <w:trPr>
          <w:trHeight w:val="318"/>
        </w:trPr>
        <w:tc>
          <w:tcPr>
            <w:tcW w:w="2660" w:type="dxa"/>
            <w:vAlign w:val="bottom"/>
          </w:tcPr>
          <w:p>
            <w:pPr>
              <w:ind w:left="420"/>
              <w:spacing w:after="0"/>
              <w:rPr>
                <w:sz w:val="20"/>
                <w:szCs w:val="20"/>
                <w:color w:val="auto"/>
              </w:rPr>
            </w:pPr>
            <w:r>
              <w:rPr>
                <w:rFonts w:ascii="Arial" w:cs="Arial" w:eastAsia="Arial" w:hAnsi="Arial"/>
                <w:sz w:val="18"/>
                <w:szCs w:val="18"/>
                <w:color w:val="auto"/>
              </w:rPr>
              <w:t>Floating Rate Option:</w:t>
            </w:r>
          </w:p>
        </w:tc>
        <w:tc>
          <w:tcPr>
            <w:tcW w:w="4120" w:type="dxa"/>
            <w:vAlign w:val="bottom"/>
          </w:tcPr>
          <w:p>
            <w:pPr>
              <w:ind w:left="820"/>
              <w:spacing w:after="0"/>
              <w:rPr>
                <w:sz w:val="20"/>
                <w:szCs w:val="20"/>
                <w:color w:val="auto"/>
              </w:rPr>
            </w:pPr>
            <w:r>
              <w:rPr>
                <w:rFonts w:ascii="Arial" w:cs="Arial" w:eastAsia="Arial" w:hAnsi="Arial"/>
                <w:sz w:val="18"/>
                <w:szCs w:val="18"/>
                <w:color w:val="auto"/>
                <w:w w:val="92"/>
              </w:rPr>
              <w:t>USD-LIBOR-BBA; provided, however, that in</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20" w:type="dxa"/>
            <w:vAlign w:val="bottom"/>
          </w:tcPr>
          <w:p>
            <w:pPr>
              <w:ind w:left="820"/>
              <w:spacing w:after="0"/>
              <w:rPr>
                <w:sz w:val="20"/>
                <w:szCs w:val="20"/>
                <w:color w:val="auto"/>
              </w:rPr>
            </w:pPr>
            <w:r>
              <w:rPr>
                <w:rFonts w:ascii="Arial" w:cs="Arial" w:eastAsia="Arial" w:hAnsi="Arial"/>
                <w:sz w:val="18"/>
                <w:szCs w:val="18"/>
                <w:color w:val="auto"/>
                <w:w w:val="89"/>
              </w:rPr>
              <w:t>respect of the initial Calculation Period, Linear</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20" w:type="dxa"/>
            <w:vAlign w:val="bottom"/>
          </w:tcPr>
          <w:p>
            <w:pPr>
              <w:ind w:left="820"/>
              <w:spacing w:after="0"/>
              <w:rPr>
                <w:sz w:val="20"/>
                <w:szCs w:val="20"/>
                <w:color w:val="auto"/>
              </w:rPr>
            </w:pPr>
            <w:r>
              <w:rPr>
                <w:rFonts w:ascii="Arial" w:cs="Arial" w:eastAsia="Arial" w:hAnsi="Arial"/>
                <w:sz w:val="18"/>
                <w:szCs w:val="18"/>
                <w:color w:val="auto"/>
              </w:rPr>
              <w:t>Interpolation shall apply based upon a</w:t>
            </w:r>
          </w:p>
        </w:tc>
        <w:tc>
          <w:tcPr>
            <w:tcW w:w="0" w:type="dxa"/>
            <w:vAlign w:val="bottom"/>
          </w:tcPr>
          <w:p>
            <w:pPr>
              <w:spacing w:after="0"/>
              <w:rPr>
                <w:sz w:val="1"/>
                <w:szCs w:val="1"/>
                <w:color w:val="auto"/>
              </w:rPr>
            </w:pPr>
          </w:p>
        </w:tc>
      </w:tr>
      <w:tr>
        <w:trPr>
          <w:trHeight w:val="216"/>
        </w:trPr>
        <w:tc>
          <w:tcPr>
            <w:tcW w:w="2660" w:type="dxa"/>
            <w:vAlign w:val="bottom"/>
          </w:tcPr>
          <w:p>
            <w:pPr>
              <w:spacing w:after="0"/>
              <w:rPr>
                <w:sz w:val="18"/>
                <w:szCs w:val="18"/>
                <w:color w:val="auto"/>
              </w:rPr>
            </w:pPr>
          </w:p>
        </w:tc>
        <w:tc>
          <w:tcPr>
            <w:tcW w:w="4120" w:type="dxa"/>
            <w:vAlign w:val="bottom"/>
          </w:tcPr>
          <w:p>
            <w:pPr>
              <w:ind w:left="820"/>
              <w:spacing w:after="0"/>
              <w:rPr>
                <w:sz w:val="20"/>
                <w:szCs w:val="20"/>
                <w:color w:val="auto"/>
              </w:rPr>
            </w:pPr>
            <w:r>
              <w:rPr>
                <w:rFonts w:ascii="Arial" w:cs="Arial" w:eastAsia="Arial" w:hAnsi="Arial"/>
                <w:sz w:val="18"/>
                <w:szCs w:val="18"/>
                <w:color w:val="auto"/>
              </w:rPr>
              <w:t>Designated Maturity of 1 month and a</w:t>
            </w:r>
          </w:p>
        </w:tc>
        <w:tc>
          <w:tcPr>
            <w:tcW w:w="0" w:type="dxa"/>
            <w:vAlign w:val="bottom"/>
          </w:tcPr>
          <w:p>
            <w:pPr>
              <w:spacing w:after="0"/>
              <w:rPr>
                <w:sz w:val="1"/>
                <w:szCs w:val="1"/>
                <w:color w:val="auto"/>
              </w:rPr>
            </w:pPr>
          </w:p>
        </w:tc>
      </w:tr>
      <w:tr>
        <w:trPr>
          <w:trHeight w:val="222"/>
        </w:trPr>
        <w:tc>
          <w:tcPr>
            <w:tcW w:w="2660" w:type="dxa"/>
            <w:vAlign w:val="bottom"/>
          </w:tcPr>
          <w:p>
            <w:pPr>
              <w:spacing w:after="0"/>
              <w:rPr>
                <w:sz w:val="19"/>
                <w:szCs w:val="19"/>
                <w:color w:val="auto"/>
              </w:rPr>
            </w:pPr>
          </w:p>
        </w:tc>
        <w:tc>
          <w:tcPr>
            <w:tcW w:w="4120" w:type="dxa"/>
            <w:vAlign w:val="bottom"/>
          </w:tcPr>
          <w:p>
            <w:pPr>
              <w:ind w:left="820"/>
              <w:spacing w:after="0"/>
              <w:rPr>
                <w:sz w:val="20"/>
                <w:szCs w:val="20"/>
                <w:color w:val="auto"/>
              </w:rPr>
            </w:pPr>
            <w:r>
              <w:rPr>
                <w:rFonts w:ascii="Arial" w:cs="Arial" w:eastAsia="Arial" w:hAnsi="Arial"/>
                <w:sz w:val="18"/>
                <w:szCs w:val="18"/>
                <w:color w:val="auto"/>
              </w:rPr>
              <w:t>Designated Maturity of 2 months</w:t>
            </w:r>
          </w:p>
        </w:tc>
        <w:tc>
          <w:tcPr>
            <w:tcW w:w="0" w:type="dxa"/>
            <w:vAlign w:val="bottom"/>
          </w:tcPr>
          <w:p>
            <w:pPr>
              <w:spacing w:after="0"/>
              <w:rPr>
                <w:sz w:val="1"/>
                <w:szCs w:val="1"/>
                <w:color w:val="auto"/>
              </w:rPr>
            </w:pPr>
          </w:p>
        </w:tc>
      </w:tr>
      <w:tr>
        <w:trPr>
          <w:trHeight w:val="324"/>
        </w:trPr>
        <w:tc>
          <w:tcPr>
            <w:tcW w:w="2660" w:type="dxa"/>
            <w:vAlign w:val="bottom"/>
          </w:tcPr>
          <w:p>
            <w:pPr>
              <w:ind w:left="420"/>
              <w:spacing w:after="0"/>
              <w:rPr>
                <w:sz w:val="20"/>
                <w:szCs w:val="20"/>
                <w:color w:val="auto"/>
              </w:rPr>
            </w:pPr>
            <w:r>
              <w:rPr>
                <w:rFonts w:ascii="Arial" w:cs="Arial" w:eastAsia="Arial" w:hAnsi="Arial"/>
                <w:sz w:val="18"/>
                <w:szCs w:val="18"/>
                <w:color w:val="auto"/>
              </w:rPr>
              <w:t>Designated Maturity:</w:t>
            </w:r>
          </w:p>
        </w:tc>
        <w:tc>
          <w:tcPr>
            <w:tcW w:w="4120" w:type="dxa"/>
            <w:vAlign w:val="bottom"/>
          </w:tcPr>
          <w:p>
            <w:pPr>
              <w:ind w:left="820"/>
              <w:spacing w:after="0"/>
              <w:rPr>
                <w:sz w:val="20"/>
                <w:szCs w:val="20"/>
                <w:color w:val="auto"/>
              </w:rPr>
            </w:pPr>
            <w:r>
              <w:rPr>
                <w:rFonts w:ascii="Arial" w:cs="Arial" w:eastAsia="Arial" w:hAnsi="Arial"/>
                <w:sz w:val="18"/>
                <w:szCs w:val="18"/>
                <w:color w:val="auto"/>
              </w:rPr>
              <w:t>3 months (except as noted above)</w:t>
            </w:r>
          </w:p>
        </w:tc>
        <w:tc>
          <w:tcPr>
            <w:tcW w:w="0" w:type="dxa"/>
            <w:vAlign w:val="bottom"/>
          </w:tcPr>
          <w:p>
            <w:pPr>
              <w:spacing w:after="0"/>
              <w:rPr>
                <w:sz w:val="1"/>
                <w:szCs w:val="1"/>
                <w:color w:val="auto"/>
              </w:rPr>
            </w:pPr>
          </w:p>
        </w:tc>
      </w:tr>
      <w:tr>
        <w:trPr>
          <w:trHeight w:val="324"/>
        </w:trPr>
        <w:tc>
          <w:tcPr>
            <w:tcW w:w="2660" w:type="dxa"/>
            <w:vAlign w:val="bottom"/>
          </w:tcPr>
          <w:p>
            <w:pPr>
              <w:ind w:left="420"/>
              <w:spacing w:after="0"/>
              <w:rPr>
                <w:sz w:val="20"/>
                <w:szCs w:val="20"/>
                <w:color w:val="auto"/>
              </w:rPr>
            </w:pPr>
            <w:r>
              <w:rPr>
                <w:rFonts w:ascii="Arial" w:cs="Arial" w:eastAsia="Arial" w:hAnsi="Arial"/>
                <w:sz w:val="18"/>
                <w:szCs w:val="18"/>
                <w:color w:val="auto"/>
              </w:rPr>
              <w:t>Spread:</w:t>
            </w:r>
          </w:p>
        </w:tc>
        <w:tc>
          <w:tcPr>
            <w:tcW w:w="4120" w:type="dxa"/>
            <w:vAlign w:val="bottom"/>
          </w:tcPr>
          <w:p>
            <w:pPr>
              <w:ind w:left="820"/>
              <w:spacing w:after="0"/>
              <w:rPr>
                <w:sz w:val="20"/>
                <w:szCs w:val="20"/>
                <w:color w:val="auto"/>
              </w:rPr>
            </w:pPr>
            <w:r>
              <w:rPr>
                <w:rFonts w:ascii="Arial" w:cs="Arial" w:eastAsia="Arial" w:hAnsi="Arial"/>
                <w:sz w:val="18"/>
                <w:szCs w:val="18"/>
                <w:color w:val="auto"/>
              </w:rPr>
              <w:t>None</w:t>
            </w:r>
          </w:p>
        </w:tc>
        <w:tc>
          <w:tcPr>
            <w:tcW w:w="0" w:type="dxa"/>
            <w:vAlign w:val="bottom"/>
          </w:tcPr>
          <w:p>
            <w:pPr>
              <w:spacing w:after="0"/>
              <w:rPr>
                <w:sz w:val="1"/>
                <w:szCs w:val="1"/>
                <w:color w:val="auto"/>
              </w:rPr>
            </w:pPr>
          </w:p>
        </w:tc>
      </w:tr>
      <w:tr>
        <w:trPr>
          <w:trHeight w:val="318"/>
        </w:trPr>
        <w:tc>
          <w:tcPr>
            <w:tcW w:w="2660" w:type="dxa"/>
            <w:vAlign w:val="bottom"/>
          </w:tcPr>
          <w:p>
            <w:pPr>
              <w:ind w:left="420"/>
              <w:spacing w:after="0"/>
              <w:rPr>
                <w:sz w:val="20"/>
                <w:szCs w:val="20"/>
                <w:color w:val="auto"/>
              </w:rPr>
            </w:pPr>
            <w:r>
              <w:rPr>
                <w:rFonts w:ascii="Arial" w:cs="Arial" w:eastAsia="Arial" w:hAnsi="Arial"/>
                <w:sz w:val="18"/>
                <w:szCs w:val="18"/>
                <w:color w:val="auto"/>
              </w:rPr>
              <w:t>Floating Rate</w:t>
            </w:r>
          </w:p>
        </w:tc>
        <w:tc>
          <w:tcPr>
            <w:tcW w:w="4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660" w:type="dxa"/>
            <w:vAlign w:val="bottom"/>
          </w:tcPr>
          <w:p>
            <w:pPr>
              <w:ind w:left="420"/>
              <w:spacing w:after="0"/>
              <w:rPr>
                <w:sz w:val="20"/>
                <w:szCs w:val="20"/>
                <w:color w:val="auto"/>
              </w:rPr>
            </w:pPr>
            <w:r>
              <w:rPr>
                <w:rFonts w:ascii="Arial" w:cs="Arial" w:eastAsia="Arial" w:hAnsi="Arial"/>
                <w:sz w:val="18"/>
                <w:szCs w:val="18"/>
                <w:color w:val="auto"/>
              </w:rPr>
              <w:t>Day Count Fraction:</w:t>
            </w:r>
          </w:p>
        </w:tc>
        <w:tc>
          <w:tcPr>
            <w:tcW w:w="4120" w:type="dxa"/>
            <w:vAlign w:val="bottom"/>
          </w:tcPr>
          <w:p>
            <w:pPr>
              <w:ind w:left="820"/>
              <w:spacing w:after="0"/>
              <w:rPr>
                <w:sz w:val="20"/>
                <w:szCs w:val="20"/>
                <w:color w:val="auto"/>
              </w:rPr>
            </w:pPr>
            <w:r>
              <w:rPr>
                <w:rFonts w:ascii="Arial" w:cs="Arial" w:eastAsia="Arial" w:hAnsi="Arial"/>
                <w:sz w:val="18"/>
                <w:szCs w:val="18"/>
                <w:color w:val="auto"/>
              </w:rPr>
              <w:t>Actual/360</w:t>
            </w:r>
          </w:p>
        </w:tc>
        <w:tc>
          <w:tcPr>
            <w:tcW w:w="0" w:type="dxa"/>
            <w:vAlign w:val="bottom"/>
          </w:tcPr>
          <w:p>
            <w:pPr>
              <w:spacing w:after="0"/>
              <w:rPr>
                <w:sz w:val="1"/>
                <w:szCs w:val="1"/>
                <w:color w:val="auto"/>
              </w:rPr>
            </w:pPr>
          </w:p>
        </w:tc>
      </w:tr>
      <w:tr>
        <w:trPr>
          <w:trHeight w:val="324"/>
        </w:trPr>
        <w:tc>
          <w:tcPr>
            <w:tcW w:w="2660" w:type="dxa"/>
            <w:vAlign w:val="bottom"/>
          </w:tcPr>
          <w:p>
            <w:pPr>
              <w:ind w:left="420"/>
              <w:spacing w:after="0"/>
              <w:rPr>
                <w:sz w:val="20"/>
                <w:szCs w:val="20"/>
                <w:color w:val="auto"/>
              </w:rPr>
            </w:pPr>
            <w:r>
              <w:rPr>
                <w:rFonts w:ascii="Arial" w:cs="Arial" w:eastAsia="Arial" w:hAnsi="Arial"/>
                <w:sz w:val="18"/>
                <w:szCs w:val="18"/>
                <w:color w:val="auto"/>
              </w:rPr>
              <w:t>Reset Dates:</w:t>
            </w:r>
          </w:p>
        </w:tc>
        <w:tc>
          <w:tcPr>
            <w:tcW w:w="4120" w:type="dxa"/>
            <w:vAlign w:val="bottom"/>
          </w:tcPr>
          <w:p>
            <w:pPr>
              <w:ind w:left="820"/>
              <w:spacing w:after="0"/>
              <w:rPr>
                <w:sz w:val="20"/>
                <w:szCs w:val="20"/>
                <w:color w:val="auto"/>
              </w:rPr>
            </w:pPr>
            <w:r>
              <w:rPr>
                <w:rFonts w:ascii="Arial" w:cs="Arial" w:eastAsia="Arial" w:hAnsi="Arial"/>
                <w:sz w:val="18"/>
                <w:szCs w:val="18"/>
                <w:color w:val="auto"/>
              </w:rPr>
              <w:t>The first day of each Calculation Period</w:t>
            </w:r>
          </w:p>
        </w:tc>
        <w:tc>
          <w:tcPr>
            <w:tcW w:w="0" w:type="dxa"/>
            <w:vAlign w:val="bottom"/>
          </w:tcPr>
          <w:p>
            <w:pPr>
              <w:spacing w:after="0"/>
              <w:rPr>
                <w:sz w:val="1"/>
                <w:szCs w:val="1"/>
                <w:color w:val="auto"/>
              </w:rPr>
            </w:pPr>
          </w:p>
        </w:tc>
      </w:tr>
      <w:tr>
        <w:trPr>
          <w:trHeight w:val="324"/>
        </w:trPr>
        <w:tc>
          <w:tcPr>
            <w:tcW w:w="2660" w:type="dxa"/>
            <w:vAlign w:val="bottom"/>
          </w:tcPr>
          <w:p>
            <w:pPr>
              <w:ind w:left="420"/>
              <w:spacing w:after="0"/>
              <w:rPr>
                <w:sz w:val="20"/>
                <w:szCs w:val="20"/>
                <w:color w:val="auto"/>
              </w:rPr>
            </w:pPr>
            <w:r>
              <w:rPr>
                <w:rFonts w:ascii="Arial" w:cs="Arial" w:eastAsia="Arial" w:hAnsi="Arial"/>
                <w:sz w:val="18"/>
                <w:szCs w:val="18"/>
                <w:color w:val="auto"/>
              </w:rPr>
              <w:t>Compounding:</w:t>
            </w:r>
          </w:p>
        </w:tc>
        <w:tc>
          <w:tcPr>
            <w:tcW w:w="4120" w:type="dxa"/>
            <w:vAlign w:val="bottom"/>
          </w:tcPr>
          <w:p>
            <w:pPr>
              <w:ind w:left="820"/>
              <w:spacing w:after="0"/>
              <w:rPr>
                <w:sz w:val="20"/>
                <w:szCs w:val="20"/>
                <w:color w:val="auto"/>
              </w:rPr>
            </w:pPr>
            <w:r>
              <w:rPr>
                <w:rFonts w:ascii="Arial" w:cs="Arial" w:eastAsia="Arial" w:hAnsi="Arial"/>
                <w:sz w:val="18"/>
                <w:szCs w:val="18"/>
                <w:color w:val="auto"/>
              </w:rPr>
              <w:t>Inapplicable</w:t>
            </w:r>
          </w:p>
        </w:tc>
        <w:tc>
          <w:tcPr>
            <w:tcW w:w="0" w:type="dxa"/>
            <w:vAlign w:val="bottom"/>
          </w:tcPr>
          <w:p>
            <w:pPr>
              <w:spacing w:after="0"/>
              <w:rPr>
                <w:sz w:val="1"/>
                <w:szCs w:val="1"/>
                <w:color w:val="auto"/>
              </w:rPr>
            </w:pPr>
          </w:p>
        </w:tc>
      </w:tr>
      <w:tr>
        <w:trPr>
          <w:trHeight w:val="365"/>
        </w:trPr>
        <w:tc>
          <w:tcPr>
            <w:tcW w:w="2660" w:type="dxa"/>
            <w:vAlign w:val="bottom"/>
          </w:tcPr>
          <w:p>
            <w:pPr>
              <w:spacing w:after="0"/>
              <w:rPr>
                <w:sz w:val="24"/>
                <w:szCs w:val="24"/>
                <w:color w:val="auto"/>
              </w:rPr>
            </w:pPr>
          </w:p>
        </w:tc>
        <w:tc>
          <w:tcPr>
            <w:tcW w:w="4120" w:type="dxa"/>
            <w:vAlign w:val="bottom"/>
          </w:tcPr>
          <w:p>
            <w:pPr>
              <w:ind w:left="7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bl>
    <w:p>
      <w:pPr>
        <w:sectPr>
          <w:pgSz w:w="11900" w:h="16838" w:orient="portrait"/>
          <w:cols w:equalWidth="0" w:num="1">
            <w:col w:w="9019"/>
          </w:cols>
          <w:pgMar w:left="1440" w:top="280" w:right="1440" w:bottom="1440" w:gutter="0" w:footer="0" w:header="0"/>
        </w:sectPr>
      </w:pPr>
    </w:p>
    <w:bookmarkStart w:id="38" w:name="page39"/>
    <w:bookmarkEnd w:id="3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22"/>
        </w:trPr>
        <w:tc>
          <w:tcPr>
            <w:tcW w:w="300" w:type="dxa"/>
            <w:vAlign w:val="bottom"/>
          </w:tcPr>
          <w:p>
            <w:pPr>
              <w:spacing w:after="0"/>
              <w:rPr>
                <w:sz w:val="19"/>
                <w:szCs w:val="19"/>
                <w:color w:val="auto"/>
              </w:rPr>
            </w:pPr>
          </w:p>
        </w:tc>
        <w:tc>
          <w:tcPr>
            <w:tcW w:w="4900" w:type="dxa"/>
            <w:vAlign w:val="bottom"/>
          </w:tcPr>
          <w:p>
            <w:pPr>
              <w:ind w:left="2420"/>
              <w:spacing w:after="0"/>
              <w:rPr>
                <w:sz w:val="20"/>
                <w:szCs w:val="20"/>
                <w:color w:val="auto"/>
              </w:rPr>
            </w:pPr>
            <w:r>
              <w:rPr>
                <w:rFonts w:ascii="Arial" w:cs="Arial" w:eastAsia="Arial" w:hAnsi="Arial"/>
                <w:sz w:val="18"/>
                <w:szCs w:val="18"/>
                <w:color w:val="auto"/>
              </w:rPr>
              <w:t>Business Day:</w:t>
            </w:r>
          </w:p>
        </w:tc>
        <w:tc>
          <w:tcPr>
            <w:tcW w:w="2860" w:type="dxa"/>
            <w:vAlign w:val="bottom"/>
          </w:tcPr>
          <w:p>
            <w:pPr>
              <w:ind w:left="580"/>
              <w:spacing w:after="0"/>
              <w:rPr>
                <w:sz w:val="20"/>
                <w:szCs w:val="20"/>
                <w:color w:val="auto"/>
              </w:rPr>
            </w:pPr>
            <w:r>
              <w:rPr>
                <w:rFonts w:ascii="Arial" w:cs="Arial" w:eastAsia="Arial" w:hAnsi="Arial"/>
                <w:sz w:val="18"/>
                <w:szCs w:val="18"/>
                <w:color w:val="auto"/>
              </w:rPr>
              <w:t>New York, London</w:t>
            </w:r>
          </w:p>
        </w:tc>
      </w:tr>
      <w:tr>
        <w:trPr>
          <w:trHeight w:val="324"/>
        </w:trPr>
        <w:tc>
          <w:tcPr>
            <w:tcW w:w="300" w:type="dxa"/>
            <w:vAlign w:val="bottom"/>
          </w:tcPr>
          <w:p>
            <w:pPr>
              <w:spacing w:after="0"/>
              <w:rPr>
                <w:sz w:val="24"/>
                <w:szCs w:val="24"/>
                <w:color w:val="auto"/>
              </w:rPr>
            </w:pPr>
          </w:p>
        </w:tc>
        <w:tc>
          <w:tcPr>
            <w:tcW w:w="4900" w:type="dxa"/>
            <w:vAlign w:val="bottom"/>
          </w:tcPr>
          <w:p>
            <w:pPr>
              <w:ind w:left="2420"/>
              <w:spacing w:after="0"/>
              <w:rPr>
                <w:sz w:val="20"/>
                <w:szCs w:val="20"/>
                <w:color w:val="auto"/>
              </w:rPr>
            </w:pPr>
            <w:r>
              <w:rPr>
                <w:rFonts w:ascii="Arial" w:cs="Arial" w:eastAsia="Arial" w:hAnsi="Arial"/>
                <w:sz w:val="18"/>
                <w:szCs w:val="18"/>
                <w:color w:val="auto"/>
              </w:rPr>
              <w:t>Calculation Agent:</w:t>
            </w:r>
          </w:p>
        </w:tc>
        <w:tc>
          <w:tcPr>
            <w:tcW w:w="2860" w:type="dxa"/>
            <w:vAlign w:val="bottom"/>
          </w:tcPr>
          <w:p>
            <w:pPr>
              <w:ind w:left="580"/>
              <w:spacing w:after="0"/>
              <w:rPr>
                <w:sz w:val="20"/>
                <w:szCs w:val="20"/>
                <w:color w:val="auto"/>
              </w:rPr>
            </w:pPr>
            <w:r>
              <w:rPr>
                <w:rFonts w:ascii="Arial" w:cs="Arial" w:eastAsia="Arial" w:hAnsi="Arial"/>
                <w:sz w:val="18"/>
                <w:szCs w:val="18"/>
                <w:color w:val="auto"/>
              </w:rPr>
              <w:t>CSIN</w:t>
            </w:r>
          </w:p>
        </w:tc>
      </w:tr>
      <w:tr>
        <w:trPr>
          <w:trHeight w:val="419"/>
        </w:trPr>
        <w:tc>
          <w:tcPr>
            <w:tcW w:w="300" w:type="dxa"/>
            <w:vAlign w:val="bottom"/>
          </w:tcPr>
          <w:p>
            <w:pPr>
              <w:jc w:val="right"/>
              <w:ind w:right="72"/>
              <w:spacing w:after="0"/>
              <w:rPr>
                <w:sz w:val="20"/>
                <w:szCs w:val="20"/>
                <w:color w:val="auto"/>
              </w:rPr>
            </w:pPr>
            <w:r>
              <w:rPr>
                <w:rFonts w:ascii="Arial" w:cs="Arial" w:eastAsia="Arial" w:hAnsi="Arial"/>
                <w:sz w:val="18"/>
                <w:szCs w:val="18"/>
                <w:color w:val="auto"/>
                <w:w w:val="79"/>
              </w:rPr>
              <w:t>4.</w:t>
            </w:r>
          </w:p>
        </w:tc>
        <w:tc>
          <w:tcPr>
            <w:tcW w:w="4900" w:type="dxa"/>
            <w:vAlign w:val="bottom"/>
          </w:tcPr>
          <w:p>
            <w:pPr>
              <w:ind w:left="160"/>
              <w:spacing w:after="0"/>
              <w:rPr>
                <w:sz w:val="20"/>
                <w:szCs w:val="20"/>
                <w:color w:val="auto"/>
              </w:rPr>
            </w:pPr>
            <w:r>
              <w:rPr>
                <w:rFonts w:ascii="Arial" w:cs="Arial" w:eastAsia="Arial" w:hAnsi="Arial"/>
                <w:sz w:val="18"/>
                <w:szCs w:val="18"/>
                <w:color w:val="auto"/>
              </w:rPr>
              <w:t>Account Details:</w:t>
            </w:r>
          </w:p>
        </w:tc>
        <w:tc>
          <w:tcPr>
            <w:tcW w:w="2860" w:type="dxa"/>
            <w:vAlign w:val="bottom"/>
          </w:tcPr>
          <w:p>
            <w:pPr>
              <w:spacing w:after="0"/>
              <w:rPr>
                <w:sz w:val="24"/>
                <w:szCs w:val="24"/>
                <w:color w:val="auto"/>
              </w:rPr>
            </w:pPr>
          </w:p>
        </w:tc>
      </w:tr>
      <w:tr>
        <w:trPr>
          <w:trHeight w:val="419"/>
        </w:trPr>
        <w:tc>
          <w:tcPr>
            <w:tcW w:w="300" w:type="dxa"/>
            <w:vAlign w:val="bottom"/>
          </w:tcPr>
          <w:p>
            <w:pPr>
              <w:spacing w:after="0"/>
              <w:rPr>
                <w:sz w:val="24"/>
                <w:szCs w:val="24"/>
                <w:color w:val="auto"/>
              </w:rPr>
            </w:pPr>
          </w:p>
        </w:tc>
        <w:tc>
          <w:tcPr>
            <w:tcW w:w="4900" w:type="dxa"/>
            <w:vAlign w:val="bottom"/>
          </w:tcPr>
          <w:p>
            <w:pPr>
              <w:ind w:left="2420"/>
              <w:spacing w:after="0"/>
              <w:rPr>
                <w:sz w:val="20"/>
                <w:szCs w:val="20"/>
                <w:color w:val="auto"/>
              </w:rPr>
            </w:pPr>
            <w:r>
              <w:rPr>
                <w:rFonts w:ascii="Arial" w:cs="Arial" w:eastAsia="Arial" w:hAnsi="Arial"/>
                <w:sz w:val="18"/>
                <w:szCs w:val="18"/>
                <w:color w:val="auto"/>
              </w:rPr>
              <w:t>Payments to CSIN:</w:t>
            </w:r>
          </w:p>
        </w:tc>
        <w:tc>
          <w:tcPr>
            <w:tcW w:w="2860" w:type="dxa"/>
            <w:vAlign w:val="bottom"/>
          </w:tcPr>
          <w:p>
            <w:pPr>
              <w:ind w:left="580"/>
              <w:spacing w:after="0"/>
              <w:rPr>
                <w:sz w:val="20"/>
                <w:szCs w:val="20"/>
                <w:color w:val="auto"/>
              </w:rPr>
            </w:pPr>
            <w:r>
              <w:rPr>
                <w:rFonts w:ascii="Arial" w:cs="Arial" w:eastAsia="Arial" w:hAnsi="Arial"/>
                <w:sz w:val="18"/>
                <w:szCs w:val="18"/>
                <w:color w:val="auto"/>
                <w:w w:val="89"/>
              </w:rPr>
              <w:t>As advised separately in writing</w:t>
            </w:r>
          </w:p>
        </w:tc>
      </w:tr>
      <w:tr>
        <w:trPr>
          <w:trHeight w:val="324"/>
        </w:trPr>
        <w:tc>
          <w:tcPr>
            <w:tcW w:w="300" w:type="dxa"/>
            <w:vAlign w:val="bottom"/>
          </w:tcPr>
          <w:p>
            <w:pPr>
              <w:spacing w:after="0"/>
              <w:rPr>
                <w:sz w:val="24"/>
                <w:szCs w:val="24"/>
                <w:color w:val="auto"/>
              </w:rPr>
            </w:pPr>
          </w:p>
        </w:tc>
        <w:tc>
          <w:tcPr>
            <w:tcW w:w="4900" w:type="dxa"/>
            <w:vAlign w:val="bottom"/>
          </w:tcPr>
          <w:p>
            <w:pPr>
              <w:ind w:left="2420"/>
              <w:spacing w:after="0"/>
              <w:rPr>
                <w:sz w:val="20"/>
                <w:szCs w:val="20"/>
                <w:color w:val="auto"/>
              </w:rPr>
            </w:pPr>
            <w:r>
              <w:rPr>
                <w:rFonts w:ascii="Arial" w:cs="Arial" w:eastAsia="Arial" w:hAnsi="Arial"/>
                <w:sz w:val="18"/>
                <w:szCs w:val="18"/>
                <w:color w:val="auto"/>
              </w:rPr>
              <w:t>Payments to Counterparty:</w:t>
            </w:r>
          </w:p>
        </w:tc>
        <w:tc>
          <w:tcPr>
            <w:tcW w:w="2860" w:type="dxa"/>
            <w:vAlign w:val="bottom"/>
          </w:tcPr>
          <w:p>
            <w:pPr>
              <w:ind w:left="580"/>
              <w:spacing w:after="0"/>
              <w:rPr>
                <w:sz w:val="20"/>
                <w:szCs w:val="20"/>
                <w:color w:val="auto"/>
              </w:rPr>
            </w:pPr>
            <w:r>
              <w:rPr>
                <w:rFonts w:ascii="Arial" w:cs="Arial" w:eastAsia="Arial" w:hAnsi="Arial"/>
                <w:sz w:val="18"/>
                <w:szCs w:val="18"/>
                <w:color w:val="auto"/>
                <w:w w:val="89"/>
              </w:rPr>
              <w:t>As advised separately in writing</w:t>
            </w:r>
          </w:p>
        </w:tc>
      </w:tr>
    </w:tbl>
    <w:p>
      <w:pPr>
        <w:spacing w:after="0" w:line="15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Credit Suisse International is authorised and regulated by the Financial Services Authority and has entered into this transaction as principal. The time at which the above transaction was executed will be notified to Counterparty on request.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color w:val="auto"/>
        </w:rPr>
        <w:t>Please confirm that the foregoing correctly sets forth the terms of our agreement by signing and returning this Confirmation.</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Yours faithfully,</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Credit Suisse International</w:t>
      </w:r>
    </w:p>
    <w:p>
      <w:pPr>
        <w:spacing w:after="0" w:line="22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Karen Newton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4730115</wp:posOffset>
            </wp:positionH>
            <wp:positionV relativeFrom="paragraph">
              <wp:posOffset>10795</wp:posOffset>
            </wp:positionV>
            <wp:extent cx="252158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2158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Karen Newton</w:t>
      </w:r>
    </w:p>
    <w:p>
      <w:pPr>
        <w:spacing w:after="0" w:line="15" w:lineRule="exact"/>
        <w:rPr>
          <w:sz w:val="20"/>
          <w:szCs w:val="20"/>
          <w:color w:val="auto"/>
        </w:rPr>
      </w:pPr>
    </w:p>
    <w:p>
      <w:pPr>
        <w:ind w:left="6860"/>
        <w:spacing w:after="0"/>
        <w:tabs>
          <w:tab w:leader="none" w:pos="7420" w:val="left"/>
        </w:tabs>
        <w:rPr>
          <w:sz w:val="20"/>
          <w:szCs w:val="20"/>
          <w:color w:val="auto"/>
        </w:rPr>
      </w:pPr>
      <w:r>
        <w:rPr>
          <w:rFonts w:ascii="Arial" w:cs="Arial" w:eastAsia="Arial" w:hAnsi="Arial"/>
          <w:sz w:val="18"/>
          <w:szCs w:val="18"/>
          <w:color w:val="auto"/>
        </w:rPr>
        <w:t>Title:</w:t>
        <w:tab/>
        <w:t>Managing Director</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Confirmed as of the date first written above: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10795</wp:posOffset>
            </wp:positionV>
            <wp:extent cx="248729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Gary W. Ferrera</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CFO/EVP</w:t>
      </w:r>
    </w:p>
    <w:p>
      <w:pPr>
        <w:spacing w:after="0" w:line="1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10.2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(Multicurrency-Cross Border)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118110</wp:posOffset>
            </wp:positionV>
            <wp:extent cx="1629410" cy="4457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6294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International Swaps and Derivatives Association,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March 2nd, 2007</w:t>
      </w:r>
    </w:p>
    <w:p>
      <w:pPr>
        <w:sectPr>
          <w:pgSz w:w="11900" w:h="16838" w:orient="portrait"/>
          <w:cols w:equalWidth="0" w:num="1">
            <w:col w:w="11420"/>
          </w:cols>
          <w:pgMar w:left="240" w:top="125" w:right="239" w:bottom="1440" w:gutter="0" w:footer="0" w:header="0"/>
        </w:sectPr>
      </w:pPr>
    </w:p>
    <w:p>
      <w:pPr>
        <w:spacing w:after="0" w:line="206" w:lineRule="exact"/>
        <w:rPr>
          <w:sz w:val="20"/>
          <w:szCs w:val="20"/>
          <w:color w:val="auto"/>
        </w:rPr>
      </w:pPr>
    </w:p>
    <w:p>
      <w:pPr>
        <w:ind w:left="1900"/>
        <w:spacing w:after="0"/>
        <w:rPr>
          <w:sz w:val="20"/>
          <w:szCs w:val="20"/>
          <w:color w:val="auto"/>
        </w:rPr>
      </w:pPr>
      <w:r>
        <w:rPr>
          <w:rFonts w:ascii="Arial" w:cs="Arial" w:eastAsia="Arial" w:hAnsi="Arial"/>
          <w:sz w:val="16"/>
          <w:szCs w:val="16"/>
          <w:b w:val="1"/>
          <w:bCs w:val="1"/>
          <w:color w:val="auto"/>
        </w:rPr>
        <w:t>Credit Suisse International</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jc w:val="center"/>
        <w:ind w:right="1300"/>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ind w:right="1300"/>
        <w:spacing w:after="0"/>
        <w:rPr>
          <w:sz w:val="20"/>
          <w:szCs w:val="20"/>
          <w:color w:val="auto"/>
        </w:rPr>
      </w:pPr>
      <w:r>
        <w:rPr>
          <w:rFonts w:ascii="Arial" w:cs="Arial" w:eastAsia="Arial" w:hAnsi="Arial"/>
          <w:sz w:val="16"/>
          <w:szCs w:val="16"/>
          <w:b w:val="1"/>
          <w:bCs w:val="1"/>
          <w:color w:val="auto"/>
        </w:rPr>
        <w:t>a Delaware limited liability company</w:t>
      </w:r>
    </w:p>
    <w:p>
      <w:pPr>
        <w:spacing w:after="0" w:line="188" w:lineRule="exact"/>
        <w:rPr>
          <w:sz w:val="20"/>
          <w:szCs w:val="20"/>
          <w:color w:val="auto"/>
        </w:rPr>
      </w:pPr>
    </w:p>
    <w:p>
      <w:pPr>
        <w:sectPr>
          <w:pgSz w:w="11900" w:h="16838" w:orient="portrait"/>
          <w:cols w:equalWidth="0" w:num="2">
            <w:col w:w="6640" w:space="720"/>
            <w:col w:w="4060"/>
          </w:cols>
          <w:pgMar w:left="240" w:top="125" w:right="239" w:bottom="1440" w:gutter="0" w:footer="0" w:header="0"/>
          <w:type w:val="continuous"/>
        </w:sectPr>
      </w:pPr>
    </w:p>
    <w:p>
      <w:pPr>
        <w:ind w:left="1880"/>
        <w:spacing w:after="0"/>
        <w:rPr>
          <w:sz w:val="20"/>
          <w:szCs w:val="20"/>
          <w:color w:val="auto"/>
        </w:rPr>
      </w:pPr>
      <w:r>
        <w:rPr>
          <w:rFonts w:ascii="Arial" w:cs="Arial" w:eastAsia="Arial" w:hAnsi="Arial"/>
          <w:sz w:val="18"/>
          <w:szCs w:val="18"/>
          <w:color w:val="auto"/>
        </w:rPr>
        <w:t>………………………………………………………and ………………………………………………………</w:t>
      </w:r>
    </w:p>
    <w:p>
      <w:pPr>
        <w:spacing w:after="0" w:line="171"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have entered and/or anticipate entering into one or more transactions (each a “Transaction”) that are or will be governed by this Master Agreement, which includes the schedule (the “Schedule”), and the documents and other confirming evidence (each a “Confirmation”) exchanged between the parties confirming those Transactions.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parties agree as follows:—</w:t>
      </w:r>
    </w:p>
    <w:p>
      <w:pPr>
        <w:spacing w:after="0" w:line="84" w:lineRule="exact"/>
        <w:rPr>
          <w:sz w:val="20"/>
          <w:szCs w:val="20"/>
          <w:color w:val="auto"/>
        </w:rPr>
      </w:pPr>
    </w:p>
    <w:p>
      <w:pPr>
        <w:ind w:left="460" w:hanging="452"/>
        <w:spacing w:after="0"/>
        <w:tabs>
          <w:tab w:leader="none" w:pos="4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177" w:lineRule="exact"/>
        <w:rPr>
          <w:sz w:val="20"/>
          <w:szCs w:val="20"/>
          <w:color w:val="auto"/>
        </w:rPr>
      </w:pPr>
    </w:p>
    <w:p>
      <w:pPr>
        <w:ind w:left="240" w:hanging="232"/>
        <w:spacing w:after="0"/>
        <w:tabs>
          <w:tab w:leader="none" w:pos="240" w:val="left"/>
        </w:tabs>
        <w:numPr>
          <w:ilvl w:val="0"/>
          <w:numId w:val="2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The terms defined in Section 14 and in the Schedule will have the meanings therein specified for the purpose of this Master Agreement.</w:t>
      </w:r>
    </w:p>
    <w:p>
      <w:pPr>
        <w:spacing w:after="0" w:line="194" w:lineRule="exact"/>
        <w:rPr>
          <w:rFonts w:ascii="Arial" w:cs="Arial" w:eastAsia="Arial" w:hAnsi="Arial"/>
          <w:sz w:val="16"/>
          <w:szCs w:val="16"/>
          <w:color w:val="auto"/>
        </w:rPr>
      </w:pPr>
    </w:p>
    <w:p>
      <w:pPr>
        <w:ind w:right="80" w:firstLine="8"/>
        <w:spacing w:after="0" w:line="259" w:lineRule="auto"/>
        <w:tabs>
          <w:tab w:leader="none" w:pos="249"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Inconsistency. </w:t>
      </w:r>
      <w:r>
        <w:rPr>
          <w:rFonts w:ascii="Arial" w:cs="Arial" w:eastAsia="Arial" w:hAnsi="Arial"/>
          <w:sz w:val="18"/>
          <w:szCs w:val="18"/>
          <w:color w:val="auto"/>
        </w:rPr>
        <w:t>In the event of any inconsistency between the provisions of the Schedule and the other provisions of this Master Agreement, the Schedule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prevail. In the event of any inconsistency between the provisions of any Confirmation and this Master Agreement (including the Schedule), such Confirmation will prevail for the purpose of the relevant Transaction.</w:t>
      </w:r>
    </w:p>
    <w:p>
      <w:pPr>
        <w:spacing w:after="0" w:line="140" w:lineRule="exact"/>
        <w:rPr>
          <w:rFonts w:ascii="Arial" w:cs="Arial" w:eastAsia="Arial" w:hAnsi="Arial"/>
          <w:sz w:val="18"/>
          <w:szCs w:val="18"/>
          <w:color w:val="auto"/>
        </w:rPr>
      </w:pPr>
    </w:p>
    <w:p>
      <w:pPr>
        <w:ind w:right="20" w:firstLine="8"/>
        <w:spacing w:after="0" w:line="268" w:lineRule="auto"/>
        <w:tabs>
          <w:tab w:leader="none" w:pos="239" w:val="left"/>
        </w:tabs>
        <w:numPr>
          <w:ilvl w:val="0"/>
          <w:numId w:val="2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Single Agreement. </w:t>
      </w:r>
      <w:r>
        <w:rPr>
          <w:rFonts w:ascii="Arial" w:cs="Arial" w:eastAsia="Arial" w:hAnsi="Arial"/>
          <w:sz w:val="18"/>
          <w:szCs w:val="18"/>
          <w:color w:val="auto"/>
        </w:rPr>
        <w:t>All Transactions are entered into in reliance on the fact that this Master Agreement and all Confirmations form a single agreement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parties (collectively referred to as this ”Agreement”), and the parties would not otherwise enter into any Transactions.</w:t>
      </w:r>
    </w:p>
    <w:p>
      <w:pPr>
        <w:spacing w:after="0" w:line="248" w:lineRule="exact"/>
        <w:rPr>
          <w:sz w:val="20"/>
          <w:szCs w:val="20"/>
          <w:color w:val="auto"/>
        </w:rPr>
      </w:pPr>
    </w:p>
    <w:p>
      <w:pPr>
        <w:ind w:left="460" w:hanging="452"/>
        <w:spacing w:after="0"/>
        <w:tabs>
          <w:tab w:leader="none" w:pos="4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Obligations</w:t>
      </w:r>
    </w:p>
    <w:p>
      <w:pPr>
        <w:spacing w:after="0" w:line="96" w:lineRule="exact"/>
        <w:rPr>
          <w:sz w:val="20"/>
          <w:szCs w:val="20"/>
          <w:color w:val="auto"/>
        </w:rPr>
      </w:pPr>
    </w:p>
    <w:p>
      <w:pPr>
        <w:ind w:left="460" w:hanging="452"/>
        <w:spacing w:after="0"/>
        <w:tabs>
          <w:tab w:leader="none" w:pos="460" w:val="left"/>
        </w:tabs>
        <w:numPr>
          <w:ilvl w:val="0"/>
          <w:numId w:val="25"/>
        </w:numPr>
        <w:rPr>
          <w:rFonts w:ascii="Arial" w:cs="Arial" w:eastAsia="Arial" w:hAnsi="Arial"/>
          <w:sz w:val="18"/>
          <w:szCs w:val="18"/>
          <w:color w:val="auto"/>
        </w:rPr>
      </w:pPr>
      <w:r>
        <w:rPr>
          <w:rFonts w:ascii="Arial" w:cs="Arial" w:eastAsia="Arial" w:hAnsi="Arial"/>
          <w:sz w:val="18"/>
          <w:szCs w:val="18"/>
          <w:b w:val="1"/>
          <w:bCs w:val="1"/>
          <w:i w:val="1"/>
          <w:iCs w:val="1"/>
          <w:color w:val="auto"/>
        </w:rPr>
        <w:t>General Conditions.</w:t>
      </w:r>
    </w:p>
    <w:p>
      <w:pPr>
        <w:spacing w:after="0" w:line="90" w:lineRule="exact"/>
        <w:rPr>
          <w:rFonts w:ascii="Arial" w:cs="Arial" w:eastAsia="Arial" w:hAnsi="Arial"/>
          <w:sz w:val="18"/>
          <w:szCs w:val="18"/>
          <w:color w:val="auto"/>
        </w:rPr>
      </w:pPr>
    </w:p>
    <w:p>
      <w:pPr>
        <w:ind w:left="680" w:hanging="216"/>
        <w:spacing w:after="0"/>
        <w:tabs>
          <w:tab w:leader="none" w:pos="680" w:val="left"/>
        </w:tabs>
        <w:numPr>
          <w:ilvl w:val="1"/>
          <w:numId w:val="25"/>
        </w:numPr>
        <w:rPr>
          <w:rFonts w:ascii="Arial" w:cs="Arial" w:eastAsia="Arial" w:hAnsi="Arial"/>
          <w:sz w:val="16"/>
          <w:szCs w:val="16"/>
          <w:color w:val="auto"/>
        </w:rPr>
      </w:pPr>
      <w:r>
        <w:rPr>
          <w:rFonts w:ascii="Arial" w:cs="Arial" w:eastAsia="Arial" w:hAnsi="Arial"/>
          <w:sz w:val="16"/>
          <w:szCs w:val="16"/>
          <w:color w:val="auto"/>
        </w:rPr>
        <w:t>Each party will make each payment or delivery specified in each Confirmation to be made by it, subject to the other provisions of this Agreement.</w:t>
      </w:r>
    </w:p>
    <w:p>
      <w:pPr>
        <w:spacing w:after="0" w:line="113" w:lineRule="exact"/>
        <w:rPr>
          <w:rFonts w:ascii="Arial" w:cs="Arial" w:eastAsia="Arial" w:hAnsi="Arial"/>
          <w:sz w:val="16"/>
          <w:szCs w:val="16"/>
          <w:color w:val="auto"/>
        </w:rPr>
      </w:pPr>
    </w:p>
    <w:p>
      <w:pPr>
        <w:ind w:left="460" w:right="60" w:firstLine="4"/>
        <w:spacing w:after="0" w:line="298" w:lineRule="auto"/>
        <w:tabs>
          <w:tab w:leader="none" w:pos="719" w:val="left"/>
        </w:tabs>
        <w:numPr>
          <w:ilvl w:val="1"/>
          <w:numId w:val="25"/>
        </w:numPr>
        <w:rPr>
          <w:rFonts w:ascii="Arial" w:cs="Arial" w:eastAsia="Arial" w:hAnsi="Arial"/>
          <w:sz w:val="16"/>
          <w:szCs w:val="16"/>
          <w:color w:val="auto"/>
        </w:rPr>
      </w:pPr>
      <w:r>
        <w:rPr>
          <w:rFonts w:ascii="Arial" w:cs="Arial" w:eastAsia="Arial" w:hAnsi="Arial"/>
          <w:sz w:val="16"/>
          <w:szCs w:val="16"/>
          <w:color w:val="auto"/>
        </w:rPr>
        <w:t>Payments under this Agreement will be made on the due date for value on that date in the place of the account specified in the relevant Confirmation or otherwise pursuant to this Agreement, in freely transferable funds and in the manner customary for payments in the required currency. Where settlement is by delivery (that is, other than by payment), such delivery will be made for receipt on the due date in the manner customary for the relevant obligation unless otherwise specified in the relevant Confirmation or elsewhere in this Agreement.</w:t>
      </w:r>
    </w:p>
    <w:p>
      <w:pPr>
        <w:spacing w:after="0" w:line="31" w:lineRule="exact"/>
        <w:rPr>
          <w:rFonts w:ascii="Arial" w:cs="Arial" w:eastAsia="Arial" w:hAnsi="Arial"/>
          <w:sz w:val="16"/>
          <w:szCs w:val="16"/>
          <w:color w:val="auto"/>
        </w:rPr>
      </w:pPr>
    </w:p>
    <w:p>
      <w:pPr>
        <w:ind w:left="460" w:right="80" w:firstLine="4"/>
        <w:spacing w:after="0" w:line="286" w:lineRule="auto"/>
        <w:tabs>
          <w:tab w:leader="none" w:pos="767" w:val="left"/>
        </w:tabs>
        <w:numPr>
          <w:ilvl w:val="1"/>
          <w:numId w:val="25"/>
        </w:numPr>
        <w:rPr>
          <w:rFonts w:ascii="Arial" w:cs="Arial" w:eastAsia="Arial" w:hAnsi="Arial"/>
          <w:sz w:val="16"/>
          <w:szCs w:val="16"/>
          <w:color w:val="auto"/>
        </w:rPr>
      </w:pPr>
      <w:r>
        <w:rPr>
          <w:rFonts w:ascii="Arial" w:cs="Arial" w:eastAsia="Arial" w:hAnsi="Arial"/>
          <w:sz w:val="16"/>
          <w:szCs w:val="16"/>
          <w:color w:val="auto"/>
        </w:rPr>
        <w:t>Each obligation of each party under Section 2(a)(i) is subject to (1) the condition precedent that no Event of Default or Potential Event of Default with respect to the other party has occurred and is continuing, (2) the condition precedent that no Early Termination Date in respect of the</w:t>
      </w:r>
    </w:p>
    <w:p>
      <w:pPr>
        <w:ind w:left="460"/>
        <w:spacing w:after="0"/>
        <w:rPr>
          <w:rFonts w:ascii="Arial" w:cs="Arial" w:eastAsia="Arial" w:hAnsi="Arial"/>
          <w:sz w:val="16"/>
          <w:szCs w:val="16"/>
          <w:color w:val="auto"/>
        </w:rPr>
      </w:pPr>
      <w:r>
        <w:rPr>
          <w:rFonts w:ascii="Arial" w:cs="Arial" w:eastAsia="Arial" w:hAnsi="Arial"/>
          <w:sz w:val="16"/>
          <w:szCs w:val="16"/>
          <w:color w:val="auto"/>
        </w:rPr>
        <w:t>relevant Transaction has occurred or been effectively designated and (3) each other applicable condition precedent specified in this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Copyright© 1992 by International Swaps and Derivatives Association, Inc.</w:t>
      </w:r>
    </w:p>
    <w:p>
      <w:pPr>
        <w:sectPr>
          <w:pgSz w:w="11900" w:h="16838" w:orient="portrait"/>
          <w:cols w:equalWidth="0" w:num="1">
            <w:col w:w="11420"/>
          </w:cols>
          <w:pgMar w:left="240" w:top="125" w:right="239" w:bottom="1440" w:gutter="0" w:footer="0" w:header="0"/>
          <w:type w:val="continuous"/>
        </w:sectPr>
      </w:pPr>
    </w:p>
    <w:bookmarkStart w:id="40" w:name="page41"/>
    <w:bookmarkEnd w:id="40"/>
    <w:p>
      <w:pPr>
        <w:jc w:val="both"/>
        <w:ind w:right="220" w:firstLine="8"/>
        <w:spacing w:after="0" w:line="259" w:lineRule="auto"/>
        <w:tabs>
          <w:tab w:leader="none" w:pos="249"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Change of Account. </w:t>
      </w:r>
      <w:r>
        <w:rPr>
          <w:rFonts w:ascii="Arial" w:cs="Arial" w:eastAsia="Arial" w:hAnsi="Arial"/>
          <w:sz w:val="18"/>
          <w:szCs w:val="18"/>
          <w:color w:val="auto"/>
        </w:rPr>
        <w:t>Either party may change its account for receiving a payment or delivery by giving notice to the other party at least five Local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Days prior to the scheduled date for the payment or delivery to which such change applies unless such other party gives timely notice of a reasonable objection to such change.</w:t>
      </w:r>
    </w:p>
    <w:p>
      <w:pPr>
        <w:spacing w:after="0" w:line="140" w:lineRule="exact"/>
        <w:rPr>
          <w:rFonts w:ascii="Arial" w:cs="Arial" w:eastAsia="Arial" w:hAnsi="Arial"/>
          <w:sz w:val="18"/>
          <w:szCs w:val="18"/>
          <w:color w:val="auto"/>
        </w:rPr>
      </w:pPr>
    </w:p>
    <w:p>
      <w:pPr>
        <w:ind w:left="240" w:hanging="232"/>
        <w:spacing w:after="0"/>
        <w:tabs>
          <w:tab w:leader="none" w:pos="24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Netting. </w:t>
      </w:r>
      <w:r>
        <w:rPr>
          <w:rFonts w:ascii="Arial" w:cs="Arial" w:eastAsia="Arial" w:hAnsi="Arial"/>
          <w:sz w:val="18"/>
          <w:szCs w:val="18"/>
          <w:color w:val="auto"/>
        </w:rPr>
        <w:t>If on any date amounts would otherwise be payable:—</w:t>
      </w:r>
    </w:p>
    <w:p>
      <w:pPr>
        <w:spacing w:after="0" w:line="90" w:lineRule="exact"/>
        <w:rPr>
          <w:rFonts w:ascii="Arial" w:cs="Arial" w:eastAsia="Arial" w:hAnsi="Arial"/>
          <w:sz w:val="18"/>
          <w:szCs w:val="18"/>
          <w:color w:val="auto"/>
        </w:rPr>
      </w:pPr>
    </w:p>
    <w:p>
      <w:pPr>
        <w:ind w:left="680" w:hanging="216"/>
        <w:spacing w:after="0"/>
        <w:tabs>
          <w:tab w:leader="none" w:pos="6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the same currency;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26"/>
        </w:numPr>
        <w:rPr>
          <w:rFonts w:ascii="Arial" w:cs="Arial" w:eastAsia="Arial" w:hAnsi="Arial"/>
          <w:sz w:val="18"/>
          <w:szCs w:val="18"/>
          <w:color w:val="auto"/>
        </w:rPr>
      </w:pPr>
      <w:r>
        <w:rPr>
          <w:rFonts w:ascii="Arial" w:cs="Arial" w:eastAsia="Arial" w:hAnsi="Arial"/>
          <w:sz w:val="18"/>
          <w:szCs w:val="18"/>
          <w:color w:val="auto"/>
        </w:rPr>
        <w:t>in respect of the same Transaction,</w:t>
      </w:r>
    </w:p>
    <w:p>
      <w:pPr>
        <w:spacing w:after="0" w:line="171"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by each party to the other, then, on such date, each party’s obligation to make payment of any such amount will be automatically satisfied and discharged and, if the aggregate amount that would otherwise have been payable by one party exceeds the aggregate amount that would otherwise have been payable by the other party, replaced by an obligation upon the party by whom the larger aggregate amount would have been payable to pay to the other party the excess of the larger aggregate amount over the smaller aggregate amount.</w:t>
      </w:r>
    </w:p>
    <w:p>
      <w:pPr>
        <w:spacing w:after="0" w:line="14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parties may elect in respect of two or more Transactions that a net amount will be determined in respect of all amounts payable on the same date in the same currency in respect of such Transactions, regardless of whether such amounts are payable in respect of the same Transaction. The election may be made in the Schedule or a Confirmation by specifying that subparagraph (ii) above will not apply to the Transactions identified as being subject to the election, together with the starting date (in which case subparagraph (ii) above will not, or will cease to, apply to such Transactions from such date). This election may be made separately for different groups of Transactions and will apply separately to each pairing of Offices through which the parties make and receive payments or deliveries.</w:t>
      </w:r>
    </w:p>
    <w:p>
      <w:pPr>
        <w:spacing w:after="0" w:line="144" w:lineRule="exact"/>
        <w:rPr>
          <w:sz w:val="20"/>
          <w:szCs w:val="20"/>
          <w:color w:val="auto"/>
        </w:rPr>
      </w:pPr>
    </w:p>
    <w:p>
      <w:pPr>
        <w:ind w:left="260" w:hanging="252"/>
        <w:spacing w:after="0"/>
        <w:tabs>
          <w:tab w:leader="none" w:pos="260" w:val="left"/>
        </w:tabs>
        <w:numPr>
          <w:ilvl w:val="0"/>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Deduction or Withholding for Tax.</w:t>
      </w:r>
    </w:p>
    <w:p>
      <w:pPr>
        <w:spacing w:after="0" w:line="90" w:lineRule="exact"/>
        <w:rPr>
          <w:rFonts w:ascii="Arial" w:cs="Arial" w:eastAsia="Arial" w:hAnsi="Arial"/>
          <w:sz w:val="18"/>
          <w:szCs w:val="18"/>
          <w:color w:val="auto"/>
        </w:rPr>
      </w:pPr>
    </w:p>
    <w:p>
      <w:pPr>
        <w:ind w:left="460" w:firstLine="4"/>
        <w:spacing w:after="0" w:line="259" w:lineRule="auto"/>
        <w:tabs>
          <w:tab w:leader="none" w:pos="670" w:val="left"/>
        </w:tabs>
        <w:numPr>
          <w:ilvl w:val="1"/>
          <w:numId w:val="2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Gross-Up. </w:t>
      </w:r>
      <w:r>
        <w:rPr>
          <w:rFonts w:ascii="Arial" w:cs="Arial" w:eastAsia="Arial" w:hAnsi="Arial"/>
          <w:sz w:val="18"/>
          <w:szCs w:val="18"/>
          <w:color w:val="auto"/>
        </w:rPr>
        <w:t>All payments under this Agreement will be made without any deduction or withholding for or on account of any Tax unless such deduction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withholding is required by any applicable law, as modified by the practice of any relevant governmental revenue authority, then in effect. If a party is so required to deduct or withhold, then that party (“X”) will:—</w:t>
      </w:r>
    </w:p>
    <w:p>
      <w:pPr>
        <w:spacing w:after="0" w:line="59" w:lineRule="exact"/>
        <w:rPr>
          <w:rFonts w:ascii="Arial" w:cs="Arial" w:eastAsia="Arial" w:hAnsi="Arial"/>
          <w:sz w:val="18"/>
          <w:szCs w:val="18"/>
          <w:color w:val="auto"/>
        </w:rPr>
      </w:pPr>
    </w:p>
    <w:p>
      <w:pPr>
        <w:ind w:left="1160" w:hanging="239"/>
        <w:spacing w:after="0"/>
        <w:tabs>
          <w:tab w:leader="none" w:pos="1160" w:val="left"/>
        </w:tabs>
        <w:numPr>
          <w:ilvl w:val="2"/>
          <w:numId w:val="27"/>
        </w:numPr>
        <w:rPr>
          <w:rFonts w:ascii="Arial" w:cs="Arial" w:eastAsia="Arial" w:hAnsi="Arial"/>
          <w:sz w:val="18"/>
          <w:szCs w:val="18"/>
          <w:color w:val="auto"/>
        </w:rPr>
      </w:pPr>
      <w:r>
        <w:rPr>
          <w:rFonts w:ascii="Arial" w:cs="Arial" w:eastAsia="Arial" w:hAnsi="Arial"/>
          <w:sz w:val="18"/>
          <w:szCs w:val="18"/>
          <w:color w:val="auto"/>
        </w:rPr>
        <w:t>promptly notify the other party (“Y”) of such requirement;</w:t>
      </w:r>
    </w:p>
    <w:p>
      <w:pPr>
        <w:spacing w:after="0" w:line="90" w:lineRule="exact"/>
        <w:rPr>
          <w:rFonts w:ascii="Arial" w:cs="Arial" w:eastAsia="Arial" w:hAnsi="Arial"/>
          <w:sz w:val="18"/>
          <w:szCs w:val="18"/>
          <w:color w:val="auto"/>
        </w:rPr>
      </w:pPr>
    </w:p>
    <w:p>
      <w:pPr>
        <w:ind w:left="920" w:right="80" w:firstLine="1"/>
        <w:spacing w:after="0" w:line="259" w:lineRule="auto"/>
        <w:tabs>
          <w:tab w:leader="none" w:pos="1169" w:val="left"/>
        </w:tabs>
        <w:numPr>
          <w:ilvl w:val="2"/>
          <w:numId w:val="27"/>
        </w:numPr>
        <w:rPr>
          <w:rFonts w:ascii="Arial" w:cs="Arial" w:eastAsia="Arial" w:hAnsi="Arial"/>
          <w:sz w:val="18"/>
          <w:szCs w:val="18"/>
          <w:color w:val="auto"/>
        </w:rPr>
      </w:pPr>
      <w:r>
        <w:rPr>
          <w:rFonts w:ascii="Arial" w:cs="Arial" w:eastAsia="Arial" w:hAnsi="Arial"/>
          <w:sz w:val="18"/>
          <w:szCs w:val="18"/>
          <w:color w:val="auto"/>
        </w:rPr>
        <w:t>pay to the relevant authorities the full amount required to be deducted or withheld (including the full amount required to be deducted or withheld from any additional amount paid by X to Y under this Section 2(d)) promptly upon the earlier of determining that such deduction or withholding is required or receiving notice that such amount has been assessed against Y;</w:t>
      </w:r>
    </w:p>
    <w:p>
      <w:pPr>
        <w:spacing w:after="0" w:line="59" w:lineRule="exact"/>
        <w:rPr>
          <w:rFonts w:ascii="Arial" w:cs="Arial" w:eastAsia="Arial" w:hAnsi="Arial"/>
          <w:sz w:val="18"/>
          <w:szCs w:val="18"/>
          <w:color w:val="auto"/>
        </w:rPr>
      </w:pPr>
    </w:p>
    <w:p>
      <w:pPr>
        <w:ind w:left="920" w:right="240" w:firstLine="1"/>
        <w:spacing w:after="0" w:line="268" w:lineRule="auto"/>
        <w:tabs>
          <w:tab w:leader="none" w:pos="1169" w:val="left"/>
        </w:tabs>
        <w:numPr>
          <w:ilvl w:val="2"/>
          <w:numId w:val="27"/>
        </w:numPr>
        <w:rPr>
          <w:rFonts w:ascii="Arial" w:cs="Arial" w:eastAsia="Arial" w:hAnsi="Arial"/>
          <w:sz w:val="18"/>
          <w:szCs w:val="18"/>
          <w:color w:val="auto"/>
        </w:rPr>
      </w:pPr>
      <w:r>
        <w:rPr>
          <w:rFonts w:ascii="Arial" w:cs="Arial" w:eastAsia="Arial" w:hAnsi="Arial"/>
          <w:sz w:val="18"/>
          <w:szCs w:val="18"/>
          <w:color w:val="auto"/>
        </w:rPr>
        <w:t>promptly forward to Y an official receipt (or a certified copy), or other documentation reasonably acceptable to Y, evidencing such payment to such authorities; and</w:t>
      </w:r>
    </w:p>
    <w:p>
      <w:pPr>
        <w:spacing w:after="0" w:line="50" w:lineRule="exact"/>
        <w:rPr>
          <w:rFonts w:ascii="Arial" w:cs="Arial" w:eastAsia="Arial" w:hAnsi="Arial"/>
          <w:sz w:val="18"/>
          <w:szCs w:val="18"/>
          <w:color w:val="auto"/>
        </w:rPr>
      </w:pPr>
    </w:p>
    <w:p>
      <w:pPr>
        <w:ind w:left="920" w:right="40" w:firstLine="1"/>
        <w:spacing w:after="0" w:line="298" w:lineRule="auto"/>
        <w:tabs>
          <w:tab w:leader="none" w:pos="1169" w:val="left"/>
        </w:tabs>
        <w:numPr>
          <w:ilvl w:val="2"/>
          <w:numId w:val="27"/>
        </w:numPr>
        <w:rPr>
          <w:rFonts w:ascii="Arial" w:cs="Arial" w:eastAsia="Arial" w:hAnsi="Arial"/>
          <w:sz w:val="16"/>
          <w:szCs w:val="16"/>
          <w:color w:val="auto"/>
        </w:rPr>
      </w:pPr>
      <w:r>
        <w:rPr>
          <w:rFonts w:ascii="Arial" w:cs="Arial" w:eastAsia="Arial" w:hAnsi="Arial"/>
          <w:sz w:val="16"/>
          <w:szCs w:val="16"/>
          <w:color w:val="auto"/>
        </w:rPr>
        <w:t>if such Tax is an Indemnifiable Tax, pay to Y, in addition to the payment to which Y is otherwise entitled under this Agreement, such additional amount as is necessary to ensure that the net amount actually received by Y (free and clear of Indemnifiable Taxes, whether assessed against X or Y) will equal the full amount Y would have received had no such deduction or withholding been required. However, X will not be required to pay any additional amount to Y to the extent that it would not be required to be paid but for:—</w:t>
      </w:r>
    </w:p>
    <w:p>
      <w:pPr>
        <w:spacing w:after="0" w:line="31" w:lineRule="exact"/>
        <w:rPr>
          <w:rFonts w:ascii="Arial" w:cs="Arial" w:eastAsia="Arial" w:hAnsi="Arial"/>
          <w:sz w:val="16"/>
          <w:szCs w:val="16"/>
          <w:color w:val="auto"/>
        </w:rPr>
      </w:pPr>
    </w:p>
    <w:p>
      <w:pPr>
        <w:ind w:left="1780" w:hanging="288"/>
        <w:spacing w:after="0"/>
        <w:tabs>
          <w:tab w:leader="none" w:pos="1780" w:val="left"/>
        </w:tabs>
        <w:numPr>
          <w:ilvl w:val="3"/>
          <w:numId w:val="27"/>
        </w:numPr>
        <w:rPr>
          <w:rFonts w:ascii="Arial" w:cs="Arial" w:eastAsia="Arial" w:hAnsi="Arial"/>
          <w:sz w:val="18"/>
          <w:szCs w:val="18"/>
          <w:color w:val="auto"/>
        </w:rPr>
      </w:pPr>
      <w:r>
        <w:rPr>
          <w:rFonts w:ascii="Arial" w:cs="Arial" w:eastAsia="Arial" w:hAnsi="Arial"/>
          <w:sz w:val="18"/>
          <w:szCs w:val="18"/>
          <w:color w:val="auto"/>
        </w:rPr>
        <w:t>the failure by Y to comply with or perform any agreement contained in Section 4(a)(i), 4(a)(iii) or 4(d); or</w:t>
      </w:r>
    </w:p>
    <w:p>
      <w:pPr>
        <w:spacing w:after="0" w:line="90" w:lineRule="exact"/>
        <w:rPr>
          <w:rFonts w:ascii="Arial" w:cs="Arial" w:eastAsia="Arial" w:hAnsi="Arial"/>
          <w:sz w:val="18"/>
          <w:szCs w:val="18"/>
          <w:color w:val="auto"/>
        </w:rPr>
      </w:pPr>
    </w:p>
    <w:p>
      <w:pPr>
        <w:ind w:left="1500" w:right="20" w:hanging="8"/>
        <w:spacing w:after="0" w:line="286" w:lineRule="auto"/>
        <w:tabs>
          <w:tab w:leader="none" w:pos="1778" w:val="left"/>
        </w:tabs>
        <w:numPr>
          <w:ilvl w:val="3"/>
          <w:numId w:val="27"/>
        </w:numPr>
        <w:rPr>
          <w:rFonts w:ascii="Arial" w:cs="Arial" w:eastAsia="Arial" w:hAnsi="Arial"/>
          <w:sz w:val="16"/>
          <w:szCs w:val="16"/>
          <w:color w:val="auto"/>
        </w:rPr>
      </w:pPr>
      <w:r>
        <w:rPr>
          <w:rFonts w:ascii="Arial" w:cs="Arial" w:eastAsia="Arial" w:hAnsi="Arial"/>
          <w:sz w:val="16"/>
          <w:szCs w:val="16"/>
          <w:color w:val="auto"/>
        </w:rPr>
        <w:t>the failure of a representation made by Y pursuant to Section 3(f) to be accurate and true unless such failure would not have occurred but for (I) any action taken by a taxing authority, or brought in a court of competent jurisdiction, on or after the date on which a</w:t>
      </w:r>
    </w:p>
    <w:p>
      <w:pPr>
        <w:ind w:left="1500" w:right="120"/>
        <w:spacing w:after="0" w:line="261" w:lineRule="auto"/>
        <w:rPr>
          <w:rFonts w:ascii="Arial" w:cs="Arial" w:eastAsia="Arial" w:hAnsi="Arial"/>
          <w:sz w:val="16"/>
          <w:szCs w:val="16"/>
          <w:color w:val="auto"/>
        </w:rPr>
      </w:pPr>
      <w:r>
        <w:rPr>
          <w:rFonts w:ascii="Arial" w:cs="Arial" w:eastAsia="Arial" w:hAnsi="Arial"/>
          <w:sz w:val="18"/>
          <w:szCs w:val="18"/>
          <w:color w:val="auto"/>
        </w:rPr>
        <w:t>Transaction is entered into (regardless of whether such action is taken or brought with respect to a party to this Agreement) or (II) a Change in Tax Law.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41" w:name="page42"/>
    <w:bookmarkEnd w:id="41"/>
    <w:p>
      <w:pPr>
        <w:ind w:left="720" w:hanging="256"/>
        <w:spacing w:after="0"/>
        <w:tabs>
          <w:tab w:leader="none" w:pos="720" w:val="left"/>
        </w:tabs>
        <w:numPr>
          <w:ilvl w:val="0"/>
          <w:numId w:val="28"/>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Liability. </w:t>
      </w:r>
      <w:r>
        <w:rPr>
          <w:rFonts w:ascii="Arial" w:cs="Arial" w:eastAsia="Arial" w:hAnsi="Arial"/>
          <w:sz w:val="18"/>
          <w:szCs w:val="18"/>
          <w:color w:val="auto"/>
        </w:rPr>
        <w:t>If:—</w:t>
      </w:r>
    </w:p>
    <w:p>
      <w:pPr>
        <w:spacing w:after="0" w:line="90" w:lineRule="exact"/>
        <w:rPr>
          <w:rFonts w:ascii="Arial" w:cs="Arial" w:eastAsia="Arial" w:hAnsi="Arial"/>
          <w:sz w:val="18"/>
          <w:szCs w:val="18"/>
          <w:color w:val="auto"/>
        </w:rPr>
      </w:pPr>
    </w:p>
    <w:p>
      <w:pPr>
        <w:ind w:left="920" w:right="520" w:firstLine="1"/>
        <w:spacing w:after="0" w:line="332" w:lineRule="auto"/>
        <w:tabs>
          <w:tab w:leader="none" w:pos="1169" w:val="left"/>
        </w:tabs>
        <w:numPr>
          <w:ilvl w:val="1"/>
          <w:numId w:val="28"/>
        </w:numPr>
        <w:rPr>
          <w:rFonts w:ascii="Arial" w:cs="Arial" w:eastAsia="Arial" w:hAnsi="Arial"/>
          <w:sz w:val="16"/>
          <w:szCs w:val="16"/>
          <w:color w:val="auto"/>
        </w:rPr>
      </w:pPr>
      <w:r>
        <w:rPr>
          <w:rFonts w:ascii="Arial" w:cs="Arial" w:eastAsia="Arial" w:hAnsi="Arial"/>
          <w:sz w:val="16"/>
          <w:szCs w:val="16"/>
          <w:color w:val="auto"/>
        </w:rPr>
        <w:t>X is required by any applicable law, as modified by the practice of any relevant governmental revenue authority, to make any deduction or withholding in respect of which X would not be required to pay an additional amount to Y under Section 2(d)(i)(4);</w:t>
      </w:r>
    </w:p>
    <w:p>
      <w:pPr>
        <w:spacing w:after="0" w:line="4" w:lineRule="exact"/>
        <w:rPr>
          <w:rFonts w:ascii="Arial" w:cs="Arial" w:eastAsia="Arial" w:hAnsi="Arial"/>
          <w:sz w:val="16"/>
          <w:szCs w:val="16"/>
          <w:color w:val="auto"/>
        </w:rPr>
      </w:pPr>
    </w:p>
    <w:p>
      <w:pPr>
        <w:ind w:left="1160" w:hanging="239"/>
        <w:spacing w:after="0"/>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X does not so deduct or withhold; and</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28"/>
        </w:numPr>
        <w:rPr>
          <w:rFonts w:ascii="Arial" w:cs="Arial" w:eastAsia="Arial" w:hAnsi="Arial"/>
          <w:sz w:val="18"/>
          <w:szCs w:val="18"/>
          <w:color w:val="auto"/>
        </w:rPr>
      </w:pPr>
      <w:r>
        <w:rPr>
          <w:rFonts w:ascii="Arial" w:cs="Arial" w:eastAsia="Arial" w:hAnsi="Arial"/>
          <w:sz w:val="18"/>
          <w:szCs w:val="18"/>
          <w:color w:val="auto"/>
        </w:rPr>
        <w:t>a liability resulting from such Tax is assessed directly against X,</w:t>
      </w:r>
    </w:p>
    <w:p>
      <w:pPr>
        <w:spacing w:after="0" w:line="90" w:lineRule="exact"/>
        <w:rPr>
          <w:sz w:val="20"/>
          <w:szCs w:val="20"/>
          <w:color w:val="auto"/>
        </w:rPr>
      </w:pPr>
    </w:p>
    <w:p>
      <w:pPr>
        <w:ind w:left="460" w:right="560"/>
        <w:spacing w:after="0" w:line="259" w:lineRule="auto"/>
        <w:rPr>
          <w:sz w:val="20"/>
          <w:szCs w:val="20"/>
          <w:color w:val="auto"/>
        </w:rPr>
      </w:pPr>
      <w:r>
        <w:rPr>
          <w:rFonts w:ascii="Arial" w:cs="Arial" w:eastAsia="Arial" w:hAnsi="Arial"/>
          <w:sz w:val="18"/>
          <w:szCs w:val="18"/>
          <w:color w:val="auto"/>
        </w:rPr>
        <w:t>then, except to the extent Y has satisfied or then satisfies the liability resulting from such Tax, Y will promptly pay to X the amount of such liability (including any related liability for interest, but including any related liability for penalties only if Y has failed to comply with or perform any agreement contained in Section 4(a)(i), 4(a)(iii) or 4(d)).</w:t>
      </w:r>
    </w:p>
    <w:p>
      <w:pPr>
        <w:spacing w:after="0" w:line="140" w:lineRule="exact"/>
        <w:rPr>
          <w:sz w:val="20"/>
          <w:szCs w:val="20"/>
          <w:color w:val="auto"/>
        </w:rPr>
      </w:pPr>
    </w:p>
    <w:p>
      <w:pPr>
        <w:ind w:right="80" w:firstLine="8"/>
        <w:spacing w:after="0" w:line="286" w:lineRule="auto"/>
        <w:tabs>
          <w:tab w:leader="none" w:pos="239" w:val="left"/>
        </w:tabs>
        <w:numPr>
          <w:ilvl w:val="0"/>
          <w:numId w:val="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Default Interest; Other Amounts. </w:t>
      </w:r>
      <w:r>
        <w:rPr>
          <w:rFonts w:ascii="Arial" w:cs="Arial" w:eastAsia="Arial" w:hAnsi="Arial"/>
          <w:sz w:val="16"/>
          <w:szCs w:val="16"/>
          <w:color w:val="auto"/>
        </w:rPr>
        <w:t>Prior to the occurrence or effective designation of an Early Termination Date in respect of the relevant Transaction, a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defaults in the performance of any payment obligation will, to the extent permitted by law and subject to Section 6(c), be required to pay interest</w:t>
      </w:r>
    </w:p>
    <w:p>
      <w:pPr>
        <w:ind w:right="280"/>
        <w:spacing w:after="0" w:line="292" w:lineRule="auto"/>
        <w:rPr>
          <w:rFonts w:ascii="Arial" w:cs="Arial" w:eastAsia="Arial" w:hAnsi="Arial"/>
          <w:sz w:val="16"/>
          <w:szCs w:val="16"/>
          <w:color w:val="auto"/>
        </w:rPr>
      </w:pPr>
      <w:r>
        <w:rPr>
          <w:rFonts w:ascii="Arial" w:cs="Arial" w:eastAsia="Arial" w:hAnsi="Arial"/>
          <w:sz w:val="16"/>
          <w:szCs w:val="16"/>
          <w:color w:val="auto"/>
        </w:rPr>
        <w:t>(before as well as after judgment) on the overdue amount to the other party on demand in the same currency as such overdue amount, for the period from (and including) the original due date for payment to (but excluding) the date of actual payment, at the Default Rate. Such interest will be calculated on the basis of daily compounding and the actual number of days elapsed. If, prior to the occurrence or effective designation of an Early Termination Date in respect of the relevant Transaction, a party defaults in the performance of any obligation required to be settled by delivery, it will compensate the other party on demand if and to the extent provided for in the relevant Confirmation or elsewhere in this Agreement.</w:t>
      </w:r>
    </w:p>
    <w:p>
      <w:pPr>
        <w:spacing w:after="0" w:line="232" w:lineRule="exact"/>
        <w:rPr>
          <w:sz w:val="20"/>
          <w:szCs w:val="20"/>
          <w:color w:val="auto"/>
        </w:rPr>
      </w:pPr>
    </w:p>
    <w:p>
      <w:pPr>
        <w:ind w:left="460" w:hanging="452"/>
        <w:spacing w:after="0"/>
        <w:tabs>
          <w:tab w:leader="none" w:pos="46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Each party represents to the other party (which representations will be deemed to be repeated by each party on each date on which a Transaction is entered into and, in the case of the representations in Section 3(f), at all times until the termination of this Agreement) that:—</w:t>
      </w:r>
    </w:p>
    <w:p>
      <w:pPr>
        <w:spacing w:after="0" w:line="51" w:lineRule="exact"/>
        <w:rPr>
          <w:sz w:val="20"/>
          <w:szCs w:val="20"/>
          <w:color w:val="auto"/>
        </w:rPr>
      </w:pPr>
    </w:p>
    <w:p>
      <w:pPr>
        <w:ind w:left="260" w:hanging="252"/>
        <w:spacing w:after="0"/>
        <w:tabs>
          <w:tab w:leader="none" w:pos="260"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Basic Representations.</w:t>
      </w:r>
    </w:p>
    <w:p>
      <w:pPr>
        <w:spacing w:after="0" w:line="90" w:lineRule="exact"/>
        <w:rPr>
          <w:rFonts w:ascii="Arial" w:cs="Arial" w:eastAsia="Arial" w:hAnsi="Arial"/>
          <w:sz w:val="18"/>
          <w:szCs w:val="18"/>
          <w:b w:val="1"/>
          <w:bCs w:val="1"/>
          <w:color w:val="auto"/>
        </w:rPr>
      </w:pPr>
    </w:p>
    <w:p>
      <w:pPr>
        <w:ind w:left="460" w:right="60" w:firstLine="4"/>
        <w:spacing w:after="0" w:line="268" w:lineRule="auto"/>
        <w:tabs>
          <w:tab w:leader="none" w:pos="670" w:val="left"/>
        </w:tabs>
        <w:numPr>
          <w:ilvl w:val="1"/>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Status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is duly organised and validly existing under the laws of the jurisdiction of its organisation or incorporation and, if relevant under such laws,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 standing;</w:t>
      </w:r>
    </w:p>
    <w:p>
      <w:pPr>
        <w:spacing w:after="0" w:line="50" w:lineRule="exact"/>
        <w:rPr>
          <w:rFonts w:ascii="Arial" w:cs="Arial" w:eastAsia="Arial" w:hAnsi="Arial"/>
          <w:sz w:val="18"/>
          <w:szCs w:val="18"/>
          <w:color w:val="auto"/>
        </w:rPr>
      </w:pPr>
    </w:p>
    <w:p>
      <w:pPr>
        <w:ind w:left="460" w:right="40" w:firstLine="4"/>
        <w:spacing w:after="0" w:line="256" w:lineRule="auto"/>
        <w:tabs>
          <w:tab w:leader="none" w:pos="718" w:val="left"/>
        </w:tabs>
        <w:numPr>
          <w:ilvl w:val="1"/>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Powers. </w:t>
      </w:r>
      <w:r>
        <w:rPr>
          <w:rFonts w:ascii="Arial" w:cs="Arial" w:eastAsia="Arial" w:hAnsi="Arial"/>
          <w:sz w:val="18"/>
          <w:szCs w:val="18"/>
          <w:color w:val="auto"/>
        </w:rPr>
        <w:t>It has the power to execute this Agreement and any other documentation relating to this Agreement to which it is a party, to deliver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and any other documentation relating to this Agreement that it is required by this Agreement to deliver and to perform its obligations under this Agreement and any obligations it has under any Credit Support Document to which it is a party and has taken all necessary action to authorise such execution, delivery and performance;</w:t>
      </w:r>
    </w:p>
    <w:p>
      <w:pPr>
        <w:spacing w:after="0" w:line="62" w:lineRule="exact"/>
        <w:rPr>
          <w:rFonts w:ascii="Arial" w:cs="Arial" w:eastAsia="Arial" w:hAnsi="Arial"/>
          <w:sz w:val="18"/>
          <w:szCs w:val="18"/>
          <w:color w:val="auto"/>
        </w:rPr>
      </w:pPr>
    </w:p>
    <w:p>
      <w:pPr>
        <w:ind w:left="460" w:right="560" w:firstLine="4"/>
        <w:spacing w:after="0" w:line="259" w:lineRule="auto"/>
        <w:tabs>
          <w:tab w:leader="none" w:pos="767" w:val="left"/>
        </w:tabs>
        <w:numPr>
          <w:ilvl w:val="1"/>
          <w:numId w:val="31"/>
        </w:numPr>
        <w:rPr>
          <w:rFonts w:ascii="Arial" w:cs="Arial" w:eastAsia="Arial" w:hAnsi="Arial"/>
          <w:sz w:val="18"/>
          <w:szCs w:val="18"/>
          <w:color w:val="auto"/>
        </w:rPr>
      </w:pPr>
      <w:r>
        <w:rPr>
          <w:rFonts w:ascii="Arial" w:cs="Arial" w:eastAsia="Arial" w:hAnsi="Arial"/>
          <w:sz w:val="18"/>
          <w:szCs w:val="18"/>
          <w:b w:val="1"/>
          <w:bCs w:val="1"/>
          <w:i w:val="1"/>
          <w:iCs w:val="1"/>
          <w:color w:val="auto"/>
        </w:rPr>
        <w:t>No Violation or Conflict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execution, delivery and performance do not violate or conflict with any law applicable to it, any provision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constitutional documents, any order or judgment of any court or other agency of government applicable to it or any of its assets or any contractual restriction binding on or affecting it or any of its assets;</w:t>
      </w:r>
    </w:p>
    <w:p>
      <w:pPr>
        <w:spacing w:after="0" w:line="59" w:lineRule="exact"/>
        <w:rPr>
          <w:rFonts w:ascii="Arial" w:cs="Arial" w:eastAsia="Arial" w:hAnsi="Arial"/>
          <w:sz w:val="18"/>
          <w:szCs w:val="18"/>
          <w:color w:val="auto"/>
        </w:rPr>
      </w:pPr>
    </w:p>
    <w:p>
      <w:pPr>
        <w:ind w:left="460" w:right="220" w:firstLine="4"/>
        <w:spacing w:after="0" w:line="357" w:lineRule="auto"/>
        <w:tabs>
          <w:tab w:leader="none" w:pos="757" w:val="left"/>
        </w:tabs>
        <w:numPr>
          <w:ilvl w:val="1"/>
          <w:numId w:val="3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Consents. </w:t>
      </w:r>
      <w:r>
        <w:rPr>
          <w:rFonts w:ascii="Arial" w:cs="Arial" w:eastAsia="Arial" w:hAnsi="Arial"/>
          <w:sz w:val="15"/>
          <w:szCs w:val="15"/>
          <w:color w:val="auto"/>
        </w:rPr>
        <w:t>All governmental and other consents that are required to have been obtained by it with respect to this Agreement or any Credit Support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Document to which it is a party have been obtained and are in full force and effect and all conditions of any such consents have been complied with; and</w:t>
      </w:r>
    </w:p>
    <w:p>
      <w:pPr>
        <w:jc w:val="both"/>
        <w:ind w:left="460" w:firstLine="4"/>
        <w:spacing w:after="0" w:line="284" w:lineRule="auto"/>
        <w:tabs>
          <w:tab w:leader="none" w:pos="709" w:val="left"/>
        </w:tabs>
        <w:numPr>
          <w:ilvl w:val="1"/>
          <w:numId w:val="3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Obligations Binding. </w:t>
      </w:r>
      <w:r>
        <w:rPr>
          <w:rFonts w:ascii="Arial" w:cs="Arial" w:eastAsia="Arial" w:hAnsi="Arial"/>
          <w:sz w:val="16"/>
          <w:szCs w:val="16"/>
          <w:color w:val="auto"/>
        </w:rPr>
        <w:t>Its obligations under this Agreement and any Credit Support Document to which it is a party constitute its legal, valid and binding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enforceable in accordance with their respective terms (subject to applicable bankruptcy, reorganisation, insolvency, moratorium or similar laws affecting creditors’ rights generally and subject, as to enforceability, to equitable principles of general application (regardless of whether enforcement</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is sought in a proceeding in equity or at law)).</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42" w:name="page43"/>
    <w:bookmarkEnd w:id="42"/>
    <w:p>
      <w:pPr>
        <w:ind w:firstLine="8"/>
        <w:spacing w:after="0" w:line="259" w:lineRule="auto"/>
        <w:tabs>
          <w:tab w:leader="none" w:pos="249"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Absence of Certain Events. </w:t>
      </w:r>
      <w:r>
        <w:rPr>
          <w:rFonts w:ascii="Arial" w:cs="Arial" w:eastAsia="Arial" w:hAnsi="Arial"/>
          <w:sz w:val="18"/>
          <w:szCs w:val="18"/>
          <w:color w:val="auto"/>
        </w:rPr>
        <w:t>No Event of Default or Potential Event of Default or, to its knowledge, Termination Event with respect to it has occurred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continuing and no such event or circumstance would occur as a result of its entering into or performing its obligations under this Agreement or any Credit Support Document to which it is a party.</w:t>
      </w:r>
    </w:p>
    <w:p>
      <w:pPr>
        <w:spacing w:after="0" w:line="140" w:lineRule="exact"/>
        <w:rPr>
          <w:rFonts w:ascii="Arial" w:cs="Arial" w:eastAsia="Arial" w:hAnsi="Arial"/>
          <w:sz w:val="18"/>
          <w:szCs w:val="18"/>
          <w:color w:val="auto"/>
        </w:rPr>
      </w:pPr>
    </w:p>
    <w:p>
      <w:pPr>
        <w:ind w:right="120" w:firstLine="8"/>
        <w:spacing w:after="0" w:line="256" w:lineRule="auto"/>
        <w:tabs>
          <w:tab w:leader="none" w:pos="239"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Absence of Litigation. </w:t>
      </w:r>
      <w:r>
        <w:rPr>
          <w:rFonts w:ascii="Arial" w:cs="Arial" w:eastAsia="Arial" w:hAnsi="Arial"/>
          <w:sz w:val="18"/>
          <w:szCs w:val="18"/>
          <w:color w:val="auto"/>
        </w:rPr>
        <w:t>There is not pending or, to its knowledge, threatened against it or any of its Affiliates any action, suit or proceeding at law or in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before any court, tribunal, governmental body, agency or official or any arbitrator that is likely to affect the legality, validity or enforceability against it of this Agreement or any Credit Support Document to which it is a party or its ability to perform its obligations under this Agreement or such Credit Support Document.</w:t>
      </w:r>
    </w:p>
    <w:p>
      <w:pPr>
        <w:spacing w:after="0" w:line="143" w:lineRule="exact"/>
        <w:rPr>
          <w:rFonts w:ascii="Arial" w:cs="Arial" w:eastAsia="Arial" w:hAnsi="Arial"/>
          <w:sz w:val="18"/>
          <w:szCs w:val="18"/>
          <w:color w:val="auto"/>
        </w:rPr>
      </w:pPr>
    </w:p>
    <w:p>
      <w:pPr>
        <w:ind w:right="420" w:firstLine="8"/>
        <w:spacing w:after="0" w:line="332" w:lineRule="auto"/>
        <w:tabs>
          <w:tab w:leader="none" w:pos="249"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Accuracy of Specified Information. </w:t>
      </w:r>
      <w:r>
        <w:rPr>
          <w:rFonts w:ascii="Arial" w:cs="Arial" w:eastAsia="Arial" w:hAnsi="Arial"/>
          <w:sz w:val="16"/>
          <w:szCs w:val="16"/>
          <w:color w:val="auto"/>
        </w:rPr>
        <w:t>All applicable information that is furnished in writing by or on behalf of it to the other party and is identified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of this Section 3(d) in the Schedule is, as of the date of the information, true, accurate and complete in every material respect.</w:t>
      </w:r>
    </w:p>
    <w:p>
      <w:pPr>
        <w:spacing w:after="0" w:line="85" w:lineRule="exact"/>
        <w:rPr>
          <w:rFonts w:ascii="Arial" w:cs="Arial" w:eastAsia="Arial" w:hAnsi="Arial"/>
          <w:sz w:val="16"/>
          <w:szCs w:val="16"/>
          <w:color w:val="auto"/>
        </w:rPr>
      </w:pPr>
    </w:p>
    <w:p>
      <w:pPr>
        <w:ind w:left="240" w:hanging="232"/>
        <w:spacing w:after="0"/>
        <w:tabs>
          <w:tab w:leader="none" w:pos="240"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Payer Tax Representation. </w:t>
      </w:r>
      <w:r>
        <w:rPr>
          <w:rFonts w:ascii="Arial" w:cs="Arial" w:eastAsia="Arial" w:hAnsi="Arial"/>
          <w:sz w:val="16"/>
          <w:szCs w:val="16"/>
          <w:color w:val="auto"/>
        </w:rPr>
        <w:t>Each representation specified in the Schedule as being made by it for the purpose of this Section 3(e) is accurate and true.</w:t>
      </w:r>
    </w:p>
    <w:p>
      <w:pPr>
        <w:spacing w:after="0" w:line="194" w:lineRule="exact"/>
        <w:rPr>
          <w:rFonts w:ascii="Arial" w:cs="Arial" w:eastAsia="Arial" w:hAnsi="Arial"/>
          <w:sz w:val="16"/>
          <w:szCs w:val="16"/>
          <w:color w:val="auto"/>
        </w:rPr>
      </w:pPr>
    </w:p>
    <w:p>
      <w:pPr>
        <w:ind w:left="220" w:hanging="212"/>
        <w:spacing w:after="0"/>
        <w:tabs>
          <w:tab w:leader="none" w:pos="220" w:val="left"/>
        </w:tabs>
        <w:numPr>
          <w:ilvl w:val="0"/>
          <w:numId w:val="3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 Tax Representations. </w:t>
      </w:r>
      <w:r>
        <w:rPr>
          <w:rFonts w:ascii="Arial" w:cs="Arial" w:eastAsia="Arial" w:hAnsi="Arial"/>
          <w:sz w:val="16"/>
          <w:szCs w:val="16"/>
          <w:color w:val="auto"/>
        </w:rPr>
        <w:t>Each representation specified in the Schedule as being made by it for the purpose of this Section 3(f) is accurate and true.</w:t>
      </w:r>
    </w:p>
    <w:p>
      <w:pPr>
        <w:spacing w:after="0" w:line="310" w:lineRule="exact"/>
        <w:rPr>
          <w:sz w:val="20"/>
          <w:szCs w:val="20"/>
          <w:color w:val="auto"/>
        </w:rPr>
      </w:pPr>
    </w:p>
    <w:p>
      <w:pPr>
        <w:ind w:left="460" w:hanging="452"/>
        <w:spacing w:after="0"/>
        <w:tabs>
          <w:tab w:leader="none" w:pos="4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Each party agrees with the other that, so long as either party has or may have any obligation under this Agreement or under any Credit Support Document to which it is a party:—</w:t>
      </w:r>
    </w:p>
    <w:p>
      <w:pPr>
        <w:spacing w:after="0" w:line="132" w:lineRule="exact"/>
        <w:rPr>
          <w:sz w:val="20"/>
          <w:szCs w:val="20"/>
          <w:color w:val="auto"/>
        </w:rPr>
      </w:pPr>
    </w:p>
    <w:p>
      <w:pPr>
        <w:ind w:right="80" w:firstLine="8"/>
        <w:spacing w:after="0" w:line="268" w:lineRule="auto"/>
        <w:tabs>
          <w:tab w:leader="none" w:pos="239" w:val="left"/>
        </w:tabs>
        <w:numPr>
          <w:ilvl w:val="0"/>
          <w:numId w:val="3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Furnish Specified Information. </w:t>
      </w:r>
      <w:r>
        <w:rPr>
          <w:rFonts w:ascii="Arial" w:cs="Arial" w:eastAsia="Arial" w:hAnsi="Arial"/>
          <w:sz w:val="18"/>
          <w:szCs w:val="18"/>
          <w:color w:val="auto"/>
        </w:rPr>
        <w:t>It will deliver to the other party or, in certain cases under subparagraph (iii) below, to such government or taxing authority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other party reasonably directs:—</w:t>
      </w:r>
    </w:p>
    <w:p>
      <w:pPr>
        <w:spacing w:after="0" w:line="50" w:lineRule="exact"/>
        <w:rPr>
          <w:rFonts w:ascii="Arial" w:cs="Arial" w:eastAsia="Arial" w:hAnsi="Arial"/>
          <w:sz w:val="18"/>
          <w:szCs w:val="18"/>
          <w:color w:val="auto"/>
        </w:rPr>
      </w:pPr>
    </w:p>
    <w:p>
      <w:pPr>
        <w:ind w:left="680" w:hanging="216"/>
        <w:spacing w:after="0"/>
        <w:tabs>
          <w:tab w:leader="none" w:pos="68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forms, documents or certificates relating to taxation specified in the Schedule or any Confirmation;</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any other documents specified in the Schedule or any Confirmation; and</w:t>
      </w:r>
    </w:p>
    <w:p>
      <w:pPr>
        <w:spacing w:after="0" w:line="90" w:lineRule="exact"/>
        <w:rPr>
          <w:rFonts w:ascii="Arial" w:cs="Arial" w:eastAsia="Arial" w:hAnsi="Arial"/>
          <w:sz w:val="18"/>
          <w:szCs w:val="18"/>
          <w:color w:val="auto"/>
        </w:rPr>
      </w:pPr>
    </w:p>
    <w:p>
      <w:pPr>
        <w:ind w:left="460" w:right="360" w:firstLine="4"/>
        <w:spacing w:after="0" w:line="283" w:lineRule="auto"/>
        <w:tabs>
          <w:tab w:leader="none" w:pos="767" w:val="left"/>
        </w:tabs>
        <w:numPr>
          <w:ilvl w:val="1"/>
          <w:numId w:val="34"/>
        </w:numPr>
        <w:rPr>
          <w:rFonts w:ascii="Arial" w:cs="Arial" w:eastAsia="Arial" w:hAnsi="Arial"/>
          <w:sz w:val="16"/>
          <w:szCs w:val="16"/>
          <w:color w:val="auto"/>
        </w:rPr>
      </w:pPr>
      <w:r>
        <w:rPr>
          <w:rFonts w:ascii="Arial" w:cs="Arial" w:eastAsia="Arial" w:hAnsi="Arial"/>
          <w:sz w:val="16"/>
          <w:szCs w:val="16"/>
          <w:color w:val="auto"/>
        </w:rPr>
        <w:t>upon reasonable demand by such other party, any form or document that may be required or reasonably requested in writing in order to allow such other party or its Credit Support Provider to make a payment under this Agreement or any applicable Credit Support Document without any deduction or withholding for or on account of any Tax or with such deduction or withholding at a reduced rate (so long as the completion, execution or submission of such form or document would not materially prejudice the legal or commercial position of the party in receipt of such demand),</w:t>
      </w:r>
    </w:p>
    <w:p>
      <w:pPr>
        <w:spacing w:after="0" w:line="2" w:lineRule="exact"/>
        <w:rPr>
          <w:rFonts w:ascii="Arial" w:cs="Arial" w:eastAsia="Arial" w:hAnsi="Arial"/>
          <w:sz w:val="16"/>
          <w:szCs w:val="16"/>
          <w:color w:val="auto"/>
        </w:rPr>
      </w:pPr>
    </w:p>
    <w:p>
      <w:pPr>
        <w:ind w:left="460" w:right="640"/>
        <w:spacing w:after="0" w:line="261" w:lineRule="auto"/>
        <w:rPr>
          <w:rFonts w:ascii="Arial" w:cs="Arial" w:eastAsia="Arial" w:hAnsi="Arial"/>
          <w:sz w:val="16"/>
          <w:szCs w:val="16"/>
          <w:color w:val="auto"/>
        </w:rPr>
      </w:pPr>
      <w:r>
        <w:rPr>
          <w:rFonts w:ascii="Arial" w:cs="Arial" w:eastAsia="Arial" w:hAnsi="Arial"/>
          <w:sz w:val="18"/>
          <w:szCs w:val="18"/>
          <w:color w:val="auto"/>
        </w:rPr>
        <w:t>with any such form or document to be accurate and completed in a manner reasonably satisfactory to such other party and to be executed and to be delivered with any reasonably required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 each case by the date specified in the Schedule or such Confirmation or, if none is specified, as soon as reasonably practicable.</w:t>
      </w:r>
    </w:p>
    <w:p>
      <w:pPr>
        <w:spacing w:after="0" w:line="171" w:lineRule="exact"/>
        <w:rPr>
          <w:sz w:val="20"/>
          <w:szCs w:val="20"/>
          <w:color w:val="auto"/>
        </w:rPr>
      </w:pPr>
    </w:p>
    <w:p>
      <w:pPr>
        <w:ind w:right="340" w:firstLine="8"/>
        <w:spacing w:after="0" w:line="259" w:lineRule="auto"/>
        <w:tabs>
          <w:tab w:leader="none" w:pos="249"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 Authorisations. </w:t>
      </w:r>
      <w:r>
        <w:rPr>
          <w:rFonts w:ascii="Arial" w:cs="Arial" w:eastAsia="Arial" w:hAnsi="Arial"/>
          <w:sz w:val="18"/>
          <w:szCs w:val="18"/>
          <w:color w:val="auto"/>
        </w:rPr>
        <w:t>It will use all reasonable efforts to maintain in full force and effect all consents of any governmental or other authority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to be obtained by it with respect to this Agreement or any Credit Support Document to which it is a party and will use all reasonable efforts to obtain any that may become necessary in the future.</w:t>
      </w:r>
    </w:p>
    <w:p>
      <w:pPr>
        <w:spacing w:after="0" w:line="140" w:lineRule="exact"/>
        <w:rPr>
          <w:rFonts w:ascii="Arial" w:cs="Arial" w:eastAsia="Arial" w:hAnsi="Arial"/>
          <w:sz w:val="18"/>
          <w:szCs w:val="18"/>
          <w:color w:val="auto"/>
        </w:rPr>
      </w:pPr>
    </w:p>
    <w:p>
      <w:pPr>
        <w:ind w:right="660" w:firstLine="8"/>
        <w:spacing w:after="0" w:line="332" w:lineRule="auto"/>
        <w:tabs>
          <w:tab w:leader="none" w:pos="239" w:val="left"/>
        </w:tabs>
        <w:numPr>
          <w:ilvl w:val="0"/>
          <w:numId w:val="3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Comply with Laws. </w:t>
      </w:r>
      <w:r>
        <w:rPr>
          <w:rFonts w:ascii="Arial" w:cs="Arial" w:eastAsia="Arial" w:hAnsi="Arial"/>
          <w:sz w:val="16"/>
          <w:szCs w:val="16"/>
          <w:color w:val="auto"/>
        </w:rPr>
        <w:t>It will comply in all material respects with all applicable laws and orders to which it may be subject if failure so to comply would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materially impair its ability to perform its obligations under this Agreement or any Credit Support Document to which it is a party.</w:t>
      </w:r>
    </w:p>
    <w:p>
      <w:pPr>
        <w:spacing w:after="0" w:line="85" w:lineRule="exact"/>
        <w:rPr>
          <w:rFonts w:ascii="Arial" w:cs="Arial" w:eastAsia="Arial" w:hAnsi="Arial"/>
          <w:sz w:val="16"/>
          <w:szCs w:val="16"/>
          <w:color w:val="auto"/>
        </w:rPr>
      </w:pPr>
    </w:p>
    <w:p>
      <w:pPr>
        <w:ind w:right="400" w:firstLine="8"/>
        <w:spacing w:after="0" w:line="268" w:lineRule="auto"/>
        <w:tabs>
          <w:tab w:leader="none" w:pos="249"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Agreement. </w:t>
      </w:r>
      <w:r>
        <w:rPr>
          <w:rFonts w:ascii="Arial" w:cs="Arial" w:eastAsia="Arial" w:hAnsi="Arial"/>
          <w:sz w:val="18"/>
          <w:szCs w:val="18"/>
          <w:color w:val="auto"/>
        </w:rPr>
        <w:t>It will give notice of any failure of a representation made by it under Section 3(f) to be accurate and true promptly upon learning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failure.</w:t>
      </w:r>
    </w:p>
    <w:p>
      <w:pPr>
        <w:spacing w:after="0" w:line="131" w:lineRule="exact"/>
        <w:rPr>
          <w:rFonts w:ascii="Arial" w:cs="Arial" w:eastAsia="Arial" w:hAnsi="Arial"/>
          <w:sz w:val="18"/>
          <w:szCs w:val="18"/>
          <w:color w:val="auto"/>
        </w:rPr>
      </w:pPr>
    </w:p>
    <w:p>
      <w:pPr>
        <w:ind w:right="580" w:firstLine="8"/>
        <w:spacing w:after="0" w:line="268" w:lineRule="auto"/>
        <w:tabs>
          <w:tab w:leader="none" w:pos="239" w:val="left"/>
        </w:tabs>
        <w:numPr>
          <w:ilvl w:val="0"/>
          <w:numId w:val="3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of Stamp Tax. </w:t>
      </w:r>
      <w:r>
        <w:rPr>
          <w:rFonts w:ascii="Arial" w:cs="Arial" w:eastAsia="Arial" w:hAnsi="Arial"/>
          <w:sz w:val="18"/>
          <w:szCs w:val="18"/>
          <w:color w:val="auto"/>
        </w:rPr>
        <w:t>Subject to Section 11, it will pay any Stamp Tax levied or imposed upon it or in respect of its execution or performance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by a jurisdiction in which it is incorporated,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43" w:name="page44"/>
    <w:bookmarkEnd w:id="43"/>
    <w:p>
      <w:pPr>
        <w:ind w:right="2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organised, managed and controlled, or considered to have its seat, or in which a branch or office through which it is acting for the purpose of this Agreement is located (“Stamp Tax Jurisdiction”) and will indemnify the other party against any Stamp Tax levied or imposed upon the other party or in respect of</w:t>
      </w:r>
    </w:p>
    <w:p>
      <w:pPr>
        <w:ind w:right="220"/>
        <w:spacing w:after="0" w:line="261" w:lineRule="auto"/>
        <w:rPr>
          <w:sz w:val="20"/>
          <w:szCs w:val="20"/>
          <w:color w:val="auto"/>
        </w:rPr>
      </w:pPr>
      <w:r>
        <w:rPr>
          <w:rFonts w:ascii="Arial" w:cs="Arial" w:eastAsia="Arial" w:hAnsi="Arial"/>
          <w:sz w:val="18"/>
          <w:szCs w:val="18"/>
          <w:color w:val="auto"/>
        </w:rPr>
        <w:t>the other party’s execution or performance of this Agreement by any such Stamp Tax Jurisdiction which is not also a Stamp Tax Jurisdiction with respect to the other party.</w:t>
      </w:r>
    </w:p>
    <w:p>
      <w:pPr>
        <w:spacing w:after="0" w:line="253" w:lineRule="exact"/>
        <w:rPr>
          <w:sz w:val="20"/>
          <w:szCs w:val="20"/>
          <w:color w:val="auto"/>
        </w:rPr>
      </w:pPr>
    </w:p>
    <w:p>
      <w:pPr>
        <w:ind w:left="460" w:hanging="452"/>
        <w:spacing w:after="0"/>
        <w:tabs>
          <w:tab w:leader="none" w:pos="46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 and Termination Events</w:t>
      </w:r>
    </w:p>
    <w:p>
      <w:pPr>
        <w:spacing w:after="0" w:line="96" w:lineRule="exact"/>
        <w:rPr>
          <w:sz w:val="20"/>
          <w:szCs w:val="20"/>
          <w:color w:val="auto"/>
        </w:rPr>
      </w:pPr>
    </w:p>
    <w:p>
      <w:pPr>
        <w:ind w:right="260" w:firstLine="8"/>
        <w:spacing w:after="0" w:line="332" w:lineRule="auto"/>
        <w:tabs>
          <w:tab w:leader="none" w:pos="239" w:val="left"/>
        </w:tabs>
        <w:numPr>
          <w:ilvl w:val="0"/>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Events of Default. </w:t>
      </w:r>
      <w:r>
        <w:rPr>
          <w:rFonts w:ascii="Arial" w:cs="Arial" w:eastAsia="Arial" w:hAnsi="Arial"/>
          <w:sz w:val="16"/>
          <w:szCs w:val="16"/>
          <w:color w:val="auto"/>
        </w:rPr>
        <w:t>The occurrence at any time with respect to a party or, if applicable, any Credit Support Provider of such party or any Specified Entity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party of any of the following events constitutes an event of default (an “Event of Default”) with respect to such party:—</w:t>
      </w:r>
    </w:p>
    <w:p>
      <w:pPr>
        <w:spacing w:after="0" w:line="4" w:lineRule="exact"/>
        <w:rPr>
          <w:rFonts w:ascii="Arial" w:cs="Arial" w:eastAsia="Arial" w:hAnsi="Arial"/>
          <w:sz w:val="16"/>
          <w:szCs w:val="16"/>
          <w:color w:val="auto"/>
        </w:rPr>
      </w:pPr>
    </w:p>
    <w:p>
      <w:pPr>
        <w:ind w:left="460" w:right="80" w:firstLine="4"/>
        <w:spacing w:after="0" w:line="332" w:lineRule="auto"/>
        <w:tabs>
          <w:tab w:leader="none" w:pos="670" w:val="left"/>
        </w:tabs>
        <w:numPr>
          <w:ilvl w:val="1"/>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Failure to Pay or Deliver. </w:t>
      </w:r>
      <w:r>
        <w:rPr>
          <w:rFonts w:ascii="Arial" w:cs="Arial" w:eastAsia="Arial" w:hAnsi="Arial"/>
          <w:sz w:val="16"/>
          <w:szCs w:val="16"/>
          <w:color w:val="auto"/>
        </w:rPr>
        <w:t>Failure by the party to make, when due, any payment under this Agreement or delivery under Section 2(a)(i) or 2(e) required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made by it if such failure is not remedied on or before the third Local Business Day after notice of such failure is given to the party;</w:t>
      </w:r>
    </w:p>
    <w:p>
      <w:pPr>
        <w:spacing w:after="0" w:line="4" w:lineRule="exact"/>
        <w:rPr>
          <w:rFonts w:ascii="Arial" w:cs="Arial" w:eastAsia="Arial" w:hAnsi="Arial"/>
          <w:sz w:val="16"/>
          <w:szCs w:val="16"/>
          <w:color w:val="auto"/>
        </w:rPr>
      </w:pPr>
    </w:p>
    <w:p>
      <w:pPr>
        <w:ind w:left="460" w:right="200" w:firstLine="4"/>
        <w:spacing w:after="0" w:line="256" w:lineRule="auto"/>
        <w:tabs>
          <w:tab w:leader="none" w:pos="718" w:val="left"/>
        </w:tabs>
        <w:numPr>
          <w:ilvl w:val="1"/>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Breach of Agreement. </w:t>
      </w:r>
      <w:r>
        <w:rPr>
          <w:rFonts w:ascii="Arial" w:cs="Arial" w:eastAsia="Arial" w:hAnsi="Arial"/>
          <w:sz w:val="18"/>
          <w:szCs w:val="18"/>
          <w:color w:val="auto"/>
        </w:rPr>
        <w:t>Failure by the party to comply with or perform any agreement or obligation (other than an obligation to make any payment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this Agreement or delivery under Section 2(a)(i) or 2(e) or to give notice of a Termination Event or any agreement or obligation under Section 4(a) (i), 4(a)(iii) or 4(d)) to be complied with or performed by the party in accordance with this Agreement if such failure is not remedied on or before the thirtieth day after notice of such failure is given to the party;</w:t>
      </w:r>
    </w:p>
    <w:p>
      <w:pPr>
        <w:spacing w:after="0" w:line="62" w:lineRule="exact"/>
        <w:rPr>
          <w:rFonts w:ascii="Arial" w:cs="Arial" w:eastAsia="Arial" w:hAnsi="Arial"/>
          <w:sz w:val="18"/>
          <w:szCs w:val="18"/>
          <w:color w:val="auto"/>
        </w:rPr>
      </w:pPr>
    </w:p>
    <w:p>
      <w:pPr>
        <w:ind w:left="780" w:hanging="316"/>
        <w:spacing w:after="0"/>
        <w:tabs>
          <w:tab w:leader="none" w:pos="780" w:val="left"/>
        </w:tabs>
        <w:numPr>
          <w:ilvl w:val="1"/>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Credit Support Default.</w:t>
      </w:r>
    </w:p>
    <w:p>
      <w:pPr>
        <w:spacing w:after="0" w:line="90" w:lineRule="exact"/>
        <w:rPr>
          <w:rFonts w:ascii="Arial" w:cs="Arial" w:eastAsia="Arial" w:hAnsi="Arial"/>
          <w:sz w:val="18"/>
          <w:szCs w:val="18"/>
          <w:color w:val="auto"/>
        </w:rPr>
      </w:pPr>
    </w:p>
    <w:p>
      <w:pPr>
        <w:ind w:left="920" w:right="140" w:firstLine="1"/>
        <w:spacing w:after="0" w:line="332" w:lineRule="auto"/>
        <w:tabs>
          <w:tab w:leader="none" w:pos="1169" w:val="left"/>
        </w:tabs>
        <w:numPr>
          <w:ilvl w:val="2"/>
          <w:numId w:val="37"/>
        </w:numPr>
        <w:rPr>
          <w:rFonts w:ascii="Arial" w:cs="Arial" w:eastAsia="Arial" w:hAnsi="Arial"/>
          <w:sz w:val="16"/>
          <w:szCs w:val="16"/>
          <w:color w:val="auto"/>
        </w:rPr>
      </w:pPr>
      <w:r>
        <w:rPr>
          <w:rFonts w:ascii="Arial" w:cs="Arial" w:eastAsia="Arial" w:hAnsi="Arial"/>
          <w:sz w:val="16"/>
          <w:szCs w:val="16"/>
          <w:color w:val="auto"/>
        </w:rPr>
        <w:t>Failure by the party or any Credit Support Provider of such party to comply with or perform any agreement or obligation to be complied with or performed by it in accordance with any Credit Support Document if such failure is continuing after any applicable grace period has elapsed;</w:t>
      </w:r>
    </w:p>
    <w:p>
      <w:pPr>
        <w:spacing w:after="0" w:line="4" w:lineRule="exact"/>
        <w:rPr>
          <w:rFonts w:ascii="Arial" w:cs="Arial" w:eastAsia="Arial" w:hAnsi="Arial"/>
          <w:sz w:val="16"/>
          <w:szCs w:val="16"/>
          <w:color w:val="auto"/>
        </w:rPr>
      </w:pPr>
    </w:p>
    <w:p>
      <w:pPr>
        <w:ind w:left="920" w:right="140" w:firstLine="1"/>
        <w:spacing w:after="0" w:line="286" w:lineRule="auto"/>
        <w:tabs>
          <w:tab w:leader="none" w:pos="1169" w:val="left"/>
        </w:tabs>
        <w:numPr>
          <w:ilvl w:val="2"/>
          <w:numId w:val="37"/>
        </w:numPr>
        <w:rPr>
          <w:rFonts w:ascii="Arial" w:cs="Arial" w:eastAsia="Arial" w:hAnsi="Arial"/>
          <w:sz w:val="16"/>
          <w:szCs w:val="16"/>
          <w:color w:val="auto"/>
        </w:rPr>
      </w:pPr>
      <w:r>
        <w:rPr>
          <w:rFonts w:ascii="Arial" w:cs="Arial" w:eastAsia="Arial" w:hAnsi="Arial"/>
          <w:sz w:val="16"/>
          <w:szCs w:val="16"/>
          <w:color w:val="auto"/>
        </w:rPr>
        <w:t>the expiration or termination of such Credit Support Document or the failing or ceasing of such Credit Support Document to be in full force and effect for the purpose of this Agreement (in either case other than in accordance with its terms) prior to the satisfaction of all obligations</w:t>
      </w:r>
    </w:p>
    <w:p>
      <w:pPr>
        <w:ind w:left="920"/>
        <w:spacing w:after="0"/>
        <w:rPr>
          <w:rFonts w:ascii="Arial" w:cs="Arial" w:eastAsia="Arial" w:hAnsi="Arial"/>
          <w:sz w:val="16"/>
          <w:szCs w:val="16"/>
          <w:color w:val="auto"/>
        </w:rPr>
      </w:pPr>
      <w:r>
        <w:rPr>
          <w:rFonts w:ascii="Arial" w:cs="Arial" w:eastAsia="Arial" w:hAnsi="Arial"/>
          <w:sz w:val="16"/>
          <w:szCs w:val="16"/>
          <w:color w:val="auto"/>
        </w:rPr>
        <w:t>of such party under each Transaction to which such Credit Support Document relates without the written consent of the other party; or</w:t>
      </w:r>
    </w:p>
    <w:p>
      <w:pPr>
        <w:spacing w:after="0" w:line="106" w:lineRule="exact"/>
        <w:rPr>
          <w:rFonts w:ascii="Arial" w:cs="Arial" w:eastAsia="Arial" w:hAnsi="Arial"/>
          <w:sz w:val="16"/>
          <w:szCs w:val="16"/>
          <w:color w:val="auto"/>
        </w:rPr>
      </w:pPr>
    </w:p>
    <w:p>
      <w:pPr>
        <w:ind w:left="920" w:right="20" w:firstLine="1"/>
        <w:spacing w:after="0" w:line="268" w:lineRule="auto"/>
        <w:tabs>
          <w:tab w:leader="none" w:pos="1169" w:val="left"/>
        </w:tabs>
        <w:numPr>
          <w:ilvl w:val="2"/>
          <w:numId w:val="37"/>
        </w:numPr>
        <w:rPr>
          <w:rFonts w:ascii="Arial" w:cs="Arial" w:eastAsia="Arial" w:hAnsi="Arial"/>
          <w:sz w:val="18"/>
          <w:szCs w:val="18"/>
          <w:color w:val="auto"/>
        </w:rPr>
      </w:pPr>
      <w:r>
        <w:rPr>
          <w:rFonts w:ascii="Arial" w:cs="Arial" w:eastAsia="Arial" w:hAnsi="Arial"/>
          <w:sz w:val="18"/>
          <w:szCs w:val="18"/>
          <w:color w:val="auto"/>
        </w:rPr>
        <w:t>the party or such Credit Support Provider disaffirms, disclaims, repudiates or rejects, in whole or in part, or challenges the validity of, such Credit Support Document;</w:t>
      </w:r>
    </w:p>
    <w:p>
      <w:pPr>
        <w:spacing w:after="0" w:line="50" w:lineRule="exact"/>
        <w:rPr>
          <w:rFonts w:ascii="Arial" w:cs="Arial" w:eastAsia="Arial" w:hAnsi="Arial"/>
          <w:sz w:val="18"/>
          <w:szCs w:val="18"/>
          <w:color w:val="auto"/>
        </w:rPr>
      </w:pPr>
    </w:p>
    <w:p>
      <w:pPr>
        <w:ind w:left="460" w:right="100" w:firstLine="4"/>
        <w:spacing w:after="0" w:line="259" w:lineRule="auto"/>
        <w:tabs>
          <w:tab w:leader="none" w:pos="757" w:val="left"/>
        </w:tabs>
        <w:numPr>
          <w:ilvl w:val="1"/>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Misrepresentation. </w:t>
      </w:r>
      <w:r>
        <w:rPr>
          <w:rFonts w:ascii="Arial" w:cs="Arial" w:eastAsia="Arial" w:hAnsi="Arial"/>
          <w:sz w:val="18"/>
          <w:szCs w:val="18"/>
          <w:color w:val="auto"/>
        </w:rPr>
        <w:t>A representation (other than a representation under Section 3(e) or (f)) made or repeated or deemed to have been made or repeated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party or any Credit Support Provider of such party in this Agreement or any Credit Support Document proves to have been incorrect or misleading in any material respect when made or repeated or deemed to have been made or repeated;</w:t>
      </w:r>
    </w:p>
    <w:p>
      <w:pPr>
        <w:spacing w:after="0" w:line="59" w:lineRule="exact"/>
        <w:rPr>
          <w:rFonts w:ascii="Arial" w:cs="Arial" w:eastAsia="Arial" w:hAnsi="Arial"/>
          <w:sz w:val="18"/>
          <w:szCs w:val="18"/>
          <w:color w:val="auto"/>
        </w:rPr>
      </w:pPr>
    </w:p>
    <w:p>
      <w:pPr>
        <w:ind w:left="460" w:right="40" w:firstLine="4"/>
        <w:spacing w:after="0" w:line="286" w:lineRule="auto"/>
        <w:tabs>
          <w:tab w:leader="none" w:pos="709" w:val="left"/>
        </w:tabs>
        <w:numPr>
          <w:ilvl w:val="1"/>
          <w:numId w:val="3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Default under Specified Transaction. </w:t>
      </w:r>
      <w:r>
        <w:rPr>
          <w:rFonts w:ascii="Arial" w:cs="Arial" w:eastAsia="Arial" w:hAnsi="Arial"/>
          <w:sz w:val="16"/>
          <w:szCs w:val="16"/>
          <w:color w:val="auto"/>
        </w:rPr>
        <w:t>The party, any Credit Support Provider of such party or any applicable Specified Entity of such party (1) defaults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a Specified Transaction and, after giving effect to any applicable notice requirement or grace period, there occurs a liquidation of, an</w:t>
      </w:r>
    </w:p>
    <w:p>
      <w:pPr>
        <w:ind w:left="460"/>
        <w:spacing w:after="0" w:line="281" w:lineRule="auto"/>
        <w:rPr>
          <w:rFonts w:ascii="Arial" w:cs="Arial" w:eastAsia="Arial" w:hAnsi="Arial"/>
          <w:sz w:val="16"/>
          <w:szCs w:val="16"/>
          <w:color w:val="auto"/>
        </w:rPr>
      </w:pPr>
      <w:r>
        <w:rPr>
          <w:rFonts w:ascii="Arial" w:cs="Arial" w:eastAsia="Arial" w:hAnsi="Arial"/>
          <w:sz w:val="16"/>
          <w:szCs w:val="16"/>
          <w:color w:val="auto"/>
        </w:rPr>
        <w:t>acceleration of obligations under, or an early termination of, that Specified Transaction, (2) defaults, after giving effect to any applicable notice requirement or grace period, in making any payment or delivery due on the last payment, delivery or exchange date of, or any payment on early termination</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of, a Specified Transaction (or such default continues for at least three Local Business Days if there is no applicable notice requirement or grace period) or</w:t>
      </w:r>
    </w:p>
    <w:p>
      <w:pPr>
        <w:spacing w:after="0" w:line="32" w:lineRule="exact"/>
        <w:rPr>
          <w:rFonts w:ascii="Arial" w:cs="Arial" w:eastAsia="Arial" w:hAnsi="Arial"/>
          <w:sz w:val="16"/>
          <w:szCs w:val="16"/>
          <w:color w:val="auto"/>
        </w:rPr>
      </w:pPr>
    </w:p>
    <w:p>
      <w:pPr>
        <w:ind w:left="460" w:right="1280"/>
        <w:spacing w:after="0" w:line="261" w:lineRule="auto"/>
        <w:rPr>
          <w:rFonts w:ascii="Arial" w:cs="Arial" w:eastAsia="Arial" w:hAnsi="Arial"/>
          <w:sz w:val="16"/>
          <w:szCs w:val="16"/>
          <w:color w:val="auto"/>
        </w:rPr>
      </w:pPr>
      <w:r>
        <w:rPr>
          <w:rFonts w:ascii="Arial" w:cs="Arial" w:eastAsia="Arial" w:hAnsi="Arial"/>
          <w:sz w:val="18"/>
          <w:szCs w:val="18"/>
          <w:color w:val="auto"/>
        </w:rPr>
        <w:t>(3) disaffirms, disclaims, repudiates or rejects, in whole or in part, a Specified Transaction (or such action is taken by any person or entity appointed or empowered to operate it or act on its behalf);</w:t>
      </w:r>
    </w:p>
    <w:p>
      <w:pPr>
        <w:spacing w:after="0" w:line="56" w:lineRule="exact"/>
        <w:rPr>
          <w:rFonts w:ascii="Arial" w:cs="Arial" w:eastAsia="Arial" w:hAnsi="Arial"/>
          <w:sz w:val="16"/>
          <w:szCs w:val="16"/>
          <w:color w:val="auto"/>
        </w:rPr>
      </w:pPr>
    </w:p>
    <w:p>
      <w:pPr>
        <w:ind w:left="460" w:right="160" w:firstLine="4"/>
        <w:spacing w:after="0" w:line="268" w:lineRule="auto"/>
        <w:tabs>
          <w:tab w:leader="none" w:pos="757" w:val="left"/>
        </w:tabs>
        <w:numPr>
          <w:ilvl w:val="1"/>
          <w:numId w:val="3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Cross Default. </w:t>
      </w:r>
      <w:r>
        <w:rPr>
          <w:rFonts w:ascii="Arial" w:cs="Arial" w:eastAsia="Arial" w:hAnsi="Arial"/>
          <w:sz w:val="18"/>
          <w:szCs w:val="18"/>
          <w:color w:val="auto"/>
        </w:rPr>
        <w:t>If “Cross Default” is specified in the Schedule as applying to the party, the occurrence or existence of (1) a default, event of default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similar condition or event (however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44" w:name="page45"/>
    <w:bookmarkEnd w:id="44"/>
    <w:p>
      <w:pPr>
        <w:ind w:left="452" w:right="7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described) in respect of such party, any Credit Support Provider of such party or any applicable Specified Entity of such party under one or more agreements or instruments relating to Specified Indebtedness of any of them (individually or collectively) in an aggregate amount of not less than</w:t>
      </w:r>
    </w:p>
    <w:p>
      <w:pPr>
        <w:ind w:left="452" w:right="60"/>
        <w:spacing w:after="0" w:line="300" w:lineRule="auto"/>
        <w:rPr>
          <w:sz w:val="20"/>
          <w:szCs w:val="20"/>
          <w:color w:val="auto"/>
        </w:rPr>
      </w:pPr>
      <w:r>
        <w:rPr>
          <w:rFonts w:ascii="Arial" w:cs="Arial" w:eastAsia="Arial" w:hAnsi="Arial"/>
          <w:sz w:val="15"/>
          <w:szCs w:val="15"/>
          <w:color w:val="auto"/>
        </w:rPr>
        <w:t>the applicable Threshold Amount (as specified in the Schedule) which has resulted in such Specified Indebtedness becoming, or becoming capable at such time of being declared, due and payable under such agreements or instruments, before it would otherwise have been due and payable or (2) a default</w:t>
      </w:r>
    </w:p>
    <w:p>
      <w:pPr>
        <w:spacing w:after="0" w:line="1" w:lineRule="exact"/>
        <w:rPr>
          <w:sz w:val="20"/>
          <w:szCs w:val="20"/>
          <w:color w:val="auto"/>
        </w:rPr>
      </w:pPr>
    </w:p>
    <w:p>
      <w:pPr>
        <w:ind w:left="452" w:right="20"/>
        <w:spacing w:after="0" w:line="255" w:lineRule="auto"/>
        <w:rPr>
          <w:sz w:val="20"/>
          <w:szCs w:val="20"/>
          <w:color w:val="auto"/>
        </w:rPr>
      </w:pPr>
      <w:r>
        <w:rPr>
          <w:rFonts w:ascii="Arial" w:cs="Arial" w:eastAsia="Arial" w:hAnsi="Arial"/>
          <w:sz w:val="18"/>
          <w:szCs w:val="18"/>
          <w:color w:val="auto"/>
        </w:rPr>
        <w:t>by such party, such Credit Support Provider or such Specified Entity (individually or collectively) in making one or more payments on the due date thereof in an aggregate amount of not less than the applicable Threshold Amount under such agreements or instruments (after giving effect to any applicable notice requirement or grace period);</w:t>
      </w:r>
    </w:p>
    <w:p>
      <w:pPr>
        <w:spacing w:after="0" w:line="63" w:lineRule="exact"/>
        <w:rPr>
          <w:sz w:val="20"/>
          <w:szCs w:val="20"/>
          <w:color w:val="auto"/>
        </w:rPr>
      </w:pPr>
    </w:p>
    <w:p>
      <w:pPr>
        <w:ind w:left="812" w:hanging="356"/>
        <w:spacing w:after="0"/>
        <w:tabs>
          <w:tab w:leader="none" w:pos="812" w:val="left"/>
        </w:tabs>
        <w:numPr>
          <w:ilvl w:val="1"/>
          <w:numId w:val="3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Bankruptcy. </w:t>
      </w:r>
      <w:r>
        <w:rPr>
          <w:rFonts w:ascii="Arial" w:cs="Arial" w:eastAsia="Arial" w:hAnsi="Arial"/>
          <w:sz w:val="18"/>
          <w:szCs w:val="18"/>
          <w:color w:val="auto"/>
        </w:rPr>
        <w:t>The party, any Credit Support Provider of such party or any applicable Specified Entity of such party:—</w:t>
      </w:r>
    </w:p>
    <w:p>
      <w:pPr>
        <w:spacing w:after="0" w:line="90" w:lineRule="exact"/>
        <w:rPr>
          <w:rFonts w:ascii="Arial" w:cs="Arial" w:eastAsia="Arial" w:hAnsi="Arial"/>
          <w:sz w:val="18"/>
          <w:szCs w:val="18"/>
          <w:color w:val="auto"/>
        </w:rPr>
      </w:pPr>
    </w:p>
    <w:p>
      <w:pPr>
        <w:ind w:left="912" w:right="20" w:firstLine="1"/>
        <w:spacing w:after="0" w:line="283" w:lineRule="auto"/>
        <w:tabs>
          <w:tab w:leader="none" w:pos="1161" w:val="left"/>
        </w:tabs>
        <w:numPr>
          <w:ilvl w:val="2"/>
          <w:numId w:val="38"/>
        </w:numPr>
        <w:rPr>
          <w:rFonts w:ascii="Arial" w:cs="Arial" w:eastAsia="Arial" w:hAnsi="Arial"/>
          <w:sz w:val="16"/>
          <w:szCs w:val="16"/>
          <w:color w:val="auto"/>
        </w:rPr>
      </w:pPr>
      <w:r>
        <w:rPr>
          <w:rFonts w:ascii="Arial" w:cs="Arial" w:eastAsia="Arial" w:hAnsi="Arial"/>
          <w:sz w:val="16"/>
          <w:szCs w:val="16"/>
          <w:color w:val="auto"/>
        </w:rPr>
        <w:t>is dissolved (other than pursuant to a consolidation, amalgamation or merger); (2) becomes insolvent or is unable to pay its debts or fails or admits in writing its inability generally to pay its debts as they become due; (3) makes a general assignment, arrangement or composition with or for the benefit of its creditors; (4) institutes or 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(A) results in a judgment</w:t>
      </w:r>
    </w:p>
    <w:p>
      <w:pPr>
        <w:spacing w:after="0" w:line="2" w:lineRule="exact"/>
        <w:rPr>
          <w:rFonts w:ascii="Arial" w:cs="Arial" w:eastAsia="Arial" w:hAnsi="Arial"/>
          <w:sz w:val="16"/>
          <w:szCs w:val="16"/>
          <w:color w:val="auto"/>
        </w:rPr>
      </w:pPr>
    </w:p>
    <w:p>
      <w:pPr>
        <w:ind w:left="912" w:right="340"/>
        <w:spacing w:after="0" w:line="281" w:lineRule="auto"/>
        <w:rPr>
          <w:rFonts w:ascii="Arial" w:cs="Arial" w:eastAsia="Arial" w:hAnsi="Arial"/>
          <w:sz w:val="16"/>
          <w:szCs w:val="16"/>
          <w:color w:val="auto"/>
        </w:rPr>
      </w:pPr>
      <w:r>
        <w:rPr>
          <w:rFonts w:ascii="Arial" w:cs="Arial" w:eastAsia="Arial" w:hAnsi="Arial"/>
          <w:sz w:val="16"/>
          <w:szCs w:val="16"/>
          <w:color w:val="auto"/>
        </w:rPr>
        <w:t>of insolvency or bankruptcy or the entry of an order for relief or the making of an order for its winding-up or liquidation or (B) is not dismissed, discharged, stayed or restrained in each case within 30 days of the institution or presentation thereof; (5) has a resolution passed for its winding-up, official management or liquidation (other than pursuant to a consolidation, amalgamation or merger); (6) seeks or becomes subject to the appointment of an administrator, provisional liquidator, conservator, receiver, trustee, custodian or other similar official for it or for</w:t>
      </w:r>
    </w:p>
    <w:p>
      <w:pPr>
        <w:spacing w:after="0" w:line="2" w:lineRule="exact"/>
        <w:rPr>
          <w:rFonts w:ascii="Arial" w:cs="Arial" w:eastAsia="Arial" w:hAnsi="Arial"/>
          <w:sz w:val="16"/>
          <w:szCs w:val="16"/>
          <w:color w:val="auto"/>
        </w:rPr>
      </w:pPr>
    </w:p>
    <w:p>
      <w:pPr>
        <w:ind w:left="912" w:right="220"/>
        <w:spacing w:after="0" w:line="281" w:lineRule="auto"/>
        <w:rPr>
          <w:rFonts w:ascii="Arial" w:cs="Arial" w:eastAsia="Arial" w:hAnsi="Arial"/>
          <w:sz w:val="16"/>
          <w:szCs w:val="16"/>
          <w:color w:val="auto"/>
        </w:rPr>
      </w:pPr>
      <w:r>
        <w:rPr>
          <w:rFonts w:ascii="Arial" w:cs="Arial" w:eastAsia="Arial" w:hAnsi="Arial"/>
          <w:sz w:val="16"/>
          <w:szCs w:val="16"/>
          <w:color w:val="auto"/>
        </w:rPr>
        <w:t>all or substantially all its assets; (7) has a secured party take possession of all or substantially all its assets or has a distress, execution, attachment, sequestration or other legal process levied, enforced or sued on or against all or substantially all its assets and such secured party</w:t>
      </w:r>
    </w:p>
    <w:p>
      <w:pPr>
        <w:spacing w:after="0" w:line="1" w:lineRule="exact"/>
        <w:rPr>
          <w:rFonts w:ascii="Arial" w:cs="Arial" w:eastAsia="Arial" w:hAnsi="Arial"/>
          <w:sz w:val="16"/>
          <w:szCs w:val="16"/>
          <w:color w:val="auto"/>
        </w:rPr>
      </w:pPr>
    </w:p>
    <w:p>
      <w:pPr>
        <w:ind w:left="912" w:right="160"/>
        <w:spacing w:after="0" w:line="254" w:lineRule="auto"/>
        <w:rPr>
          <w:rFonts w:ascii="Arial" w:cs="Arial" w:eastAsia="Arial" w:hAnsi="Arial"/>
          <w:sz w:val="16"/>
          <w:szCs w:val="16"/>
          <w:color w:val="auto"/>
        </w:rPr>
      </w:pPr>
      <w:r>
        <w:rPr>
          <w:rFonts w:ascii="Arial" w:cs="Arial" w:eastAsia="Arial" w:hAnsi="Arial"/>
          <w:sz w:val="18"/>
          <w:szCs w:val="18"/>
          <w:color w:val="auto"/>
        </w:rPr>
        <w:t>maintains possession, or any such process is not dismissed, discharged, stayed or restrained, in each case within 30 days thereafter; (8) causes or is subject to any event with respect to it which, under the applicable laws of any jurisdiction, has an analogous effect to any of the events specified in clauses (1) to (7) (inclusive); or (9) takes any action in furtherance of, or indicating its consent to, approval of, or acquiescence in, any of the foregoing acts; or</w:t>
      </w:r>
    </w:p>
    <w:p>
      <w:pPr>
        <w:spacing w:after="0" w:line="62" w:lineRule="exact"/>
        <w:rPr>
          <w:rFonts w:ascii="Arial" w:cs="Arial" w:eastAsia="Arial" w:hAnsi="Arial"/>
          <w:sz w:val="16"/>
          <w:szCs w:val="16"/>
          <w:color w:val="auto"/>
        </w:rPr>
      </w:pPr>
    </w:p>
    <w:p>
      <w:pPr>
        <w:ind w:left="452" w:right="220" w:firstLine="4"/>
        <w:spacing w:after="0" w:line="332" w:lineRule="auto"/>
        <w:tabs>
          <w:tab w:leader="none" w:pos="847" w:val="left"/>
        </w:tabs>
        <w:numPr>
          <w:ilvl w:val="1"/>
          <w:numId w:val="3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Merger Without Assumption. </w:t>
      </w:r>
      <w:r>
        <w:rPr>
          <w:rFonts w:ascii="Arial" w:cs="Arial" w:eastAsia="Arial" w:hAnsi="Arial"/>
          <w:sz w:val="16"/>
          <w:szCs w:val="16"/>
          <w:color w:val="auto"/>
        </w:rPr>
        <w:t>The party or any Credit Support Provider of such party consolidates or amalgamates with, or merges with or into,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transfers all or substantially all its assets to, another entity and, at the time of such consolidation, amalgamation, merger or transfer:—</w:t>
      </w:r>
    </w:p>
    <w:p>
      <w:pPr>
        <w:spacing w:after="0" w:line="4" w:lineRule="exact"/>
        <w:rPr>
          <w:rFonts w:ascii="Arial" w:cs="Arial" w:eastAsia="Arial" w:hAnsi="Arial"/>
          <w:sz w:val="16"/>
          <w:szCs w:val="16"/>
          <w:color w:val="auto"/>
        </w:rPr>
      </w:pPr>
    </w:p>
    <w:p>
      <w:pPr>
        <w:jc w:val="both"/>
        <w:ind w:left="912" w:firstLine="1"/>
        <w:spacing w:after="0" w:line="259" w:lineRule="auto"/>
        <w:tabs>
          <w:tab w:leader="none" w:pos="1161"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resulting, surviving or transferee entity fails to assume all the obligations of such party or such Credit Support Provider under this Agreement or any Credit Support Document to which it or its predecessor was a party by operation of law or pursuant to an agreement reasonably satisfactory to the other party to this Agreement; or</w:t>
      </w:r>
    </w:p>
    <w:p>
      <w:pPr>
        <w:spacing w:after="0" w:line="59" w:lineRule="exact"/>
        <w:rPr>
          <w:rFonts w:ascii="Arial" w:cs="Arial" w:eastAsia="Arial" w:hAnsi="Arial"/>
          <w:sz w:val="18"/>
          <w:szCs w:val="18"/>
          <w:color w:val="auto"/>
        </w:rPr>
      </w:pPr>
    </w:p>
    <w:p>
      <w:pPr>
        <w:ind w:left="912" w:right="620" w:firstLine="1"/>
        <w:spacing w:after="0" w:line="268" w:lineRule="auto"/>
        <w:tabs>
          <w:tab w:leader="none" w:pos="1161" w:val="left"/>
        </w:tabs>
        <w:numPr>
          <w:ilvl w:val="2"/>
          <w:numId w:val="38"/>
        </w:numPr>
        <w:rPr>
          <w:rFonts w:ascii="Arial" w:cs="Arial" w:eastAsia="Arial" w:hAnsi="Arial"/>
          <w:sz w:val="18"/>
          <w:szCs w:val="18"/>
          <w:color w:val="auto"/>
        </w:rPr>
      </w:pPr>
      <w:r>
        <w:rPr>
          <w:rFonts w:ascii="Arial" w:cs="Arial" w:eastAsia="Arial" w:hAnsi="Arial"/>
          <w:sz w:val="18"/>
          <w:szCs w:val="18"/>
          <w:color w:val="auto"/>
        </w:rPr>
        <w:t>the benefits of any Credit Support Document fail to extend (without the consent of the other party) to the performance by such resulting, surviving or transferee entity of its obligations under this Agreement.</w:t>
      </w:r>
    </w:p>
    <w:p>
      <w:pPr>
        <w:spacing w:after="0" w:line="50" w:lineRule="exact"/>
        <w:rPr>
          <w:rFonts w:ascii="Arial" w:cs="Arial" w:eastAsia="Arial" w:hAnsi="Arial"/>
          <w:sz w:val="18"/>
          <w:szCs w:val="18"/>
          <w:color w:val="auto"/>
        </w:rPr>
      </w:pPr>
    </w:p>
    <w:p>
      <w:pPr>
        <w:ind w:left="-8" w:right="60" w:firstLine="8"/>
        <w:spacing w:after="0" w:line="259" w:lineRule="auto"/>
        <w:tabs>
          <w:tab w:leader="none" w:pos="241" w:val="left"/>
        </w:tabs>
        <w:numPr>
          <w:ilvl w:val="0"/>
          <w:numId w:val="3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Termination Events. </w:t>
      </w:r>
      <w:r>
        <w:rPr>
          <w:rFonts w:ascii="Arial" w:cs="Arial" w:eastAsia="Arial" w:hAnsi="Arial"/>
          <w:sz w:val="18"/>
          <w:szCs w:val="18"/>
          <w:color w:val="auto"/>
        </w:rPr>
        <w:t>The occurrence at any time with respect to a party or, if applicable, any Credit Support Provider of such party or any Specified Entity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party of any event specified below constitutes an Illegality if the event is specified in (i) below, a Tax Event if the event is specified in (ii) below or a Tax Event Upon Merger if the event is specified in (iii) below, and, if specified to be applicable, a Credit Event</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72"/>
          </w:cols>
          <w:pgMar w:left="248" w:top="280" w:right="27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Merger if the event is specified pursuant to (iv) below or an Additional Termination Event if the event is specified pursuant to (v) below:—</w:t>
      </w:r>
    </w:p>
    <w:p>
      <w:pPr>
        <w:spacing w:after="0" w:line="90" w:lineRule="exact"/>
        <w:rPr>
          <w:sz w:val="20"/>
          <w:szCs w:val="20"/>
          <w:color w:val="auto"/>
        </w:rPr>
      </w:pPr>
    </w:p>
    <w:p>
      <w:pPr>
        <w:ind w:left="460" w:right="140" w:firstLine="4"/>
        <w:spacing w:after="0" w:line="286" w:lineRule="auto"/>
        <w:tabs>
          <w:tab w:leader="none" w:pos="670"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Illegality. </w:t>
      </w:r>
      <w:r>
        <w:rPr>
          <w:rFonts w:ascii="Arial" w:cs="Arial" w:eastAsia="Arial" w:hAnsi="Arial"/>
          <w:sz w:val="16"/>
          <w:szCs w:val="16"/>
          <w:color w:val="auto"/>
        </w:rPr>
        <w:t>Due to the adoption of, or any change in, any applicable law after the date on which a Transaction is entered into, or due to the promulgation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or any change in, the interpretation by any court, tribunal or regulatory authority with competent jurisdiction of any applicable law after</w:t>
      </w:r>
    </w:p>
    <w:p>
      <w:pPr>
        <w:ind w:left="460"/>
        <w:spacing w:after="0"/>
        <w:rPr>
          <w:rFonts w:ascii="Arial" w:cs="Arial" w:eastAsia="Arial" w:hAnsi="Arial"/>
          <w:sz w:val="16"/>
          <w:szCs w:val="16"/>
          <w:color w:val="auto"/>
        </w:rPr>
      </w:pPr>
      <w:r>
        <w:rPr>
          <w:rFonts w:ascii="Arial" w:cs="Arial" w:eastAsia="Arial" w:hAnsi="Arial"/>
          <w:sz w:val="16"/>
          <w:szCs w:val="16"/>
          <w:color w:val="auto"/>
        </w:rPr>
        <w:t>such date, it becomes unlawful (other than as a result of a breach by the party of Section 4(b)) for such party (which will be the Affected Party):—</w:t>
      </w:r>
    </w:p>
    <w:p>
      <w:pPr>
        <w:spacing w:after="0" w:line="106" w:lineRule="exact"/>
        <w:rPr>
          <w:rFonts w:ascii="Arial" w:cs="Arial" w:eastAsia="Arial" w:hAnsi="Arial"/>
          <w:sz w:val="16"/>
          <w:szCs w:val="16"/>
          <w:color w:val="auto"/>
        </w:rPr>
      </w:pPr>
    </w:p>
    <w:p>
      <w:pPr>
        <w:ind w:left="920" w:right="20" w:firstLine="1"/>
        <w:spacing w:after="0" w:line="268" w:lineRule="auto"/>
        <w:tabs>
          <w:tab w:leader="none" w:pos="1169"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perform any absolute or contingent obligation to make a payment or delivery or to receive a payment or delivery in respect of such Transaction or to comply with any other material provision of this Agreement relating to such Transaction; or</w:t>
      </w:r>
    </w:p>
    <w:p>
      <w:pPr>
        <w:spacing w:after="0" w:line="50" w:lineRule="exact"/>
        <w:rPr>
          <w:rFonts w:ascii="Arial" w:cs="Arial" w:eastAsia="Arial" w:hAnsi="Arial"/>
          <w:sz w:val="18"/>
          <w:szCs w:val="18"/>
          <w:color w:val="auto"/>
        </w:rPr>
      </w:pPr>
    </w:p>
    <w:p>
      <w:pPr>
        <w:ind w:left="920" w:right="540" w:firstLine="1"/>
        <w:spacing w:after="0" w:line="268" w:lineRule="auto"/>
        <w:tabs>
          <w:tab w:leader="none" w:pos="1169" w:val="left"/>
        </w:tabs>
        <w:numPr>
          <w:ilvl w:val="1"/>
          <w:numId w:val="40"/>
        </w:numPr>
        <w:rPr>
          <w:rFonts w:ascii="Arial" w:cs="Arial" w:eastAsia="Arial" w:hAnsi="Arial"/>
          <w:sz w:val="18"/>
          <w:szCs w:val="18"/>
          <w:color w:val="auto"/>
        </w:rPr>
      </w:pPr>
      <w:r>
        <w:rPr>
          <w:rFonts w:ascii="Arial" w:cs="Arial" w:eastAsia="Arial" w:hAnsi="Arial"/>
          <w:sz w:val="18"/>
          <w:szCs w:val="18"/>
          <w:color w:val="auto"/>
        </w:rPr>
        <w:t>to perform, or for any Credit Support Provider of such party to perform, any contingent or other obligation which the party (or such Credit Support Provider) has under any Credit Support Document relating to such Transaction;</w:t>
      </w:r>
    </w:p>
    <w:p>
      <w:pPr>
        <w:spacing w:after="0" w:line="50" w:lineRule="exact"/>
        <w:rPr>
          <w:rFonts w:ascii="Arial" w:cs="Arial" w:eastAsia="Arial" w:hAnsi="Arial"/>
          <w:sz w:val="18"/>
          <w:szCs w:val="18"/>
          <w:color w:val="auto"/>
        </w:rPr>
      </w:pPr>
    </w:p>
    <w:p>
      <w:pPr>
        <w:ind w:left="460" w:right="40" w:firstLine="4"/>
        <w:spacing w:after="0" w:line="286" w:lineRule="auto"/>
        <w:tabs>
          <w:tab w:leader="none" w:pos="718"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 Event. </w:t>
      </w:r>
      <w:r>
        <w:rPr>
          <w:rFonts w:ascii="Arial" w:cs="Arial" w:eastAsia="Arial" w:hAnsi="Arial"/>
          <w:sz w:val="16"/>
          <w:szCs w:val="16"/>
          <w:color w:val="auto"/>
        </w:rPr>
        <w:t>Due to (x) any action taken by a taxing authority, or brought in a court of competent jurisdiction, on or after the date on which a Transaction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entered into (regardless of whether such action is taken or brought with respect to a party to this Agreement) or (y) a Change in Tax Law,</w:t>
      </w:r>
    </w:p>
    <w:p>
      <w:pPr>
        <w:ind w:left="460"/>
        <w:spacing w:after="0" w:line="281" w:lineRule="auto"/>
        <w:rPr>
          <w:rFonts w:ascii="Arial" w:cs="Arial" w:eastAsia="Arial" w:hAnsi="Arial"/>
          <w:sz w:val="16"/>
          <w:szCs w:val="16"/>
          <w:color w:val="auto"/>
        </w:rPr>
      </w:pPr>
      <w:r>
        <w:rPr>
          <w:rFonts w:ascii="Arial" w:cs="Arial" w:eastAsia="Arial" w:hAnsi="Arial"/>
          <w:sz w:val="16"/>
          <w:szCs w:val="16"/>
          <w:color w:val="auto"/>
        </w:rPr>
        <w:t>the party (which will be the Affected Party) will, or there is a substantial likelihood that it will, on the next succeeding Scheduled Payment Date (1) be required to pay to the other party an additional amount in respect of an Indemnifiable Tax under Section 2(d)(i)(4) (except in respect of interest under Section 2(e), 6(d)(ii) or 6(e)) or (2) receive a payment from which an amount is required to be deducted or withheld for or on account of a Tax (except in respect of interest under Section 2(e), 6(d)(ii) or 6(e)) and no additional amount is required to be paid in respect of such Tax under Section 2(d)(i)</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(4) (other than by reason of Section 2(d)(i)(4)(A) or (B));</w:t>
      </w:r>
    </w:p>
    <w:p>
      <w:pPr>
        <w:spacing w:after="0" w:line="83" w:lineRule="exact"/>
        <w:rPr>
          <w:rFonts w:ascii="Arial" w:cs="Arial" w:eastAsia="Arial" w:hAnsi="Arial"/>
          <w:sz w:val="16"/>
          <w:szCs w:val="16"/>
          <w:color w:val="auto"/>
        </w:rPr>
      </w:pPr>
    </w:p>
    <w:p>
      <w:pPr>
        <w:ind w:left="460" w:right="480" w:firstLine="4"/>
        <w:spacing w:after="0" w:line="286" w:lineRule="auto"/>
        <w:tabs>
          <w:tab w:leader="none" w:pos="767"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 Event Upon Merger. </w:t>
      </w:r>
      <w:r>
        <w:rPr>
          <w:rFonts w:ascii="Arial" w:cs="Arial" w:eastAsia="Arial" w:hAnsi="Arial"/>
          <w:sz w:val="16"/>
          <w:szCs w:val="16"/>
          <w:color w:val="auto"/>
        </w:rPr>
        <w:t>The party (the “Burdened Party”) on the next succeeding Scheduled Payment Date will either (1) be required to pay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amount in respect of an Indemnifiable Tax under Section 2(d)(i)(4) (except in respect of interest under Section 2(e), 6(d)(ii) or 6(e)) or</w:t>
      </w:r>
    </w:p>
    <w:p>
      <w:pPr>
        <w:ind w:left="460" w:right="100"/>
        <w:spacing w:after="0" w:line="281" w:lineRule="auto"/>
        <w:rPr>
          <w:rFonts w:ascii="Arial" w:cs="Arial" w:eastAsia="Arial" w:hAnsi="Arial"/>
          <w:sz w:val="16"/>
          <w:szCs w:val="16"/>
          <w:color w:val="auto"/>
        </w:rPr>
      </w:pPr>
      <w:r>
        <w:rPr>
          <w:rFonts w:ascii="Arial" w:cs="Arial" w:eastAsia="Arial" w:hAnsi="Arial"/>
          <w:sz w:val="16"/>
          <w:szCs w:val="16"/>
          <w:color w:val="auto"/>
        </w:rPr>
        <w:t>(2) receive a payment from which an amount has been deducted or withheld for or on account of any Indemnifiable Tax in respect of which the other party is not required to pay an additional amount (other than by reason of Section 2(d)(i)(4)(A) or (B)), in either case as a result of a party</w:t>
      </w:r>
    </w:p>
    <w:p>
      <w:pPr>
        <w:spacing w:after="0" w:line="1" w:lineRule="exact"/>
        <w:rPr>
          <w:rFonts w:ascii="Arial" w:cs="Arial" w:eastAsia="Arial" w:hAnsi="Arial"/>
          <w:sz w:val="16"/>
          <w:szCs w:val="16"/>
          <w:color w:val="auto"/>
        </w:rPr>
      </w:pPr>
    </w:p>
    <w:p>
      <w:pPr>
        <w:ind w:left="460" w:right="180"/>
        <w:spacing w:after="0" w:line="261" w:lineRule="auto"/>
        <w:rPr>
          <w:rFonts w:ascii="Arial" w:cs="Arial" w:eastAsia="Arial" w:hAnsi="Arial"/>
          <w:sz w:val="16"/>
          <w:szCs w:val="16"/>
          <w:color w:val="auto"/>
        </w:rPr>
      </w:pPr>
      <w:r>
        <w:rPr>
          <w:rFonts w:ascii="Arial" w:cs="Arial" w:eastAsia="Arial" w:hAnsi="Arial"/>
          <w:sz w:val="18"/>
          <w:szCs w:val="18"/>
          <w:color w:val="auto"/>
        </w:rPr>
        <w:t>consolidating or amalgamating with, or merging with or into, or transferring all or substantially all its assets to, another entity (which will be the Affected Party) where such action does not constitute an event described in Section 5(a)(viii);</w:t>
      </w:r>
    </w:p>
    <w:p>
      <w:pPr>
        <w:spacing w:after="0" w:line="56" w:lineRule="exact"/>
        <w:rPr>
          <w:rFonts w:ascii="Arial" w:cs="Arial" w:eastAsia="Arial" w:hAnsi="Arial"/>
          <w:sz w:val="16"/>
          <w:szCs w:val="16"/>
          <w:color w:val="auto"/>
        </w:rPr>
      </w:pPr>
    </w:p>
    <w:p>
      <w:pPr>
        <w:ind w:left="460" w:right="20" w:firstLine="4"/>
        <w:spacing w:after="0" w:line="283" w:lineRule="auto"/>
        <w:tabs>
          <w:tab w:leader="none" w:pos="757" w:val="left"/>
        </w:tabs>
        <w:numPr>
          <w:ilvl w:val="0"/>
          <w:numId w:val="4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Credit Event Upon Merger. </w:t>
      </w:r>
      <w:r>
        <w:rPr>
          <w:rFonts w:ascii="Arial" w:cs="Arial" w:eastAsia="Arial" w:hAnsi="Arial"/>
          <w:sz w:val="16"/>
          <w:szCs w:val="16"/>
          <w:color w:val="auto"/>
        </w:rPr>
        <w:t>If “Credit Event Upon Merger” is specified in the Schedule as applying to the party, such party (“X”), any Credit Support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Provider of X or any applicable Specified Entity of X consolidates or amalgamates with, or merges with or into, or transfers all or substantially all its assets to, another entity and such action does not constitute an event described in Section 5(a)(viii) but the creditworthiness of the resulting, surviving or transferee entity is materially weaker than that of X, such Credit Support Provider or such Specified Entity, as the case may be, immediately prior</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to such action (and, in such event, X or its successor or transferee, as appropriate, will be the Affected Party); or</w:t>
      </w:r>
    </w:p>
    <w:p>
      <w:pPr>
        <w:spacing w:after="0" w:line="83" w:lineRule="exact"/>
        <w:rPr>
          <w:rFonts w:ascii="Arial" w:cs="Arial" w:eastAsia="Arial" w:hAnsi="Arial"/>
          <w:sz w:val="16"/>
          <w:szCs w:val="16"/>
          <w:color w:val="auto"/>
        </w:rPr>
      </w:pPr>
    </w:p>
    <w:p>
      <w:pPr>
        <w:ind w:left="460" w:right="140" w:firstLine="4"/>
        <w:spacing w:after="0" w:line="259" w:lineRule="auto"/>
        <w:tabs>
          <w:tab w:leader="none" w:pos="709" w:val="left"/>
        </w:tabs>
        <w:numPr>
          <w:ilvl w:val="0"/>
          <w:numId w:val="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Termination Event. </w:t>
      </w:r>
      <w:r>
        <w:rPr>
          <w:rFonts w:ascii="Arial" w:cs="Arial" w:eastAsia="Arial" w:hAnsi="Arial"/>
          <w:sz w:val="18"/>
          <w:szCs w:val="18"/>
          <w:color w:val="auto"/>
        </w:rPr>
        <w:t>If any “Additional Termination Event” is specified in the Schedule or any Confirmation as applying, the occurrence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event (and, in such event, the Affected Party or Affected Parties shall be as specified for such Additional Termination Event in the Schedule or such Confirmation).</w:t>
      </w:r>
    </w:p>
    <w:p>
      <w:pPr>
        <w:spacing w:after="0" w:line="140" w:lineRule="exact"/>
        <w:rPr>
          <w:sz w:val="20"/>
          <w:szCs w:val="20"/>
          <w:color w:val="auto"/>
        </w:rPr>
      </w:pPr>
    </w:p>
    <w:p>
      <w:pPr>
        <w:ind w:right="80" w:firstLine="8"/>
        <w:spacing w:after="0" w:line="268" w:lineRule="auto"/>
        <w:tabs>
          <w:tab w:leader="none" w:pos="239"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Event of Default and Illegality. </w:t>
      </w:r>
      <w:r>
        <w:rPr>
          <w:rFonts w:ascii="Arial" w:cs="Arial" w:eastAsia="Arial" w:hAnsi="Arial"/>
          <w:sz w:val="18"/>
          <w:szCs w:val="18"/>
          <w:color w:val="auto"/>
        </w:rPr>
        <w:t>If an event or circumstance which would otherwise constitute or give rise to an Event of Default also constitutes an Illegality,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will be treated as an Illegality and will not constitute an Event of Default.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46" w:name="page47"/>
    <w:bookmarkEnd w:id="46"/>
    <w:p>
      <w:pPr>
        <w:ind w:left="460" w:hanging="452"/>
        <w:spacing w:after="0"/>
        <w:tabs>
          <w:tab w:leader="none" w:pos="46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Early Termination</w:t>
      </w:r>
    </w:p>
    <w:p>
      <w:pPr>
        <w:spacing w:after="0" w:line="96" w:lineRule="exact"/>
        <w:rPr>
          <w:sz w:val="20"/>
          <w:szCs w:val="20"/>
          <w:color w:val="auto"/>
        </w:rPr>
      </w:pPr>
    </w:p>
    <w:p>
      <w:pPr>
        <w:ind w:firstLine="8"/>
        <w:spacing w:after="0" w:line="283" w:lineRule="auto"/>
        <w:tabs>
          <w:tab w:leader="none" w:pos="239" w:val="left"/>
        </w:tabs>
        <w:numPr>
          <w:ilvl w:val="0"/>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Right to Terminate Following Event of Default. </w:t>
      </w:r>
      <w:r>
        <w:rPr>
          <w:rFonts w:ascii="Arial" w:cs="Arial" w:eastAsia="Arial" w:hAnsi="Arial"/>
          <w:sz w:val="16"/>
          <w:szCs w:val="16"/>
          <w:color w:val="auto"/>
        </w:rPr>
        <w:t>If at any time an Event of Default with respect to a party (the “Defaulting Party”) has occurred and is 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continuing, the other party (the ”Non-defaulting Party”) may, by not more than 20 days notice to the Defaulting Party specifying the relevant Event of Default, designate a day not earlier than the day such notice is effective as an Early Termination Date in respect of all outstanding Transactions. If, however, “Automatic Early Termination” is specified in the Schedule as applying to a party, then an Early Termination Date in respect of all outstanding Transactions will occur immediately upon the occurrence with respect to such party of an Event of Default specified in Section 5(a)(vii)(l), (3), (5)</w:t>
      </w:r>
      <w:r>
        <w:rPr>
          <w:rFonts w:ascii="Arial" w:cs="Arial" w:eastAsia="Arial" w:hAnsi="Arial"/>
          <w:sz w:val="16"/>
          <w:szCs w:val="16"/>
          <w:i w:val="1"/>
          <w:iCs w:val="1"/>
          <w:color w:val="auto"/>
        </w:rPr>
        <w:t>,</w:t>
      </w:r>
      <w:r>
        <w:rPr>
          <w:rFonts w:ascii="Arial" w:cs="Arial" w:eastAsia="Arial" w:hAnsi="Arial"/>
          <w:sz w:val="16"/>
          <w:szCs w:val="16"/>
          <w:color w:val="auto"/>
        </w:rPr>
        <w:t xml:space="preserve"> (6) or, to the extent analogous thereto,</w:t>
      </w:r>
    </w:p>
    <w:p>
      <w:pPr>
        <w:spacing w:after="0" w:line="2" w:lineRule="exact"/>
        <w:rPr>
          <w:rFonts w:ascii="Arial" w:cs="Arial" w:eastAsia="Arial" w:hAnsi="Arial"/>
          <w:sz w:val="16"/>
          <w:szCs w:val="16"/>
          <w:color w:val="auto"/>
        </w:rPr>
      </w:pPr>
    </w:p>
    <w:p>
      <w:pPr>
        <w:ind w:right="1640"/>
        <w:spacing w:after="0" w:line="323" w:lineRule="auto"/>
        <w:rPr>
          <w:rFonts w:ascii="Arial" w:cs="Arial" w:eastAsia="Arial" w:hAnsi="Arial"/>
          <w:sz w:val="16"/>
          <w:szCs w:val="16"/>
          <w:color w:val="auto"/>
        </w:rPr>
      </w:pPr>
      <w:r>
        <w:rPr>
          <w:rFonts w:ascii="Arial" w:cs="Arial" w:eastAsia="Arial" w:hAnsi="Arial"/>
          <w:sz w:val="16"/>
          <w:szCs w:val="16"/>
          <w:color w:val="auto"/>
        </w:rPr>
        <w:t>(8), and as of the time immediately preceding the institution of the relevant proceeding or the presentation of the relevant petition upon the occurrence with respect to such party of an Event of Default specified in Section 5(a)(vii)(4) or, to the extent analogous thereto, (8).</w:t>
      </w:r>
    </w:p>
    <w:p>
      <w:pPr>
        <w:spacing w:after="0" w:line="133" w:lineRule="exact"/>
        <w:rPr>
          <w:rFonts w:ascii="Arial" w:cs="Arial" w:eastAsia="Arial" w:hAnsi="Arial"/>
          <w:sz w:val="16"/>
          <w:szCs w:val="16"/>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Right to Terminate Following Termination Event.</w:t>
      </w:r>
    </w:p>
    <w:p>
      <w:pPr>
        <w:spacing w:after="0" w:line="90" w:lineRule="exact"/>
        <w:rPr>
          <w:rFonts w:ascii="Arial" w:cs="Arial" w:eastAsia="Arial" w:hAnsi="Arial"/>
          <w:sz w:val="18"/>
          <w:szCs w:val="18"/>
          <w:color w:val="auto"/>
        </w:rPr>
      </w:pPr>
    </w:p>
    <w:p>
      <w:pPr>
        <w:ind w:left="460" w:firstLine="4"/>
        <w:spacing w:after="0" w:line="259" w:lineRule="auto"/>
        <w:tabs>
          <w:tab w:leader="none" w:pos="670" w:val="left"/>
        </w:tabs>
        <w:numPr>
          <w:ilvl w:val="1"/>
          <w:numId w:val="43"/>
        </w:numPr>
        <w:rPr>
          <w:rFonts w:ascii="Arial" w:cs="Arial" w:eastAsia="Arial" w:hAnsi="Arial"/>
          <w:sz w:val="18"/>
          <w:szCs w:val="18"/>
          <w:color w:val="auto"/>
        </w:rPr>
      </w:pPr>
      <w:r>
        <w:rPr>
          <w:rFonts w:ascii="Arial" w:cs="Arial" w:eastAsia="Arial" w:hAnsi="Arial"/>
          <w:sz w:val="18"/>
          <w:szCs w:val="18"/>
          <w:b w:val="1"/>
          <w:bCs w:val="1"/>
          <w:i w:val="1"/>
          <w:iCs w:val="1"/>
          <w:color w:val="auto"/>
        </w:rPr>
        <w:t>Notice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a Termination Event occurs, an Affected Party will, promptly upon becoming aware of it, notify the other party, specifying the nature of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Event and each Affected Transaction and will also give such other information about that Termination Event as the other party may reasonably require.</w:t>
      </w:r>
    </w:p>
    <w:p>
      <w:pPr>
        <w:spacing w:after="0" w:line="59" w:lineRule="exact"/>
        <w:rPr>
          <w:rFonts w:ascii="Arial" w:cs="Arial" w:eastAsia="Arial" w:hAnsi="Arial"/>
          <w:sz w:val="18"/>
          <w:szCs w:val="18"/>
          <w:color w:val="auto"/>
        </w:rPr>
      </w:pPr>
    </w:p>
    <w:p>
      <w:pPr>
        <w:ind w:left="460" w:right="140" w:firstLine="4"/>
        <w:spacing w:after="0" w:line="286" w:lineRule="auto"/>
        <w:tabs>
          <w:tab w:leader="none" w:pos="718" w:val="left"/>
        </w:tabs>
        <w:numPr>
          <w:ilvl w:val="1"/>
          <w:numId w:val="4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Transfer to Avoid Termination Event. </w:t>
      </w:r>
      <w:r>
        <w:rPr>
          <w:rFonts w:ascii="Arial" w:cs="Arial" w:eastAsia="Arial" w:hAnsi="Arial"/>
          <w:sz w:val="16"/>
          <w:szCs w:val="16"/>
          <w:color w:val="auto"/>
        </w:rPr>
        <w:t>If either an Illegality under Section 5(b)(i)(l) or a Tax Event occurs and there is only one Affected Party, or if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Event Upon Merger occurs and the Burdened Party is the Affected Party, the Affected Party will, as a condition to its right to designate</w:t>
      </w:r>
    </w:p>
    <w:p>
      <w:pPr>
        <w:ind w:left="460" w:right="260"/>
        <w:spacing w:after="0" w:line="302" w:lineRule="auto"/>
        <w:rPr>
          <w:rFonts w:ascii="Arial" w:cs="Arial" w:eastAsia="Arial" w:hAnsi="Arial"/>
          <w:sz w:val="16"/>
          <w:szCs w:val="16"/>
          <w:color w:val="auto"/>
        </w:rPr>
      </w:pPr>
      <w:r>
        <w:rPr>
          <w:rFonts w:ascii="Arial" w:cs="Arial" w:eastAsia="Arial" w:hAnsi="Arial"/>
          <w:sz w:val="16"/>
          <w:szCs w:val="16"/>
          <w:color w:val="auto"/>
        </w:rPr>
        <w:t>an Early Termination Date under Section 6(b)(iv), use all reasonable efforts (which will not require such party to incur a loss, excluding immaterial, incidental expenses) to transfer within 20 days after it gives notice under Section 6(b)(i) all its rights and obligations under this Agreement in respect of the Affected Transactions to another of its Offices or Affiliates so that such Termination Event ceases to exist.</w:t>
      </w:r>
    </w:p>
    <w:p>
      <w:pPr>
        <w:spacing w:after="0" w:line="28"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If the Affected Party is not able to make such a transfer it will give notice to the other party to that effect within such 20 day period, whereupon the other party may effect such a transfer within 30 days after the notice is given under Section 6(b)(i).</w:t>
      </w:r>
    </w:p>
    <w:p>
      <w:pPr>
        <w:spacing w:after="0" w:line="51" w:lineRule="exact"/>
        <w:rPr>
          <w:sz w:val="20"/>
          <w:szCs w:val="20"/>
          <w:color w:val="auto"/>
        </w:rPr>
      </w:pPr>
    </w:p>
    <w:p>
      <w:pPr>
        <w:ind w:left="460" w:right="60"/>
        <w:spacing w:after="0" w:line="332" w:lineRule="auto"/>
        <w:rPr>
          <w:sz w:val="20"/>
          <w:szCs w:val="20"/>
          <w:color w:val="auto"/>
        </w:rPr>
      </w:pPr>
      <w:r>
        <w:rPr>
          <w:rFonts w:ascii="Arial" w:cs="Arial" w:eastAsia="Arial" w:hAnsi="Arial"/>
          <w:sz w:val="16"/>
          <w:szCs w:val="16"/>
          <w:color w:val="auto"/>
        </w:rPr>
        <w:t>Any such transfer by a party under this Section 6(b)(ii) will be subject to and conditional upon the prior written consent of the other party, which consent will not be withheld if such other party’s policies in effect at such time would permit it to enter into transactions with the transferee on the terms proposed.</w:t>
      </w:r>
    </w:p>
    <w:p>
      <w:pPr>
        <w:spacing w:after="0" w:line="4" w:lineRule="exact"/>
        <w:rPr>
          <w:sz w:val="20"/>
          <w:szCs w:val="20"/>
          <w:color w:val="auto"/>
        </w:rPr>
      </w:pPr>
    </w:p>
    <w:p>
      <w:pPr>
        <w:ind w:left="460" w:right="620" w:firstLine="4"/>
        <w:spacing w:after="0" w:line="357" w:lineRule="auto"/>
        <w:tabs>
          <w:tab w:leader="none" w:pos="767" w:val="left"/>
        </w:tabs>
        <w:numPr>
          <w:ilvl w:val="0"/>
          <w:numId w:val="44"/>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Two Affected Parties. </w:t>
      </w:r>
      <w:r>
        <w:rPr>
          <w:rFonts w:ascii="Arial" w:cs="Arial" w:eastAsia="Arial" w:hAnsi="Arial"/>
          <w:sz w:val="15"/>
          <w:szCs w:val="15"/>
          <w:color w:val="auto"/>
        </w:rPr>
        <w:t>If an Illegality under Section 5(b)(i)( 1) or a Tax Event occurs and there are two Affected Parties, each party will use all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reasonable efforts to reach agreement within 30 days after notice thereof is given under Section 6(b)(i) on action to avoid that Termination Event.</w:t>
      </w:r>
    </w:p>
    <w:p>
      <w:pPr>
        <w:ind w:left="760" w:hanging="296"/>
        <w:spacing w:after="0"/>
        <w:tabs>
          <w:tab w:leader="none" w:pos="760" w:val="left"/>
        </w:tabs>
        <w:numPr>
          <w:ilvl w:val="0"/>
          <w:numId w:val="4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Right to Terminate. </w:t>
      </w:r>
      <w:r>
        <w:rPr>
          <w:rFonts w:ascii="Arial" w:cs="Arial" w:eastAsia="Arial" w:hAnsi="Arial"/>
          <w:sz w:val="18"/>
          <w:szCs w:val="18"/>
          <w:color w:val="auto"/>
        </w:rPr>
        <w:t>If:—</w:t>
      </w:r>
    </w:p>
    <w:p>
      <w:pPr>
        <w:spacing w:after="0" w:line="90" w:lineRule="exact"/>
        <w:rPr>
          <w:rFonts w:ascii="Arial" w:cs="Arial" w:eastAsia="Arial" w:hAnsi="Arial"/>
          <w:sz w:val="18"/>
          <w:szCs w:val="18"/>
          <w:color w:val="auto"/>
        </w:rPr>
      </w:pPr>
    </w:p>
    <w:p>
      <w:pPr>
        <w:ind w:left="920" w:right="280" w:firstLine="1"/>
        <w:spacing w:after="0" w:line="268" w:lineRule="auto"/>
        <w:tabs>
          <w:tab w:leader="none" w:pos="1169" w:val="left"/>
        </w:tabs>
        <w:numPr>
          <w:ilvl w:val="1"/>
          <w:numId w:val="44"/>
        </w:numPr>
        <w:rPr>
          <w:rFonts w:ascii="Arial" w:cs="Arial" w:eastAsia="Arial" w:hAnsi="Arial"/>
          <w:sz w:val="18"/>
          <w:szCs w:val="18"/>
          <w:color w:val="auto"/>
        </w:rPr>
      </w:pPr>
      <w:r>
        <w:rPr>
          <w:rFonts w:ascii="Arial" w:cs="Arial" w:eastAsia="Arial" w:hAnsi="Arial"/>
          <w:sz w:val="18"/>
          <w:szCs w:val="18"/>
          <w:color w:val="auto"/>
        </w:rPr>
        <w:t>a transfer under Section 6(b)(ii) or an agreement under Section 6(b)(iii), as the case may be, has not been effected with respect to all Affected Transactions within 30 days after an Affected Party gives notice under Section 6(b)(i); or</w:t>
      </w:r>
    </w:p>
    <w:p>
      <w:pPr>
        <w:spacing w:after="0" w:line="50" w:lineRule="exact"/>
        <w:rPr>
          <w:rFonts w:ascii="Arial" w:cs="Arial" w:eastAsia="Arial" w:hAnsi="Arial"/>
          <w:sz w:val="18"/>
          <w:szCs w:val="18"/>
          <w:color w:val="auto"/>
        </w:rPr>
      </w:pPr>
    </w:p>
    <w:p>
      <w:pPr>
        <w:ind w:left="920" w:right="400" w:firstLine="1"/>
        <w:spacing w:after="0" w:line="268" w:lineRule="auto"/>
        <w:tabs>
          <w:tab w:leader="none" w:pos="1169" w:val="left"/>
        </w:tabs>
        <w:numPr>
          <w:ilvl w:val="1"/>
          <w:numId w:val="44"/>
        </w:numPr>
        <w:rPr>
          <w:rFonts w:ascii="Arial" w:cs="Arial" w:eastAsia="Arial" w:hAnsi="Arial"/>
          <w:sz w:val="18"/>
          <w:szCs w:val="18"/>
          <w:color w:val="auto"/>
        </w:rPr>
      </w:pPr>
      <w:r>
        <w:rPr>
          <w:rFonts w:ascii="Arial" w:cs="Arial" w:eastAsia="Arial" w:hAnsi="Arial"/>
          <w:sz w:val="18"/>
          <w:szCs w:val="18"/>
          <w:color w:val="auto"/>
        </w:rPr>
        <w:t>an Illegality under Section 5(b)(i)(2), a Credit Event Upon Merger or an Additional Termination Event occurs, or a Tax Event Upon Merger occurs and the Burdened Party is not the Affected Party,</w:t>
      </w:r>
    </w:p>
    <w:p>
      <w:pPr>
        <w:spacing w:after="0" w:line="51" w:lineRule="exact"/>
        <w:rPr>
          <w:sz w:val="20"/>
          <w:szCs w:val="20"/>
          <w:color w:val="auto"/>
        </w:rPr>
      </w:pPr>
    </w:p>
    <w:p>
      <w:pPr>
        <w:ind w:left="460" w:right="320"/>
        <w:spacing w:after="0" w:line="286" w:lineRule="auto"/>
        <w:rPr>
          <w:sz w:val="20"/>
          <w:szCs w:val="20"/>
          <w:color w:val="auto"/>
        </w:rPr>
      </w:pPr>
      <w:r>
        <w:rPr>
          <w:rFonts w:ascii="Arial" w:cs="Arial" w:eastAsia="Arial" w:hAnsi="Arial"/>
          <w:sz w:val="16"/>
          <w:szCs w:val="16"/>
          <w:color w:val="auto"/>
        </w:rPr>
        <w:t>either party in the case of an Illegality, the Burdened Party in the case of a Tax Event Upon Merger, any Affected Party in the case of a Tax Event or an Additional Termination Event if there is more than one Affected Party, or the party which is not the Affected Party in the case of a Credit Event</w:t>
      </w:r>
    </w:p>
    <w:p>
      <w:pPr>
        <w:ind w:left="460" w:right="120"/>
        <w:spacing w:after="0" w:line="261" w:lineRule="auto"/>
        <w:rPr>
          <w:sz w:val="20"/>
          <w:szCs w:val="20"/>
          <w:color w:val="auto"/>
        </w:rPr>
      </w:pPr>
      <w:r>
        <w:rPr>
          <w:rFonts w:ascii="Arial" w:cs="Arial" w:eastAsia="Arial" w:hAnsi="Arial"/>
          <w:sz w:val="18"/>
          <w:szCs w:val="18"/>
          <w:color w:val="auto"/>
        </w:rPr>
        <w:t>Upon Merger or an Additional Termination Event if there is only one Affected Party may, by not more than 20 days notice to the other party and provided that the relevant Termination Event is then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47" w:name="page48"/>
    <w:bookmarkEnd w:id="47"/>
    <w:p>
      <w:pPr>
        <w:ind w:left="45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continuing, designate a day not earlier than the day such notice is effective as an Early Termination Date in respect of all Affected Transactions.</w:t>
      </w:r>
    </w:p>
    <w:p>
      <w:pPr>
        <w:spacing w:after="0" w:line="194" w:lineRule="exact"/>
        <w:rPr>
          <w:sz w:val="20"/>
          <w:szCs w:val="20"/>
          <w:color w:val="auto"/>
        </w:rPr>
      </w:pPr>
    </w:p>
    <w:p>
      <w:pPr>
        <w:ind w:left="232" w:hanging="232"/>
        <w:spacing w:after="0"/>
        <w:tabs>
          <w:tab w:leader="none" w:pos="232"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Effect of Designation.</w:t>
      </w:r>
    </w:p>
    <w:p>
      <w:pPr>
        <w:spacing w:after="0" w:line="90" w:lineRule="exact"/>
        <w:rPr>
          <w:rFonts w:ascii="Arial" w:cs="Arial" w:eastAsia="Arial" w:hAnsi="Arial"/>
          <w:sz w:val="18"/>
          <w:szCs w:val="18"/>
          <w:color w:val="auto"/>
        </w:rPr>
      </w:pPr>
    </w:p>
    <w:p>
      <w:pPr>
        <w:ind w:left="452" w:right="400" w:firstLine="4"/>
        <w:spacing w:after="0" w:line="268" w:lineRule="auto"/>
        <w:tabs>
          <w:tab w:leader="none" w:pos="662" w:val="left"/>
        </w:tabs>
        <w:numPr>
          <w:ilvl w:val="1"/>
          <w:numId w:val="45"/>
        </w:numPr>
        <w:rPr>
          <w:rFonts w:ascii="Arial" w:cs="Arial" w:eastAsia="Arial" w:hAnsi="Arial"/>
          <w:sz w:val="18"/>
          <w:szCs w:val="18"/>
          <w:color w:val="auto"/>
        </w:rPr>
      </w:pPr>
      <w:r>
        <w:rPr>
          <w:rFonts w:ascii="Arial" w:cs="Arial" w:eastAsia="Arial" w:hAnsi="Arial"/>
          <w:sz w:val="18"/>
          <w:szCs w:val="18"/>
          <w:color w:val="auto"/>
        </w:rPr>
        <w:t>If notice designating an Early Termination Date is given under Section 6(a) or (b), the Early Termination Date will occur on the date so designated, whether or not the relevant Event of Default or Termination Event is then continuing.</w:t>
      </w:r>
    </w:p>
    <w:p>
      <w:pPr>
        <w:spacing w:after="0" w:line="50" w:lineRule="exact"/>
        <w:rPr>
          <w:rFonts w:ascii="Arial" w:cs="Arial" w:eastAsia="Arial" w:hAnsi="Arial"/>
          <w:sz w:val="18"/>
          <w:szCs w:val="18"/>
          <w:color w:val="auto"/>
        </w:rPr>
      </w:pPr>
    </w:p>
    <w:p>
      <w:pPr>
        <w:ind w:left="452" w:right="60" w:firstLine="4"/>
        <w:spacing w:after="0" w:line="259" w:lineRule="auto"/>
        <w:tabs>
          <w:tab w:leader="none" w:pos="711" w:val="left"/>
        </w:tabs>
        <w:numPr>
          <w:ilvl w:val="1"/>
          <w:numId w:val="45"/>
        </w:numPr>
        <w:rPr>
          <w:rFonts w:ascii="Arial" w:cs="Arial" w:eastAsia="Arial" w:hAnsi="Arial"/>
          <w:sz w:val="18"/>
          <w:szCs w:val="18"/>
          <w:color w:val="auto"/>
        </w:rPr>
      </w:pPr>
      <w:r>
        <w:rPr>
          <w:rFonts w:ascii="Arial" w:cs="Arial" w:eastAsia="Arial" w:hAnsi="Arial"/>
          <w:sz w:val="18"/>
          <w:szCs w:val="18"/>
          <w:color w:val="auto"/>
        </w:rPr>
        <w:t>Upon the occurrence or effective designation of an Early Termination Date, no further payments or deliveries under Section 2(a)(i) or 2(e) in respect of the Terminated Transactions will be required to be made, but without prejudice to the other provisions of this Agreement. The amount, if any, payable in respect of an Early Termination Date shall be determined pursuant to Section 6(e).</w:t>
      </w:r>
    </w:p>
    <w:p>
      <w:pPr>
        <w:spacing w:after="0" w:line="140" w:lineRule="exact"/>
        <w:rPr>
          <w:rFonts w:ascii="Arial" w:cs="Arial" w:eastAsia="Arial" w:hAnsi="Arial"/>
          <w:sz w:val="18"/>
          <w:szCs w:val="18"/>
          <w:color w:val="auto"/>
        </w:rPr>
      </w:pPr>
    </w:p>
    <w:p>
      <w:pPr>
        <w:ind w:left="252" w:hanging="252"/>
        <w:spacing w:after="0"/>
        <w:tabs>
          <w:tab w:leader="none" w:pos="252" w:val="left"/>
        </w:tabs>
        <w:numPr>
          <w:ilvl w:val="0"/>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Calculations.</w:t>
      </w:r>
    </w:p>
    <w:p>
      <w:pPr>
        <w:spacing w:after="0" w:line="90" w:lineRule="exact"/>
        <w:rPr>
          <w:rFonts w:ascii="Arial" w:cs="Arial" w:eastAsia="Arial" w:hAnsi="Arial"/>
          <w:sz w:val="18"/>
          <w:szCs w:val="18"/>
          <w:color w:val="auto"/>
        </w:rPr>
      </w:pPr>
    </w:p>
    <w:p>
      <w:pPr>
        <w:ind w:left="452" w:right="120" w:firstLine="4"/>
        <w:spacing w:after="0" w:line="283" w:lineRule="auto"/>
        <w:tabs>
          <w:tab w:leader="none" w:pos="662" w:val="left"/>
        </w:tabs>
        <w:numPr>
          <w:ilvl w:val="1"/>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Statement. </w:t>
      </w:r>
      <w:r>
        <w:rPr>
          <w:rFonts w:ascii="Arial" w:cs="Arial" w:eastAsia="Arial" w:hAnsi="Arial"/>
          <w:sz w:val="16"/>
          <w:szCs w:val="16"/>
          <w:color w:val="auto"/>
        </w:rPr>
        <w:t>On or as soon as reasonably practicable following the occurrence of an Early Termination Date, each party will make the calculations on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if any, contemplated by Section 6(e) and will provide to the other party a statement (1) showing, in reasonable detail, such calculations (including all relevant quotations and specifying any amount payable under Section 6(e)) and (2) giving details of the relevant account to which any amount payable to it is to be paid. In the absence of written confirmation from the source of a quotation obtained in determining a Market</w:t>
      </w:r>
    </w:p>
    <w:p>
      <w:pPr>
        <w:spacing w:after="0" w:line="2"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color w:val="auto"/>
        </w:rPr>
        <w:t>Quotation, the records of the party obtaining such quotation will be conclusive evidence of the existence and accuracy of such quotation.</w:t>
      </w:r>
    </w:p>
    <w:p>
      <w:pPr>
        <w:spacing w:after="0" w:line="83" w:lineRule="exact"/>
        <w:rPr>
          <w:rFonts w:ascii="Arial" w:cs="Arial" w:eastAsia="Arial" w:hAnsi="Arial"/>
          <w:sz w:val="16"/>
          <w:szCs w:val="16"/>
          <w:color w:val="auto"/>
        </w:rPr>
      </w:pPr>
    </w:p>
    <w:p>
      <w:pPr>
        <w:ind w:left="452" w:firstLine="4"/>
        <w:spacing w:after="0" w:line="283" w:lineRule="auto"/>
        <w:tabs>
          <w:tab w:leader="none" w:pos="710" w:val="left"/>
        </w:tabs>
        <w:numPr>
          <w:ilvl w:val="1"/>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Date. </w:t>
      </w:r>
      <w:r>
        <w:rPr>
          <w:rFonts w:ascii="Arial" w:cs="Arial" w:eastAsia="Arial" w:hAnsi="Arial"/>
          <w:sz w:val="16"/>
          <w:szCs w:val="16"/>
          <w:color w:val="auto"/>
        </w:rPr>
        <w:t>An amount calculated as being due in respect of any Early Termination Date under Section 6(e) will be payable on the day that notice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amount payable is effective (in the case of an Early Termination Date which is designated or occurs as a result of an Event of Default) and on the day which is two Local Business Days after the day on which notice of the amount payable is effective (in the case of an Early Termination Date which is designated as a result of a Termination Event). Such amount will be paid together with (to the extent permitted under applicable law)</w:t>
      </w:r>
    </w:p>
    <w:p>
      <w:pPr>
        <w:spacing w:after="0" w:line="2" w:lineRule="exact"/>
        <w:rPr>
          <w:rFonts w:ascii="Arial" w:cs="Arial" w:eastAsia="Arial" w:hAnsi="Arial"/>
          <w:sz w:val="16"/>
          <w:szCs w:val="16"/>
          <w:color w:val="auto"/>
        </w:rPr>
      </w:pPr>
    </w:p>
    <w:p>
      <w:pPr>
        <w:ind w:left="452"/>
        <w:spacing w:after="0" w:line="281" w:lineRule="auto"/>
        <w:rPr>
          <w:rFonts w:ascii="Arial" w:cs="Arial" w:eastAsia="Arial" w:hAnsi="Arial"/>
          <w:sz w:val="16"/>
          <w:szCs w:val="16"/>
          <w:color w:val="auto"/>
        </w:rPr>
      </w:pPr>
      <w:r>
        <w:rPr>
          <w:rFonts w:ascii="Arial" w:cs="Arial" w:eastAsia="Arial" w:hAnsi="Arial"/>
          <w:sz w:val="16"/>
          <w:szCs w:val="16"/>
          <w:color w:val="auto"/>
        </w:rPr>
        <w:t>interest thereon (before as well as after judgment) in the Termination Currency, from (and including) the relevant Early Termination Date to (but excluding) the date such amount is paid, at the Applicable Rate. Such interest will be calculated on the basis of daily compounding and the actual</w:t>
      </w:r>
    </w:p>
    <w:p>
      <w:pPr>
        <w:spacing w:after="0" w:line="1"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color w:val="auto"/>
        </w:rPr>
        <w:t>number of days elapsed.</w:t>
      </w:r>
    </w:p>
    <w:p>
      <w:pPr>
        <w:spacing w:after="0" w:line="164" w:lineRule="exact"/>
        <w:rPr>
          <w:rFonts w:ascii="Arial" w:cs="Arial" w:eastAsia="Arial" w:hAnsi="Arial"/>
          <w:sz w:val="16"/>
          <w:szCs w:val="16"/>
          <w:color w:val="auto"/>
        </w:rPr>
      </w:pPr>
    </w:p>
    <w:p>
      <w:pPr>
        <w:ind w:left="-8" w:right="80" w:firstLine="8"/>
        <w:spacing w:after="0" w:line="298" w:lineRule="auto"/>
        <w:tabs>
          <w:tab w:leader="none" w:pos="231" w:val="left"/>
        </w:tabs>
        <w:numPr>
          <w:ilvl w:val="0"/>
          <w:numId w:val="4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Payments on Early Termination. </w:t>
      </w:r>
      <w:r>
        <w:rPr>
          <w:rFonts w:ascii="Arial" w:cs="Arial" w:eastAsia="Arial" w:hAnsi="Arial"/>
          <w:sz w:val="16"/>
          <w:szCs w:val="16"/>
          <w:color w:val="auto"/>
        </w:rPr>
        <w:t>If an Early Termination Date occurs, the following provisions shall apply based on the parties’ election in the Schedule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measure, either ”Market Quotation” or ”Loss”, and a payment method, either the “First Method” or the “Second Method”. If the parties fail to designate a payment measure or payment method in the Schedule, it will be deemed that ”Market Quotation” or the ”Second Method”, as the case may be, shall apply. The amount, if any, payable in respect of an Early Termination Date and determined pursuant to this Section will be subject to any Set-off.</w:t>
      </w:r>
    </w:p>
    <w:p>
      <w:pPr>
        <w:spacing w:after="0" w:line="31" w:lineRule="exact"/>
        <w:rPr>
          <w:rFonts w:ascii="Arial" w:cs="Arial" w:eastAsia="Arial" w:hAnsi="Arial"/>
          <w:sz w:val="16"/>
          <w:szCs w:val="16"/>
          <w:color w:val="auto"/>
        </w:rPr>
      </w:pPr>
    </w:p>
    <w:p>
      <w:pPr>
        <w:ind w:left="672" w:hanging="216"/>
        <w:spacing w:after="0"/>
        <w:tabs>
          <w:tab w:leader="none" w:pos="672" w:val="left"/>
        </w:tabs>
        <w:numPr>
          <w:ilvl w:val="1"/>
          <w:numId w:val="4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If the Early Termination Date results from an Event of Default:—</w:t>
      </w:r>
    </w:p>
    <w:p>
      <w:pPr>
        <w:spacing w:after="0" w:line="90" w:lineRule="exact"/>
        <w:rPr>
          <w:rFonts w:ascii="Arial" w:cs="Arial" w:eastAsia="Arial" w:hAnsi="Arial"/>
          <w:sz w:val="18"/>
          <w:szCs w:val="18"/>
          <w:color w:val="auto"/>
        </w:rPr>
      </w:pPr>
    </w:p>
    <w:p>
      <w:pPr>
        <w:ind w:left="912" w:right="160" w:firstLine="1"/>
        <w:spacing w:after="0" w:line="256" w:lineRule="auto"/>
        <w:tabs>
          <w:tab w:leader="none" w:pos="1160" w:val="left"/>
        </w:tabs>
        <w:numPr>
          <w:ilvl w:val="2"/>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First Method and Market Quotation. </w:t>
      </w:r>
      <w:r>
        <w:rPr>
          <w:rFonts w:ascii="Arial" w:cs="Arial" w:eastAsia="Arial" w:hAnsi="Arial"/>
          <w:sz w:val="18"/>
          <w:szCs w:val="18"/>
          <w:color w:val="auto"/>
        </w:rPr>
        <w:t>If the First Method and Market Quotation apply, the Defaulting Party will pay to the Non-defaulting Party</w:t>
      </w:r>
      <w:r>
        <w:rPr>
          <w:rFonts w:ascii="Arial" w:cs="Arial" w:eastAsia="Arial" w:hAnsi="Arial"/>
          <w:sz w:val="18"/>
          <w:szCs w:val="18"/>
          <w:i w:val="1"/>
          <w:iCs w:val="1"/>
          <w:color w:val="auto"/>
        </w:rPr>
        <w:t xml:space="preserve"> </w:t>
      </w:r>
      <w:r>
        <w:rPr>
          <w:rFonts w:ascii="Arial" w:cs="Arial" w:eastAsia="Arial" w:hAnsi="Arial"/>
          <w:sz w:val="18"/>
          <w:szCs w:val="18"/>
          <w:color w:val="auto"/>
        </w:rPr>
        <w:t>the excess, if a positive number, of (A) the sum of the Settlement Amount (determined by the Non-defaulting Party) in respect of the Terminated Transactions and the Termination Currency Equivalent of the Unpaid Amounts owing to the Non-defaulting Party over (B) the Termination Currency Equivalent of the Unpaid Amounts owing to the Defaulting Party.</w:t>
      </w:r>
    </w:p>
    <w:p>
      <w:pPr>
        <w:spacing w:after="0" w:line="62" w:lineRule="exact"/>
        <w:rPr>
          <w:rFonts w:ascii="Arial" w:cs="Arial" w:eastAsia="Arial" w:hAnsi="Arial"/>
          <w:sz w:val="18"/>
          <w:szCs w:val="18"/>
          <w:color w:val="auto"/>
        </w:rPr>
      </w:pPr>
    </w:p>
    <w:p>
      <w:pPr>
        <w:ind w:left="912" w:right="240" w:firstLine="1"/>
        <w:spacing w:after="0" w:line="268" w:lineRule="auto"/>
        <w:tabs>
          <w:tab w:leader="none" w:pos="1160" w:val="left"/>
        </w:tabs>
        <w:numPr>
          <w:ilvl w:val="2"/>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First Method and Loss. </w:t>
      </w:r>
      <w:r>
        <w:rPr>
          <w:rFonts w:ascii="Arial" w:cs="Arial" w:eastAsia="Arial" w:hAnsi="Arial"/>
          <w:sz w:val="18"/>
          <w:szCs w:val="18"/>
          <w:color w:val="auto"/>
        </w:rPr>
        <w:t>If the First Method and Loss apply, the Defaulting Party will pay to the Non-defaulting Party, if a positive number, the</w:t>
      </w:r>
      <w:r>
        <w:rPr>
          <w:rFonts w:ascii="Arial" w:cs="Arial" w:eastAsia="Arial" w:hAnsi="Arial"/>
          <w:sz w:val="18"/>
          <w:szCs w:val="18"/>
          <w:i w:val="1"/>
          <w:iCs w:val="1"/>
          <w:color w:val="auto"/>
        </w:rPr>
        <w:t xml:space="preserve"> </w:t>
      </w:r>
      <w:r>
        <w:rPr>
          <w:rFonts w:ascii="Arial" w:cs="Arial" w:eastAsia="Arial" w:hAnsi="Arial"/>
          <w:sz w:val="18"/>
          <w:szCs w:val="18"/>
          <w:color w:val="auto"/>
        </w:rPr>
        <w:t>Non-defaulting Party’s Loss in respect of this Agreement.</w:t>
      </w:r>
    </w:p>
    <w:p>
      <w:pPr>
        <w:spacing w:after="0" w:line="50" w:lineRule="exact"/>
        <w:rPr>
          <w:rFonts w:ascii="Arial" w:cs="Arial" w:eastAsia="Arial" w:hAnsi="Arial"/>
          <w:sz w:val="18"/>
          <w:szCs w:val="18"/>
          <w:color w:val="auto"/>
        </w:rPr>
      </w:pPr>
    </w:p>
    <w:p>
      <w:pPr>
        <w:ind w:left="912" w:right="20" w:firstLine="1"/>
        <w:spacing w:after="0" w:line="268" w:lineRule="auto"/>
        <w:tabs>
          <w:tab w:leader="none" w:pos="1160" w:val="left"/>
        </w:tabs>
        <w:numPr>
          <w:ilvl w:val="2"/>
          <w:numId w:val="45"/>
        </w:numPr>
        <w:rPr>
          <w:rFonts w:ascii="Arial" w:cs="Arial" w:eastAsia="Arial" w:hAnsi="Arial"/>
          <w:sz w:val="18"/>
          <w:szCs w:val="18"/>
          <w:color w:val="auto"/>
        </w:rPr>
      </w:pPr>
      <w:r>
        <w:rPr>
          <w:rFonts w:ascii="Arial" w:cs="Arial" w:eastAsia="Arial" w:hAnsi="Arial"/>
          <w:sz w:val="18"/>
          <w:szCs w:val="18"/>
          <w:i w:val="1"/>
          <w:iCs w:val="1"/>
          <w:color w:val="auto"/>
        </w:rPr>
        <w:t xml:space="preserve">Second Method and Market Quotation. </w:t>
      </w:r>
      <w:r>
        <w:rPr>
          <w:rFonts w:ascii="Arial" w:cs="Arial" w:eastAsia="Arial" w:hAnsi="Arial"/>
          <w:sz w:val="18"/>
          <w:szCs w:val="18"/>
          <w:color w:val="auto"/>
        </w:rPr>
        <w:t>If the Second Method and Market Quotation apply, an amount will be payable equal to (A) the sum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Amount (determined by the</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80" w:right="259" w:bottom="1440" w:gutter="0" w:footer="0" w:header="0"/>
        </w:sectPr>
      </w:pPr>
    </w:p>
    <w:bookmarkStart w:id="48" w:name="page49"/>
    <w:bookmarkEnd w:id="48"/>
    <w:p>
      <w:pPr>
        <w:ind w:left="460" w:right="42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Non-defaulting Party) in respect of the Terminated Transactions and the Termination Currency Equivalent of the Unpaid Amounts owing to the Non-defaulting Party less (B) the Termination Currency Equivalent of the Unpaid Amounts owing to the Defaulting Party. If that amount is</w:t>
      </w:r>
    </w:p>
    <w:p>
      <w:pPr>
        <w:ind w:left="460" w:right="240"/>
        <w:spacing w:after="0" w:line="261" w:lineRule="auto"/>
        <w:rPr>
          <w:sz w:val="20"/>
          <w:szCs w:val="20"/>
          <w:color w:val="auto"/>
        </w:rPr>
      </w:pPr>
      <w:r>
        <w:rPr>
          <w:rFonts w:ascii="Arial" w:cs="Arial" w:eastAsia="Arial" w:hAnsi="Arial"/>
          <w:sz w:val="18"/>
          <w:szCs w:val="18"/>
          <w:color w:val="auto"/>
        </w:rPr>
        <w:t>a positive number, the Defaulting Party will pay it to the Non-defaulting Party; if it is a negative number, the Non-defaulting Party will pay the absolute value of that amount to the Defaulting Party.</w:t>
      </w:r>
    </w:p>
    <w:p>
      <w:pPr>
        <w:spacing w:after="0" w:line="57" w:lineRule="exact"/>
        <w:rPr>
          <w:sz w:val="20"/>
          <w:szCs w:val="20"/>
          <w:color w:val="auto"/>
        </w:rPr>
      </w:pPr>
    </w:p>
    <w:p>
      <w:pPr>
        <w:jc w:val="both"/>
        <w:ind w:left="460" w:right="80" w:firstLine="4"/>
        <w:spacing w:after="0" w:line="259" w:lineRule="auto"/>
        <w:tabs>
          <w:tab w:leader="none" w:pos="709" w:val="left"/>
        </w:tabs>
        <w:numPr>
          <w:ilvl w:val="1"/>
          <w:numId w:val="46"/>
        </w:numPr>
        <w:rPr>
          <w:rFonts w:ascii="Arial" w:cs="Arial" w:eastAsia="Arial" w:hAnsi="Arial"/>
          <w:sz w:val="18"/>
          <w:szCs w:val="18"/>
          <w:color w:val="auto"/>
        </w:rPr>
      </w:pPr>
      <w:r>
        <w:rPr>
          <w:rFonts w:ascii="Arial" w:cs="Arial" w:eastAsia="Arial" w:hAnsi="Arial"/>
          <w:sz w:val="18"/>
          <w:szCs w:val="18"/>
          <w:i w:val="1"/>
          <w:iCs w:val="1"/>
          <w:color w:val="auto"/>
        </w:rPr>
        <w:t xml:space="preserve">Second Method and Loss. </w:t>
      </w:r>
      <w:r>
        <w:rPr>
          <w:rFonts w:ascii="Arial" w:cs="Arial" w:eastAsia="Arial" w:hAnsi="Arial"/>
          <w:sz w:val="18"/>
          <w:szCs w:val="18"/>
          <w:color w:val="auto"/>
        </w:rPr>
        <w:t>If the Second Method and Loss apply, an amount will be payable equal to the Non-defaulting Party’s Loss in respect of this</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If that amount is a positive number, the Defaulting Party will pay it to the Non-defaulting Party; if it is a negative number, the Non-defaulting Party will pay the absolute value of that amount to the Defaulting Party.</w:t>
      </w:r>
    </w:p>
    <w:p>
      <w:pPr>
        <w:spacing w:after="0" w:line="140" w:lineRule="exact"/>
        <w:rPr>
          <w:rFonts w:ascii="Arial" w:cs="Arial" w:eastAsia="Arial" w:hAnsi="Arial"/>
          <w:sz w:val="18"/>
          <w:szCs w:val="18"/>
          <w:color w:val="auto"/>
        </w:rPr>
      </w:pPr>
    </w:p>
    <w:p>
      <w:pPr>
        <w:ind w:left="260" w:hanging="252"/>
        <w:spacing w:after="0"/>
        <w:tabs>
          <w:tab w:leader="none" w:pos="260" w:val="left"/>
        </w:tabs>
        <w:numPr>
          <w:ilvl w:val="0"/>
          <w:numId w:val="4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Events. </w:t>
      </w:r>
      <w:r>
        <w:rPr>
          <w:rFonts w:ascii="Arial" w:cs="Arial" w:eastAsia="Arial" w:hAnsi="Arial"/>
          <w:sz w:val="18"/>
          <w:szCs w:val="18"/>
          <w:color w:val="auto"/>
        </w:rPr>
        <w:t>If the Early Termination Date results from a Termination Event:—</w:t>
      </w:r>
    </w:p>
    <w:p>
      <w:pPr>
        <w:spacing w:after="0" w:line="90" w:lineRule="exact"/>
        <w:rPr>
          <w:rFonts w:ascii="Arial" w:cs="Arial" w:eastAsia="Arial" w:hAnsi="Arial"/>
          <w:sz w:val="18"/>
          <w:szCs w:val="18"/>
          <w:color w:val="auto"/>
        </w:rPr>
      </w:pPr>
    </w:p>
    <w:p>
      <w:pPr>
        <w:ind w:left="460" w:right="80" w:firstLine="4"/>
        <w:spacing w:after="0" w:line="298" w:lineRule="auto"/>
        <w:tabs>
          <w:tab w:leader="none" w:pos="709" w:val="left"/>
        </w:tabs>
        <w:numPr>
          <w:ilvl w:val="1"/>
          <w:numId w:val="47"/>
        </w:numPr>
        <w:rPr>
          <w:rFonts w:ascii="Arial" w:cs="Arial" w:eastAsia="Arial" w:hAnsi="Arial"/>
          <w:sz w:val="16"/>
          <w:szCs w:val="16"/>
          <w:color w:val="auto"/>
        </w:rPr>
      </w:pPr>
      <w:r>
        <w:rPr>
          <w:rFonts w:ascii="Arial" w:cs="Arial" w:eastAsia="Arial" w:hAnsi="Arial"/>
          <w:sz w:val="16"/>
          <w:szCs w:val="16"/>
          <w:i w:val="1"/>
          <w:iCs w:val="1"/>
          <w:color w:val="auto"/>
        </w:rPr>
        <w:t xml:space="preserve">One Affected Party. </w:t>
      </w:r>
      <w:r>
        <w:rPr>
          <w:rFonts w:ascii="Arial" w:cs="Arial" w:eastAsia="Arial" w:hAnsi="Arial"/>
          <w:sz w:val="16"/>
          <w:szCs w:val="16"/>
          <w:color w:val="auto"/>
        </w:rPr>
        <w:t>If there is one Affected Party, the amount payable will be determined in accordance with Section 6(e)(i)(3), if Market Quotation</w:t>
      </w:r>
      <w:r>
        <w:rPr>
          <w:rFonts w:ascii="Arial" w:cs="Arial" w:eastAsia="Arial" w:hAnsi="Arial"/>
          <w:sz w:val="16"/>
          <w:szCs w:val="16"/>
          <w:i w:val="1"/>
          <w:iCs w:val="1"/>
          <w:color w:val="auto"/>
        </w:rPr>
        <w:t xml:space="preserve"> </w:t>
      </w:r>
      <w:r>
        <w:rPr>
          <w:rFonts w:ascii="Arial" w:cs="Arial" w:eastAsia="Arial" w:hAnsi="Arial"/>
          <w:sz w:val="16"/>
          <w:szCs w:val="16"/>
          <w:color w:val="auto"/>
        </w:rPr>
        <w:t>applies, or Section 6(e)(i)(4), if Loss applies, except that, in either case, references to the Defaulting Party and to the Non-defaulting Party will be deemed to be references to the Affected Party and the party which is not the Affected Party, respectively, and, if Loss applies and fewer than all the Transactions are being terminated, Loss shall be calculated in respect of all Terminated Transactions.</w:t>
      </w:r>
    </w:p>
    <w:p>
      <w:pPr>
        <w:spacing w:after="0" w:line="31" w:lineRule="exact"/>
        <w:rPr>
          <w:rFonts w:ascii="Arial" w:cs="Arial" w:eastAsia="Arial" w:hAnsi="Arial"/>
          <w:sz w:val="16"/>
          <w:szCs w:val="16"/>
          <w:color w:val="auto"/>
        </w:rPr>
      </w:pPr>
    </w:p>
    <w:p>
      <w:pPr>
        <w:ind w:left="720" w:hanging="256"/>
        <w:spacing w:after="0"/>
        <w:tabs>
          <w:tab w:leader="none" w:pos="720" w:val="left"/>
        </w:tabs>
        <w:numPr>
          <w:ilvl w:val="1"/>
          <w:numId w:val="47"/>
        </w:numPr>
        <w:rPr>
          <w:rFonts w:ascii="Arial" w:cs="Arial" w:eastAsia="Arial" w:hAnsi="Arial"/>
          <w:sz w:val="18"/>
          <w:szCs w:val="18"/>
          <w:color w:val="auto"/>
        </w:rPr>
      </w:pPr>
      <w:r>
        <w:rPr>
          <w:rFonts w:ascii="Arial" w:cs="Arial" w:eastAsia="Arial" w:hAnsi="Arial"/>
          <w:sz w:val="18"/>
          <w:szCs w:val="18"/>
          <w:i w:val="1"/>
          <w:iCs w:val="1"/>
          <w:color w:val="auto"/>
        </w:rPr>
        <w:t xml:space="preserve">Two Affected Parties. </w:t>
      </w:r>
      <w:r>
        <w:rPr>
          <w:rFonts w:ascii="Arial" w:cs="Arial" w:eastAsia="Arial" w:hAnsi="Arial"/>
          <w:sz w:val="18"/>
          <w:szCs w:val="18"/>
          <w:color w:val="auto"/>
        </w:rPr>
        <w:t>If there are two Affected Parties:—</w:t>
      </w:r>
    </w:p>
    <w:p>
      <w:pPr>
        <w:spacing w:after="0" w:line="90" w:lineRule="exact"/>
        <w:rPr>
          <w:rFonts w:ascii="Arial" w:cs="Arial" w:eastAsia="Arial" w:hAnsi="Arial"/>
          <w:sz w:val="18"/>
          <w:szCs w:val="18"/>
          <w:color w:val="auto"/>
        </w:rPr>
      </w:pPr>
    </w:p>
    <w:p>
      <w:pPr>
        <w:ind w:left="920" w:right="100" w:firstLine="1"/>
        <w:spacing w:after="0" w:line="284" w:lineRule="auto"/>
        <w:tabs>
          <w:tab w:leader="none" w:pos="1207" w:val="left"/>
        </w:tabs>
        <w:numPr>
          <w:ilvl w:val="2"/>
          <w:numId w:val="47"/>
        </w:numPr>
        <w:rPr>
          <w:rFonts w:ascii="Arial" w:cs="Arial" w:eastAsia="Arial" w:hAnsi="Arial"/>
          <w:sz w:val="16"/>
          <w:szCs w:val="16"/>
          <w:color w:val="auto"/>
        </w:rPr>
      </w:pPr>
      <w:r>
        <w:rPr>
          <w:rFonts w:ascii="Arial" w:cs="Arial" w:eastAsia="Arial" w:hAnsi="Arial"/>
          <w:sz w:val="16"/>
          <w:szCs w:val="16"/>
          <w:color w:val="auto"/>
        </w:rPr>
        <w:t>if Market Quotation applies, each party will determine a Settlement Amount in respect of the Terminated Transactions, and an amount will be payable equal to (I) the sum of (a) one-half of the difference between the Settlement Amount of the party with the higher Settlement Amount (“X”) and the Settlement Amount of the party with the lower Settlement Amount (“Y”) and (b) the Termination Currency Equivalent of the</w:t>
      </w:r>
    </w:p>
    <w:p>
      <w:pPr>
        <w:spacing w:after="0" w:line="1" w:lineRule="exact"/>
        <w:rPr>
          <w:rFonts w:ascii="Arial" w:cs="Arial" w:eastAsia="Arial" w:hAnsi="Arial"/>
          <w:sz w:val="16"/>
          <w:szCs w:val="16"/>
          <w:color w:val="auto"/>
        </w:rPr>
      </w:pPr>
    </w:p>
    <w:p>
      <w:pPr>
        <w:ind w:left="920"/>
        <w:spacing w:after="0"/>
        <w:rPr>
          <w:rFonts w:ascii="Arial" w:cs="Arial" w:eastAsia="Arial" w:hAnsi="Arial"/>
          <w:sz w:val="16"/>
          <w:szCs w:val="16"/>
          <w:color w:val="auto"/>
        </w:rPr>
      </w:pPr>
      <w:r>
        <w:rPr>
          <w:rFonts w:ascii="Arial" w:cs="Arial" w:eastAsia="Arial" w:hAnsi="Arial"/>
          <w:sz w:val="18"/>
          <w:szCs w:val="18"/>
          <w:color w:val="auto"/>
        </w:rPr>
        <w:t>Unpaid Amounts owing to X less (II) the Termination Currency Equivalent of the Unpaid Amounts owing to Y; and</w:t>
      </w:r>
    </w:p>
    <w:p>
      <w:pPr>
        <w:spacing w:after="0" w:line="83" w:lineRule="exact"/>
        <w:rPr>
          <w:rFonts w:ascii="Arial" w:cs="Arial" w:eastAsia="Arial" w:hAnsi="Arial"/>
          <w:sz w:val="16"/>
          <w:szCs w:val="16"/>
          <w:color w:val="auto"/>
        </w:rPr>
      </w:pPr>
    </w:p>
    <w:p>
      <w:pPr>
        <w:jc w:val="both"/>
        <w:ind w:left="920" w:right="300" w:firstLine="1"/>
        <w:spacing w:after="0" w:line="259" w:lineRule="auto"/>
        <w:tabs>
          <w:tab w:leader="none" w:pos="1198" w:val="left"/>
        </w:tabs>
        <w:numPr>
          <w:ilvl w:val="2"/>
          <w:numId w:val="47"/>
        </w:numPr>
        <w:rPr>
          <w:rFonts w:ascii="Arial" w:cs="Arial" w:eastAsia="Arial" w:hAnsi="Arial"/>
          <w:sz w:val="18"/>
          <w:szCs w:val="18"/>
          <w:color w:val="auto"/>
        </w:rPr>
      </w:pPr>
      <w:r>
        <w:rPr>
          <w:rFonts w:ascii="Arial" w:cs="Arial" w:eastAsia="Arial" w:hAnsi="Arial"/>
          <w:sz w:val="18"/>
          <w:szCs w:val="18"/>
          <w:color w:val="auto"/>
        </w:rPr>
        <w:t>if Loss applies, each party will determine its Loss in respect of this Agreement (or, if fewer than all the Transactions are being terminated, in respect of all Terminated Transactions) and an amount will be payable equal to one-half of the difference between the Loss of the party with the higher Loss (“X”) and the Loss of the party with the lower Loss (“Y”).</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If the amount payable is a positive number, Y will pay it to X; if it is a negative number, X will pay the absolute value of that amount to Y.</w:t>
      </w:r>
    </w:p>
    <w:p>
      <w:pPr>
        <w:spacing w:after="0" w:line="171" w:lineRule="exact"/>
        <w:rPr>
          <w:sz w:val="20"/>
          <w:szCs w:val="20"/>
          <w:color w:val="auto"/>
        </w:rPr>
      </w:pPr>
    </w:p>
    <w:p>
      <w:pPr>
        <w:ind w:firstLine="8"/>
        <w:spacing w:after="0" w:line="256" w:lineRule="auto"/>
        <w:tabs>
          <w:tab w:leader="none" w:pos="307"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 for Bankruptcy. </w:t>
      </w:r>
      <w:r>
        <w:rPr>
          <w:rFonts w:ascii="Arial" w:cs="Arial" w:eastAsia="Arial" w:hAnsi="Arial"/>
          <w:sz w:val="18"/>
          <w:szCs w:val="18"/>
          <w:color w:val="auto"/>
        </w:rPr>
        <w:t>In circumstances where an Early Termination Date occurs because ”Automatic Early Termination” applies in respect of a party,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amount determined under this Section 6(e) will be subject to such adjustments as are appropriate and permitted by law to reflect any payments or deliveries made by one party to the other under this Agreement (and retained by such other party) during the period from the relevant Early Termination Date to the date for payment determined under Section 6(d)(ii).</w:t>
      </w:r>
    </w:p>
    <w:p>
      <w:pPr>
        <w:spacing w:after="0" w:line="143" w:lineRule="exact"/>
        <w:rPr>
          <w:rFonts w:ascii="Arial" w:cs="Arial" w:eastAsia="Arial" w:hAnsi="Arial"/>
          <w:sz w:val="18"/>
          <w:szCs w:val="18"/>
          <w:color w:val="auto"/>
        </w:rPr>
      </w:pPr>
    </w:p>
    <w:p>
      <w:pPr>
        <w:jc w:val="both"/>
        <w:ind w:right="40" w:firstLine="8"/>
        <w:spacing w:after="0" w:line="259" w:lineRule="auto"/>
        <w:tabs>
          <w:tab w:leader="none" w:pos="297" w:val="left"/>
        </w:tabs>
        <w:numPr>
          <w:ilvl w:val="0"/>
          <w:numId w:val="4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Pre-Estimate. </w:t>
      </w:r>
      <w:r>
        <w:rPr>
          <w:rFonts w:ascii="Arial" w:cs="Arial" w:eastAsia="Arial" w:hAnsi="Arial"/>
          <w:sz w:val="18"/>
          <w:szCs w:val="18"/>
          <w:color w:val="auto"/>
        </w:rPr>
        <w:t>The parties agree that if Market Quotation applies an amount recoverable under this Section 6(e) is a reasonable pre-estimate of loss and not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penalty. Such amount is payable for the loss of bargain and the loss of protection against future risks and except as otherwise provided in this Agreement neither party will be entitled to recover any additional damages as a consequence of such losses.</w:t>
      </w:r>
    </w:p>
    <w:p>
      <w:pPr>
        <w:spacing w:after="0" w:line="1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80" w:right="299" w:bottom="1440" w:gutter="0" w:footer="0" w:header="0"/>
        </w:sectPr>
      </w:pPr>
    </w:p>
    <w:bookmarkStart w:id="49" w:name="page50"/>
    <w:bookmarkEnd w:id="49"/>
    <w:p>
      <w:pPr>
        <w:ind w:left="460" w:hanging="452"/>
        <w:spacing w:after="0"/>
        <w:tabs>
          <w:tab w:leader="none" w:pos="46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Subject to Section 6(b)(ii), neither this Agreement nor any interest or obligation in or under this Agreement may be transferred (whether by way of security or otherwise) by either party without the prior written consent of the other party, except that: —</w:t>
      </w:r>
    </w:p>
    <w:p>
      <w:pPr>
        <w:spacing w:after="0" w:line="51" w:lineRule="exact"/>
        <w:rPr>
          <w:sz w:val="20"/>
          <w:szCs w:val="20"/>
          <w:color w:val="auto"/>
        </w:rPr>
      </w:pPr>
    </w:p>
    <w:p>
      <w:pPr>
        <w:ind w:firstLine="8"/>
        <w:spacing w:after="0" w:line="268" w:lineRule="auto"/>
        <w:tabs>
          <w:tab w:leader="none" w:pos="239"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party may make such a transfer of this Agreement pursuant to a consolidation or amalgamation with, or merger with or into, or transfer of all or substantially all its assets to, another entity (but without prejudice to any other right or remedy under this Agreement); and</w:t>
      </w:r>
    </w:p>
    <w:p>
      <w:pPr>
        <w:spacing w:after="0" w:line="131" w:lineRule="exact"/>
        <w:rPr>
          <w:rFonts w:ascii="Arial" w:cs="Arial" w:eastAsia="Arial" w:hAnsi="Arial"/>
          <w:sz w:val="18"/>
          <w:szCs w:val="18"/>
          <w:color w:val="auto"/>
        </w:rPr>
      </w:pPr>
    </w:p>
    <w:p>
      <w:pPr>
        <w:ind w:left="260" w:hanging="252"/>
        <w:spacing w:after="0"/>
        <w:tabs>
          <w:tab w:leader="none" w:pos="2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 party may make such a transfer of all or any part of its interest in any amount payable to it from a Defaulting Party under Section 6(e).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purported transfer that is not in compliance with this Section will be void.</w:t>
      </w:r>
    </w:p>
    <w:p>
      <w:pPr>
        <w:spacing w:after="0" w:line="287" w:lineRule="exact"/>
        <w:rPr>
          <w:sz w:val="20"/>
          <w:szCs w:val="20"/>
          <w:color w:val="auto"/>
        </w:rPr>
      </w:pPr>
    </w:p>
    <w:p>
      <w:pPr>
        <w:ind w:left="460" w:hanging="452"/>
        <w:spacing w:after="0"/>
        <w:tabs>
          <w:tab w:leader="none" w:pos="46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Contractual Currency</w:t>
      </w:r>
    </w:p>
    <w:p>
      <w:pPr>
        <w:spacing w:after="0" w:line="96" w:lineRule="exact"/>
        <w:rPr>
          <w:sz w:val="20"/>
          <w:szCs w:val="20"/>
          <w:color w:val="auto"/>
        </w:rPr>
      </w:pPr>
    </w:p>
    <w:p>
      <w:pPr>
        <w:ind w:right="40" w:firstLine="8"/>
        <w:spacing w:after="0" w:line="301" w:lineRule="auto"/>
        <w:tabs>
          <w:tab w:leader="none" w:pos="239" w:val="left"/>
        </w:tabs>
        <w:numPr>
          <w:ilvl w:val="0"/>
          <w:numId w:val="5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Payment in the Contractual Currency. </w:t>
      </w:r>
      <w:r>
        <w:rPr>
          <w:rFonts w:ascii="Arial" w:cs="Arial" w:eastAsia="Arial" w:hAnsi="Arial"/>
          <w:sz w:val="15"/>
          <w:szCs w:val="15"/>
          <w:color w:val="auto"/>
        </w:rPr>
        <w:t>Each payment under this Agreement will be made in the relevant currency specified in this Agreement for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payment (the “Contractual Currency”). To the extent permitted by applicable law, any obligation to make payments under this Agreement in the Contractual Currency will not be discharged or satisfied by any tender in any currency other than the Contractual Currency, except to the extent such tender results in the actual receipt by the party to which payment is owed, acting in a reasonable manner and in good faith in converting the currency so tendered into the Contractual Currency, of the full amount in the Contractual Currency of all amounts payable in respect of this Agreement. If for any reason the amount in the Contractual Currency so received falls short of the amount in the Contractual Currency payable in respect of this Agreement, the party required to make the payment will, to the extent permitted by applicable law, immediately pay such additional amount in the Contractual Currency as may be necessary to compensate for the shortfall. If for any reason the amount in the Contractual Currency so received exceeds the amount in the Contractual Currency payable in respect of</w:t>
      </w:r>
    </w:p>
    <w:p>
      <w:pPr>
        <w:spacing w:after="0" w:line="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this Agreement, the party receiving the payment will refund promptly the amount of such excess.</w:t>
      </w:r>
    </w:p>
    <w:p>
      <w:pPr>
        <w:spacing w:after="0" w:line="164" w:lineRule="exact"/>
        <w:rPr>
          <w:rFonts w:ascii="Arial" w:cs="Arial" w:eastAsia="Arial" w:hAnsi="Arial"/>
          <w:sz w:val="15"/>
          <w:szCs w:val="15"/>
          <w:color w:val="auto"/>
        </w:rPr>
      </w:pPr>
    </w:p>
    <w:p>
      <w:pPr>
        <w:ind w:firstLine="8"/>
        <w:spacing w:after="0" w:line="283" w:lineRule="auto"/>
        <w:tabs>
          <w:tab w:leader="none" w:pos="249"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Judgments. </w:t>
      </w:r>
      <w:r>
        <w:rPr>
          <w:rFonts w:ascii="Arial" w:cs="Arial" w:eastAsia="Arial" w:hAnsi="Arial"/>
          <w:sz w:val="16"/>
          <w:szCs w:val="16"/>
          <w:color w:val="auto"/>
        </w:rPr>
        <w:t>To the extent permitted by applicable law, if any judgment or order expressed in a currency other than the Contractual Currency is rendered (i)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payment of any amount owing in respect of this Agreement, (ii) for the payment of any amount relating to any early termination in respect of this Agreement or (iii) in respect of a judgment or order of another court for the payment of any amount described in (i) or (ii) above, the party seeking recovery, after recovery in full of the aggregate amount to which such party is entitled pursuant to the judgment or order, will be entitled to receive immediately from the other party the amount of any shortfall of the Contractual Currency received by such party as a consequence of sums paid in such other currency and will refund promptly to the other party any excess of the Contractual Currency received by such party as a consequence of sums paid in such other currency</w:t>
      </w:r>
    </w:p>
    <w:p>
      <w:pPr>
        <w:spacing w:after="0" w:line="1" w:lineRule="exact"/>
        <w:rPr>
          <w:rFonts w:ascii="Arial" w:cs="Arial" w:eastAsia="Arial" w:hAnsi="Arial"/>
          <w:sz w:val="16"/>
          <w:szCs w:val="16"/>
          <w:color w:val="auto"/>
        </w:rPr>
      </w:pPr>
    </w:p>
    <w:p>
      <w:pPr>
        <w:ind w:right="40"/>
        <w:spacing w:after="0" w:line="300" w:lineRule="auto"/>
        <w:rPr>
          <w:rFonts w:ascii="Arial" w:cs="Arial" w:eastAsia="Arial" w:hAnsi="Arial"/>
          <w:sz w:val="16"/>
          <w:szCs w:val="16"/>
          <w:color w:val="auto"/>
        </w:rPr>
      </w:pPr>
      <w:r>
        <w:rPr>
          <w:rFonts w:ascii="Arial" w:cs="Arial" w:eastAsia="Arial" w:hAnsi="Arial"/>
          <w:sz w:val="15"/>
          <w:szCs w:val="15"/>
          <w:color w:val="auto"/>
        </w:rPr>
        <w:t>if such shortfall or such excess arises or results from any variation between the rate of exchange at which the Contractual Currency is converted into the currency of the judgment or order for the purposes of such judgment or order and the rate of exchange at which such party is able, acting in a reasonable manner and</w:t>
      </w:r>
    </w:p>
    <w:p>
      <w:pPr>
        <w:ind w:right="360"/>
        <w:spacing w:after="0" w:line="255" w:lineRule="auto"/>
        <w:rPr>
          <w:rFonts w:ascii="Arial" w:cs="Arial" w:eastAsia="Arial" w:hAnsi="Arial"/>
          <w:sz w:val="16"/>
          <w:szCs w:val="16"/>
          <w:color w:val="auto"/>
        </w:rPr>
      </w:pPr>
      <w:r>
        <w:rPr>
          <w:rFonts w:ascii="Arial" w:cs="Arial" w:eastAsia="Arial" w:hAnsi="Arial"/>
          <w:sz w:val="18"/>
          <w:szCs w:val="18"/>
          <w:color w:val="auto"/>
        </w:rPr>
        <w:t>in good faith in converting the currency received into the Contractual Currency, to purchase the Contractual Currency with the amount of the currency of the judgment or order actually received by such party. The term ”rate of exchange” includes, without limitation, any premiums and costs of exchange payable in connection with the purchase of or conversion into the Contractual Currency.</w:t>
      </w:r>
    </w:p>
    <w:p>
      <w:pPr>
        <w:spacing w:after="0" w:line="144" w:lineRule="exact"/>
        <w:rPr>
          <w:rFonts w:ascii="Arial" w:cs="Arial" w:eastAsia="Arial" w:hAnsi="Arial"/>
          <w:sz w:val="16"/>
          <w:szCs w:val="16"/>
          <w:color w:val="auto"/>
        </w:rPr>
      </w:pPr>
    </w:p>
    <w:p>
      <w:pPr>
        <w:ind w:right="60" w:firstLine="8"/>
        <w:spacing w:after="0" w:line="286" w:lineRule="auto"/>
        <w:tabs>
          <w:tab w:leader="none" w:pos="239" w:val="left"/>
        </w:tabs>
        <w:numPr>
          <w:ilvl w:val="0"/>
          <w:numId w:val="52"/>
        </w:numPr>
        <w:rPr>
          <w:rFonts w:ascii="Arial" w:cs="Arial" w:eastAsia="Arial" w:hAnsi="Arial"/>
          <w:sz w:val="16"/>
          <w:szCs w:val="16"/>
          <w:color w:val="auto"/>
        </w:rPr>
      </w:pPr>
      <w:r>
        <w:rPr>
          <w:rFonts w:ascii="Arial" w:cs="Arial" w:eastAsia="Arial" w:hAnsi="Arial"/>
          <w:sz w:val="16"/>
          <w:szCs w:val="16"/>
          <w:b w:val="1"/>
          <w:bCs w:val="1"/>
          <w:i w:val="1"/>
          <w:iCs w:val="1"/>
          <w:color w:val="auto"/>
        </w:rPr>
        <w:t>Separate Indemnities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extent permitted by applicable law, these indemnities constitute separate and independent obligations from the other obligations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this Agreement, will be enforceable as separate and independent causes of action, will apply notwithstanding any indulgence granted by the party</w:t>
      </w:r>
    </w:p>
    <w:p>
      <w:pPr>
        <w:ind w:right="280"/>
        <w:spacing w:after="0" w:line="261" w:lineRule="auto"/>
        <w:rPr>
          <w:rFonts w:ascii="Arial" w:cs="Arial" w:eastAsia="Arial" w:hAnsi="Arial"/>
          <w:sz w:val="16"/>
          <w:szCs w:val="16"/>
          <w:color w:val="auto"/>
        </w:rPr>
      </w:pPr>
      <w:r>
        <w:rPr>
          <w:rFonts w:ascii="Arial" w:cs="Arial" w:eastAsia="Arial" w:hAnsi="Arial"/>
          <w:sz w:val="18"/>
          <w:szCs w:val="18"/>
          <w:color w:val="auto"/>
        </w:rPr>
        <w:t>to which any payment is owed and will not be affected by judgment being obtained or claim or proof being made for any other sums payable in respect of this Agreement.</w:t>
      </w:r>
    </w:p>
    <w:p>
      <w:pPr>
        <w:spacing w:after="0" w:line="137" w:lineRule="exact"/>
        <w:rPr>
          <w:rFonts w:ascii="Arial" w:cs="Arial" w:eastAsia="Arial" w:hAnsi="Arial"/>
          <w:sz w:val="16"/>
          <w:szCs w:val="16"/>
          <w:color w:val="auto"/>
        </w:rPr>
      </w:pPr>
    </w:p>
    <w:p>
      <w:pPr>
        <w:ind w:right="20" w:firstLine="8"/>
        <w:spacing w:after="0" w:line="268" w:lineRule="auto"/>
        <w:tabs>
          <w:tab w:leader="none" w:pos="249" w:val="left"/>
        </w:tabs>
        <w:numPr>
          <w:ilvl w:val="0"/>
          <w:numId w:val="5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Evidence of Loss. </w:t>
      </w:r>
      <w:r>
        <w:rPr>
          <w:rFonts w:ascii="Arial" w:cs="Arial" w:eastAsia="Arial" w:hAnsi="Arial"/>
          <w:sz w:val="18"/>
          <w:szCs w:val="18"/>
          <w:color w:val="auto"/>
        </w:rPr>
        <w:t>For the purpose of this Section 8, it will be sufficient for a party to demonstrate that it would have suffered a loss had an actual exchange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been made.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50" w:name="page51"/>
    <w:bookmarkEnd w:id="50"/>
    <w:p>
      <w:pPr>
        <w:ind w:left="460" w:hanging="452"/>
        <w:spacing w:after="0"/>
        <w:tabs>
          <w:tab w:leader="none" w:pos="46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p>
    <w:p>
      <w:pPr>
        <w:spacing w:after="0" w:line="96" w:lineRule="exact"/>
        <w:rPr>
          <w:sz w:val="20"/>
          <w:szCs w:val="20"/>
          <w:color w:val="auto"/>
        </w:rPr>
      </w:pPr>
    </w:p>
    <w:p>
      <w:pPr>
        <w:ind w:right="100" w:firstLine="8"/>
        <w:spacing w:after="0" w:line="268" w:lineRule="auto"/>
        <w:tabs>
          <w:tab w:leader="none" w:pos="239"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Entire Agreement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constitutes the entire agreement and understanding of the parties with respect to its subject matter and supersedes all oral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 and prior writings with respect thereto.</w:t>
      </w:r>
    </w:p>
    <w:p>
      <w:pPr>
        <w:spacing w:after="0" w:line="131" w:lineRule="exact"/>
        <w:rPr>
          <w:rFonts w:ascii="Arial" w:cs="Arial" w:eastAsia="Arial" w:hAnsi="Arial"/>
          <w:sz w:val="18"/>
          <w:szCs w:val="18"/>
          <w:color w:val="auto"/>
        </w:rPr>
      </w:pPr>
    </w:p>
    <w:p>
      <w:pPr>
        <w:ind w:right="260" w:firstLine="8"/>
        <w:spacing w:after="0" w:line="370" w:lineRule="auto"/>
        <w:tabs>
          <w:tab w:leader="none" w:pos="249" w:val="left"/>
        </w:tabs>
        <w:numPr>
          <w:ilvl w:val="0"/>
          <w:numId w:val="54"/>
        </w:numPr>
        <w:rPr>
          <w:rFonts w:ascii="Arial" w:cs="Arial" w:eastAsia="Arial" w:hAnsi="Arial"/>
          <w:sz w:val="15"/>
          <w:szCs w:val="15"/>
          <w:color w:val="auto"/>
        </w:rPr>
      </w:pPr>
      <w:r>
        <w:rPr>
          <w:rFonts w:ascii="Arial" w:cs="Arial" w:eastAsia="Arial" w:hAnsi="Arial"/>
          <w:sz w:val="15"/>
          <w:szCs w:val="15"/>
          <w:b w:val="1"/>
          <w:bCs w:val="1"/>
          <w:i w:val="1"/>
          <w:iCs w:val="1"/>
          <w:color w:val="auto"/>
        </w:rPr>
        <w:t>Amendments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 amendment, modification or waiver in respect of this Agreement will be effective unless in writing (including a writing evidenced by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facsimile transmission) and executed by each of the parties or confirmed by an exchange of telexes or electronic messages on an electronic messaging system.</w:t>
      </w:r>
    </w:p>
    <w:p>
      <w:pPr>
        <w:spacing w:after="0" w:line="62" w:lineRule="exact"/>
        <w:rPr>
          <w:rFonts w:ascii="Arial" w:cs="Arial" w:eastAsia="Arial" w:hAnsi="Arial"/>
          <w:sz w:val="15"/>
          <w:szCs w:val="15"/>
          <w:color w:val="auto"/>
        </w:rPr>
      </w:pPr>
    </w:p>
    <w:p>
      <w:pPr>
        <w:ind w:right="40" w:firstLine="8"/>
        <w:spacing w:after="0" w:line="268" w:lineRule="auto"/>
        <w:tabs>
          <w:tab w:leader="none" w:pos="239"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Survival of Obligations. </w:t>
      </w:r>
      <w:r>
        <w:rPr>
          <w:rFonts w:ascii="Arial" w:cs="Arial" w:eastAsia="Arial" w:hAnsi="Arial"/>
          <w:sz w:val="18"/>
          <w:szCs w:val="18"/>
          <w:color w:val="auto"/>
        </w:rPr>
        <w:t>Without prejudice to Sections 2(a)(iii) and 6(c)(ii), the obligations of the parties under this Agreement will survive the 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Transaction.</w:t>
      </w:r>
    </w:p>
    <w:p>
      <w:pPr>
        <w:spacing w:after="0" w:line="131" w:lineRule="exact"/>
        <w:rPr>
          <w:rFonts w:ascii="Arial" w:cs="Arial" w:eastAsia="Arial" w:hAnsi="Arial"/>
          <w:sz w:val="18"/>
          <w:szCs w:val="18"/>
          <w:color w:val="auto"/>
        </w:rPr>
      </w:pPr>
    </w:p>
    <w:p>
      <w:pPr>
        <w:ind w:right="100" w:firstLine="8"/>
        <w:spacing w:after="0" w:line="268" w:lineRule="auto"/>
        <w:tabs>
          <w:tab w:leader="none" w:pos="249"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Remedies Cumulative. </w:t>
      </w:r>
      <w:r>
        <w:rPr>
          <w:rFonts w:ascii="Arial" w:cs="Arial" w:eastAsia="Arial" w:hAnsi="Arial"/>
          <w:sz w:val="18"/>
          <w:szCs w:val="18"/>
          <w:color w:val="auto"/>
        </w:rPr>
        <w:t>Except as provided in this Agreement, the rights, powers, remedies and privileges provided in this Agreement are cumulative and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of any rights, powers, remedies and privileges provided by law.</w:t>
      </w:r>
    </w:p>
    <w:p>
      <w:pPr>
        <w:spacing w:after="0" w:line="131" w:lineRule="exact"/>
        <w:rPr>
          <w:rFonts w:ascii="Arial" w:cs="Arial" w:eastAsia="Arial" w:hAnsi="Arial"/>
          <w:sz w:val="18"/>
          <w:szCs w:val="18"/>
          <w:color w:val="auto"/>
        </w:rPr>
      </w:pPr>
    </w:p>
    <w:p>
      <w:pPr>
        <w:ind w:left="240" w:hanging="232"/>
        <w:spacing w:after="0"/>
        <w:tabs>
          <w:tab w:leader="none" w:pos="240"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Counterparts and Confirmations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00" w:firstLine="4"/>
        <w:spacing w:after="0" w:line="268" w:lineRule="auto"/>
        <w:tabs>
          <w:tab w:leader="none" w:pos="670" w:val="left"/>
        </w:tabs>
        <w:numPr>
          <w:ilvl w:val="1"/>
          <w:numId w:val="54"/>
        </w:numPr>
        <w:rPr>
          <w:rFonts w:ascii="Arial" w:cs="Arial" w:eastAsia="Arial" w:hAnsi="Arial"/>
          <w:sz w:val="18"/>
          <w:szCs w:val="18"/>
          <w:color w:val="auto"/>
        </w:rPr>
      </w:pPr>
      <w:r>
        <w:rPr>
          <w:rFonts w:ascii="Arial" w:cs="Arial" w:eastAsia="Arial" w:hAnsi="Arial"/>
          <w:sz w:val="18"/>
          <w:szCs w:val="18"/>
          <w:color w:val="auto"/>
        </w:rPr>
        <w:t>This Agreement (and each amendment, modification and waiver in respect of it) may be executed and delivered in counterparts (including by facsimile transmission), each of which will be deemed an original.</w:t>
      </w:r>
    </w:p>
    <w:p>
      <w:pPr>
        <w:spacing w:after="0" w:line="50" w:lineRule="exact"/>
        <w:rPr>
          <w:rFonts w:ascii="Arial" w:cs="Arial" w:eastAsia="Arial" w:hAnsi="Arial"/>
          <w:sz w:val="18"/>
          <w:szCs w:val="18"/>
          <w:color w:val="auto"/>
        </w:rPr>
      </w:pPr>
    </w:p>
    <w:p>
      <w:pPr>
        <w:ind w:left="460" w:firstLine="4"/>
        <w:spacing w:after="0" w:line="283" w:lineRule="auto"/>
        <w:tabs>
          <w:tab w:leader="none" w:pos="719" w:val="left"/>
        </w:tabs>
        <w:numPr>
          <w:ilvl w:val="1"/>
          <w:numId w:val="54"/>
        </w:numPr>
        <w:rPr>
          <w:rFonts w:ascii="Arial" w:cs="Arial" w:eastAsia="Arial" w:hAnsi="Arial"/>
          <w:sz w:val="16"/>
          <w:szCs w:val="16"/>
          <w:color w:val="auto"/>
        </w:rPr>
      </w:pPr>
      <w:r>
        <w:rPr>
          <w:rFonts w:ascii="Arial" w:cs="Arial" w:eastAsia="Arial" w:hAnsi="Arial"/>
          <w:sz w:val="16"/>
          <w:szCs w:val="16"/>
          <w:color w:val="auto"/>
        </w:rPr>
        <w:t>The parties intend that they are legally bound by the terms of each Transaction from the moment they agree to those terms (whether orally or otherwise). A Confirmation shall be entered into as soon as practicable and may be executed and delivered in counterparts (including by facsimile transmission) or be created by an exchange of telexes or by an exchange of electronic messages on an electronic messaging system, which in each case will be sufficient for all purposes to evidence a binding supplement to this Agreement. The parties will specify therein or through another effective</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means that any such counterpart, telex or electronic message constitutes a Confirmation.</w:t>
      </w:r>
    </w:p>
    <w:p>
      <w:pPr>
        <w:spacing w:after="0" w:line="164" w:lineRule="exact"/>
        <w:rPr>
          <w:rFonts w:ascii="Arial" w:cs="Arial" w:eastAsia="Arial" w:hAnsi="Arial"/>
          <w:sz w:val="16"/>
          <w:szCs w:val="16"/>
          <w:color w:val="auto"/>
        </w:rPr>
      </w:pPr>
    </w:p>
    <w:p>
      <w:pPr>
        <w:ind w:right="200" w:firstLine="8"/>
        <w:spacing w:after="0" w:line="259" w:lineRule="auto"/>
        <w:tabs>
          <w:tab w:leader="none" w:pos="219"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No Waiver of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failure or delay in exercising any right, power or privilege in respect of this Agreement will not be presumed to operate as a 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 single or partial exercise of any right, power or privilege will not be presumed to preclude any subsequent or further exercise, of that right, power or privilege or the exercise of any other right, power or privilege.</w:t>
      </w:r>
    </w:p>
    <w:p>
      <w:pPr>
        <w:spacing w:after="0" w:line="140" w:lineRule="exact"/>
        <w:rPr>
          <w:rFonts w:ascii="Arial" w:cs="Arial" w:eastAsia="Arial" w:hAnsi="Arial"/>
          <w:sz w:val="18"/>
          <w:szCs w:val="18"/>
          <w:color w:val="auto"/>
        </w:rPr>
      </w:pPr>
    </w:p>
    <w:p>
      <w:pPr>
        <w:ind w:right="940" w:firstLine="8"/>
        <w:spacing w:after="0" w:line="268" w:lineRule="auto"/>
        <w:tabs>
          <w:tab w:leader="none" w:pos="249" w:val="left"/>
        </w:tabs>
        <w:numPr>
          <w:ilvl w:val="0"/>
          <w:numId w:val="54"/>
        </w:numPr>
        <w:rPr>
          <w:rFonts w:ascii="Arial" w:cs="Arial" w:eastAsia="Arial" w:hAnsi="Arial"/>
          <w:sz w:val="18"/>
          <w:szCs w:val="18"/>
          <w:color w:val="auto"/>
        </w:rPr>
      </w:pPr>
      <w:r>
        <w:rPr>
          <w:rFonts w:ascii="Arial" w:cs="Arial" w:eastAsia="Arial" w:hAnsi="Arial"/>
          <w:sz w:val="18"/>
          <w:szCs w:val="18"/>
          <w:b w:val="1"/>
          <w:bCs w:val="1"/>
          <w:i w:val="1"/>
          <w:iCs w:val="1"/>
          <w:color w:val="auto"/>
        </w:rPr>
        <w:t>Headings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headings used in this Agreement are for convenience of reference only and are not to affect the construction of or to be taken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in interpreting this Agreement.</w:t>
      </w:r>
    </w:p>
    <w:p>
      <w:pPr>
        <w:spacing w:after="0" w:line="248" w:lineRule="exact"/>
        <w:rPr>
          <w:sz w:val="20"/>
          <w:szCs w:val="20"/>
          <w:color w:val="auto"/>
        </w:rPr>
      </w:pPr>
    </w:p>
    <w:p>
      <w:pPr>
        <w:ind w:left="460" w:hanging="452"/>
        <w:spacing w:after="0"/>
        <w:tabs>
          <w:tab w:leader="none" w:pos="460"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Offices; Multibranch Parties</w:t>
      </w:r>
    </w:p>
    <w:p>
      <w:pPr>
        <w:spacing w:after="0" w:line="96" w:lineRule="exact"/>
        <w:rPr>
          <w:sz w:val="20"/>
          <w:szCs w:val="20"/>
          <w:color w:val="auto"/>
        </w:rPr>
      </w:pPr>
    </w:p>
    <w:p>
      <w:pPr>
        <w:ind w:firstLine="8"/>
        <w:spacing w:after="0" w:line="256" w:lineRule="auto"/>
        <w:tabs>
          <w:tab w:leader="none" w:pos="239"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Section 10(a) is specified in the Schedule as applying, each party that enters into a Transaction through an Office other than its head or home office represents to the other party that, notwithstanding the place of booking office or jurisdiction of incorporation or organisation of such party, the obligations of such party are the same as if it had entered into the Transaction through its head or home office. This representation will be deemed to be repeated by such party on each date on which a Transaction is entered into.</w:t>
      </w:r>
    </w:p>
    <w:p>
      <w:pPr>
        <w:spacing w:after="0" w:line="143" w:lineRule="exact"/>
        <w:rPr>
          <w:rFonts w:ascii="Arial" w:cs="Arial" w:eastAsia="Arial" w:hAnsi="Arial"/>
          <w:sz w:val="18"/>
          <w:szCs w:val="18"/>
          <w:color w:val="auto"/>
        </w:rPr>
      </w:pPr>
    </w:p>
    <w:p>
      <w:pPr>
        <w:ind w:right="260" w:firstLine="8"/>
        <w:spacing w:after="0" w:line="268" w:lineRule="auto"/>
        <w:tabs>
          <w:tab w:leader="none" w:pos="249" w:val="left"/>
        </w:tabs>
        <w:numPr>
          <w:ilvl w:val="0"/>
          <w:numId w:val="56"/>
        </w:numPr>
        <w:rPr>
          <w:rFonts w:ascii="Arial" w:cs="Arial" w:eastAsia="Arial" w:hAnsi="Arial"/>
          <w:sz w:val="18"/>
          <w:szCs w:val="18"/>
          <w:color w:val="auto"/>
        </w:rPr>
      </w:pPr>
      <w:r>
        <w:rPr>
          <w:rFonts w:ascii="Arial" w:cs="Arial" w:eastAsia="Arial" w:hAnsi="Arial"/>
          <w:sz w:val="18"/>
          <w:szCs w:val="18"/>
          <w:color w:val="auto"/>
        </w:rPr>
        <w:t>Neither party may change the Office through which it makes and receives payments or deliveries for the purpose of a Transaction without the prior written consent of the other party.</w:t>
      </w:r>
    </w:p>
    <w:p>
      <w:pPr>
        <w:spacing w:after="0" w:line="131" w:lineRule="exact"/>
        <w:rPr>
          <w:rFonts w:ascii="Arial" w:cs="Arial" w:eastAsia="Arial" w:hAnsi="Arial"/>
          <w:sz w:val="18"/>
          <w:szCs w:val="18"/>
          <w:color w:val="auto"/>
        </w:rPr>
      </w:pPr>
    </w:p>
    <w:p>
      <w:pPr>
        <w:ind w:right="300" w:firstLine="8"/>
        <w:spacing w:after="0" w:line="259" w:lineRule="auto"/>
        <w:tabs>
          <w:tab w:leader="none" w:pos="239"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a party is specified as a Multibranch Party in the Schedule, such Multibranch Party may make and receive payments or deliveries under any Transaction through any Office listed in the Schedule, and the Office through which it makes and receives payments or deliveries with respect to a Transaction will be specified in the relevant Confirmation.</w:t>
      </w:r>
    </w:p>
    <w:p>
      <w:pPr>
        <w:spacing w:after="0" w:line="256" w:lineRule="exact"/>
        <w:rPr>
          <w:sz w:val="20"/>
          <w:szCs w:val="20"/>
          <w:color w:val="auto"/>
        </w:rPr>
      </w:pPr>
    </w:p>
    <w:p>
      <w:pPr>
        <w:ind w:left="460" w:hanging="452"/>
        <w:spacing w:after="0"/>
        <w:tabs>
          <w:tab w:leader="none" w:pos="460"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 Defaulting Party will, on demand, indemnify and hold harmless the other party for and against all reasonable out-of-pocket expenses, including legal fees and Stamp Tax, incurred by such other party by reason of the enforcement and protection of its rights under this Agreement or any Credit Support Document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51" w:name="page52"/>
    <w:bookmarkEnd w:id="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which the Defaulting Party is a party or by reason of the early termination of any Transaction, including, but not limited to, costs of collection.</w:t>
      </w:r>
    </w:p>
    <w:p>
      <w:pPr>
        <w:spacing w:after="0" w:line="287" w:lineRule="exact"/>
        <w:rPr>
          <w:sz w:val="20"/>
          <w:szCs w:val="20"/>
          <w:color w:val="auto"/>
        </w:rPr>
      </w:pPr>
    </w:p>
    <w:p>
      <w:pPr>
        <w:ind w:left="460" w:hanging="452"/>
        <w:spacing w:after="0"/>
        <w:tabs>
          <w:tab w:leader="none" w:pos="460"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120" w:firstLine="8"/>
        <w:spacing w:after="0" w:line="306" w:lineRule="auto"/>
        <w:tabs>
          <w:tab w:leader="none" w:pos="239" w:val="left"/>
        </w:tabs>
        <w:numPr>
          <w:ilvl w:val="0"/>
          <w:numId w:val="5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Effectiveness. </w:t>
      </w:r>
      <w:r>
        <w:rPr>
          <w:rFonts w:ascii="Arial" w:cs="Arial" w:eastAsia="Arial" w:hAnsi="Arial"/>
          <w:sz w:val="16"/>
          <w:szCs w:val="16"/>
          <w:color w:val="auto"/>
        </w:rPr>
        <w:t>Any notice or other communication in respect of this Agreement may be given in any manner set forth below (except that a notice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 under Section 5 or 6 may not be given by facsimile transmission or electronic messaging system) to the address or number or in accordance with the electronic messaging system details provided (see the Schedule) and will be deemed effective as indicated:—</w:t>
      </w:r>
    </w:p>
    <w:p>
      <w:pPr>
        <w:spacing w:after="0" w:line="25" w:lineRule="exact"/>
        <w:rPr>
          <w:rFonts w:ascii="Arial" w:cs="Arial" w:eastAsia="Arial" w:hAnsi="Arial"/>
          <w:sz w:val="16"/>
          <w:szCs w:val="16"/>
          <w:color w:val="auto"/>
        </w:rPr>
      </w:pPr>
    </w:p>
    <w:p>
      <w:pPr>
        <w:ind w:left="680" w:hanging="216"/>
        <w:spacing w:after="0"/>
        <w:tabs>
          <w:tab w:leader="none" w:pos="68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in writing and delivered in person or by courier, on the date it is delivered;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sent by telex, on the date the recipient’s answerback is received;</w:t>
      </w:r>
    </w:p>
    <w:p>
      <w:pPr>
        <w:spacing w:after="0" w:line="90" w:lineRule="exact"/>
        <w:rPr>
          <w:rFonts w:ascii="Arial" w:cs="Arial" w:eastAsia="Arial" w:hAnsi="Arial"/>
          <w:sz w:val="18"/>
          <w:szCs w:val="18"/>
          <w:color w:val="auto"/>
        </w:rPr>
      </w:pPr>
    </w:p>
    <w:p>
      <w:pPr>
        <w:ind w:left="460" w:right="220" w:firstLine="4"/>
        <w:spacing w:after="0" w:line="357" w:lineRule="auto"/>
        <w:tabs>
          <w:tab w:leader="none" w:pos="767" w:val="left"/>
        </w:tabs>
        <w:numPr>
          <w:ilvl w:val="1"/>
          <w:numId w:val="59"/>
        </w:numPr>
        <w:rPr>
          <w:rFonts w:ascii="Arial" w:cs="Arial" w:eastAsia="Arial" w:hAnsi="Arial"/>
          <w:sz w:val="15"/>
          <w:szCs w:val="15"/>
          <w:color w:val="auto"/>
        </w:rPr>
      </w:pPr>
      <w:r>
        <w:rPr>
          <w:rFonts w:ascii="Arial" w:cs="Arial" w:eastAsia="Arial" w:hAnsi="Arial"/>
          <w:sz w:val="15"/>
          <w:szCs w:val="15"/>
          <w:color w:val="auto"/>
        </w:rPr>
        <w:t>if sent by facsimile transmission, on the date that transmission is received by a responsible employee of the recipient in legible form (it being agreed that the burden of proving receipt will be on the sender and will not be met by a transmission report generated by the sender’s facsimile machine);</w:t>
      </w:r>
    </w:p>
    <w:p>
      <w:pPr>
        <w:ind w:left="460" w:right="160" w:firstLine="4"/>
        <w:spacing w:after="0" w:line="268" w:lineRule="auto"/>
        <w:tabs>
          <w:tab w:leader="none" w:pos="757"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sent by certified or registered mail (airmail, if overseas) or the equivalent (return receipt requested), on the date that mail is delivered or its delivery is attempted; or</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1"/>
          <w:numId w:val="59"/>
        </w:numPr>
        <w:rPr>
          <w:rFonts w:ascii="Arial" w:cs="Arial" w:eastAsia="Arial" w:hAnsi="Arial"/>
          <w:sz w:val="18"/>
          <w:szCs w:val="18"/>
          <w:color w:val="auto"/>
        </w:rPr>
      </w:pPr>
      <w:r>
        <w:rPr>
          <w:rFonts w:ascii="Arial" w:cs="Arial" w:eastAsia="Arial" w:hAnsi="Arial"/>
          <w:sz w:val="18"/>
          <w:szCs w:val="18"/>
          <w:color w:val="auto"/>
        </w:rPr>
        <w:t>if sent by electronic messaging system, on the date that electronic message is received,</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the date of that delivery (or attempted delivery) or that receipt, as applicable, is not a Local Business Day or that communication is delivered (or attempted) or received, as applicable, after the close of business on a Local Business Day, in which case that communication shall be deemed given and effective on the first following day that is a Local Business Day.</w:t>
      </w:r>
    </w:p>
    <w:p>
      <w:pPr>
        <w:spacing w:after="0" w:line="140" w:lineRule="exact"/>
        <w:rPr>
          <w:sz w:val="20"/>
          <w:szCs w:val="20"/>
          <w:color w:val="auto"/>
        </w:rPr>
      </w:pPr>
    </w:p>
    <w:p>
      <w:pPr>
        <w:ind w:right="200" w:firstLine="8"/>
        <w:spacing w:after="0" w:line="268" w:lineRule="auto"/>
        <w:tabs>
          <w:tab w:leader="none" w:pos="249" w:val="left"/>
        </w:tabs>
        <w:numPr>
          <w:ilvl w:val="0"/>
          <w:numId w:val="60"/>
        </w:numPr>
        <w:rPr>
          <w:rFonts w:ascii="Arial" w:cs="Arial" w:eastAsia="Arial" w:hAnsi="Arial"/>
          <w:sz w:val="18"/>
          <w:szCs w:val="18"/>
          <w:color w:val="auto"/>
        </w:rPr>
      </w:pPr>
      <w:r>
        <w:rPr>
          <w:rFonts w:ascii="Arial" w:cs="Arial" w:eastAsia="Arial" w:hAnsi="Arial"/>
          <w:sz w:val="18"/>
          <w:szCs w:val="18"/>
          <w:b w:val="1"/>
          <w:bCs w:val="1"/>
          <w:i w:val="1"/>
          <w:iCs w:val="1"/>
          <w:color w:val="auto"/>
        </w:rPr>
        <w:t>Change of Addresses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Either party may by notice to the other change the address, telex or facsimile number or electronic messaging system details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notices or other communications are to be given to it.</w:t>
      </w:r>
    </w:p>
    <w:p>
      <w:pPr>
        <w:spacing w:after="0" w:line="248" w:lineRule="exact"/>
        <w:rPr>
          <w:sz w:val="20"/>
          <w:szCs w:val="20"/>
          <w:color w:val="auto"/>
        </w:rPr>
      </w:pPr>
    </w:p>
    <w:p>
      <w:pPr>
        <w:ind w:left="460" w:hanging="452"/>
        <w:spacing w:after="0"/>
        <w:tabs>
          <w:tab w:leader="none" w:pos="460"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96" w:lineRule="exact"/>
        <w:rPr>
          <w:sz w:val="20"/>
          <w:szCs w:val="20"/>
          <w:color w:val="auto"/>
        </w:rPr>
      </w:pPr>
    </w:p>
    <w:p>
      <w:pPr>
        <w:ind w:left="240" w:hanging="232"/>
        <w:spacing w:after="0"/>
        <w:tabs>
          <w:tab w:leader="none" w:pos="24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This Agreement will be governed by and construed in accordance with the law specified in the Schedule.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6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Jurisdiction. </w:t>
      </w:r>
      <w:r>
        <w:rPr>
          <w:rFonts w:ascii="Arial" w:cs="Arial" w:eastAsia="Arial" w:hAnsi="Arial"/>
          <w:sz w:val="18"/>
          <w:szCs w:val="18"/>
          <w:color w:val="auto"/>
        </w:rPr>
        <w:t>With respect to any suit, action or proceedings relating to this Agreement (“Proceedings”), each party irrevocably:—</w:t>
      </w:r>
    </w:p>
    <w:p>
      <w:pPr>
        <w:spacing w:after="0" w:line="90" w:lineRule="exact"/>
        <w:rPr>
          <w:rFonts w:ascii="Arial" w:cs="Arial" w:eastAsia="Arial" w:hAnsi="Arial"/>
          <w:sz w:val="18"/>
          <w:szCs w:val="18"/>
          <w:color w:val="auto"/>
        </w:rPr>
      </w:pPr>
    </w:p>
    <w:p>
      <w:pPr>
        <w:ind w:left="460" w:right="40" w:firstLine="4"/>
        <w:spacing w:after="0" w:line="286" w:lineRule="auto"/>
        <w:tabs>
          <w:tab w:leader="none" w:pos="670" w:val="left"/>
        </w:tabs>
        <w:numPr>
          <w:ilvl w:val="1"/>
          <w:numId w:val="62"/>
        </w:numPr>
        <w:rPr>
          <w:rFonts w:ascii="Arial" w:cs="Arial" w:eastAsia="Arial" w:hAnsi="Arial"/>
          <w:sz w:val="16"/>
          <w:szCs w:val="16"/>
          <w:color w:val="auto"/>
        </w:rPr>
      </w:pPr>
      <w:r>
        <w:rPr>
          <w:rFonts w:ascii="Arial" w:cs="Arial" w:eastAsia="Arial" w:hAnsi="Arial"/>
          <w:sz w:val="16"/>
          <w:szCs w:val="16"/>
          <w:color w:val="auto"/>
        </w:rPr>
        <w:t>submits to the jurisdiction of the English courts, if this Agreement is expressed to be governed by English law, or to the non-exclusive jurisdiction of the courts of the State of New York and the United States District Court located in the Borough of Manhattan in New York City, if this</w:t>
      </w:r>
    </w:p>
    <w:p>
      <w:pPr>
        <w:ind w:left="460"/>
        <w:spacing w:after="0"/>
        <w:rPr>
          <w:rFonts w:ascii="Arial" w:cs="Arial" w:eastAsia="Arial" w:hAnsi="Arial"/>
          <w:sz w:val="16"/>
          <w:szCs w:val="16"/>
          <w:color w:val="auto"/>
        </w:rPr>
      </w:pPr>
      <w:r>
        <w:rPr>
          <w:rFonts w:ascii="Arial" w:cs="Arial" w:eastAsia="Arial" w:hAnsi="Arial"/>
          <w:sz w:val="18"/>
          <w:szCs w:val="18"/>
          <w:color w:val="auto"/>
        </w:rPr>
        <w:t>Agreement is expressed to be governed by the laws of the State of New York; and</w:t>
      </w:r>
    </w:p>
    <w:p>
      <w:pPr>
        <w:spacing w:after="0" w:line="83" w:lineRule="exact"/>
        <w:rPr>
          <w:rFonts w:ascii="Arial" w:cs="Arial" w:eastAsia="Arial" w:hAnsi="Arial"/>
          <w:sz w:val="16"/>
          <w:szCs w:val="16"/>
          <w:color w:val="auto"/>
        </w:rPr>
      </w:pPr>
    </w:p>
    <w:p>
      <w:pPr>
        <w:ind w:left="460" w:right="280" w:firstLine="4"/>
        <w:spacing w:after="0" w:line="286" w:lineRule="auto"/>
        <w:tabs>
          <w:tab w:leader="none" w:pos="719" w:val="left"/>
        </w:tabs>
        <w:numPr>
          <w:ilvl w:val="1"/>
          <w:numId w:val="62"/>
        </w:numPr>
        <w:rPr>
          <w:rFonts w:ascii="Arial" w:cs="Arial" w:eastAsia="Arial" w:hAnsi="Arial"/>
          <w:sz w:val="16"/>
          <w:szCs w:val="16"/>
          <w:color w:val="auto"/>
        </w:rPr>
      </w:pPr>
      <w:r>
        <w:rPr>
          <w:rFonts w:ascii="Arial" w:cs="Arial" w:eastAsia="Arial" w:hAnsi="Arial"/>
          <w:sz w:val="16"/>
          <w:szCs w:val="16"/>
          <w:color w:val="auto"/>
        </w:rPr>
        <w:t>waives any objection which it may have at any time to the laying of venue of any Proceedings brought in any such court, waives any claim that such Proceedings have been brought in an inconvenient forum and further waives the right to object, with respect to such Proceedings, that</w:t>
      </w:r>
    </w:p>
    <w:p>
      <w:pPr>
        <w:ind w:left="460"/>
        <w:spacing w:after="0"/>
        <w:rPr>
          <w:rFonts w:ascii="Arial" w:cs="Arial" w:eastAsia="Arial" w:hAnsi="Arial"/>
          <w:sz w:val="16"/>
          <w:szCs w:val="16"/>
          <w:color w:val="auto"/>
        </w:rPr>
      </w:pPr>
      <w:r>
        <w:rPr>
          <w:rFonts w:ascii="Arial" w:cs="Arial" w:eastAsia="Arial" w:hAnsi="Arial"/>
          <w:sz w:val="18"/>
          <w:szCs w:val="18"/>
          <w:color w:val="auto"/>
        </w:rPr>
        <w:t>such court does not have any jurisdiction over such party.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Nothing in this Agreement precludes either party from bringing Proceedings in any other jurisdiction (outside, if this Agreement is expressed to be governed by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English law, the Contracting States, as defined in Section 1(3) of the Civil Jurisdiction and Judgments Act 1982 or any modification, extension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reenactment thereof for the time being in force) nor will the bringing of Proceedings in any one or more jurisdictions preclude the bringing of Proceedings in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jurisdiction.</w:t>
      </w:r>
    </w:p>
    <w:p>
      <w:pPr>
        <w:spacing w:after="0" w:line="165" w:lineRule="exact"/>
        <w:rPr>
          <w:sz w:val="20"/>
          <w:szCs w:val="20"/>
          <w:color w:val="auto"/>
        </w:rPr>
      </w:pPr>
    </w:p>
    <w:p>
      <w:pPr>
        <w:ind w:right="160" w:firstLine="8"/>
        <w:spacing w:after="0" w:line="268" w:lineRule="auto"/>
        <w:tabs>
          <w:tab w:leader="none" w:pos="239" w:val="left"/>
        </w:tabs>
        <w:numPr>
          <w:ilvl w:val="0"/>
          <w:numId w:val="6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Service of Process. </w:t>
      </w:r>
      <w:r>
        <w:rPr>
          <w:rFonts w:ascii="Arial" w:cs="Arial" w:eastAsia="Arial" w:hAnsi="Arial"/>
          <w:sz w:val="18"/>
          <w:szCs w:val="18"/>
          <w:color w:val="auto"/>
        </w:rPr>
        <w:t>Each party irrevocably appoints the Process Agent (if any) specified opposite its name in the Schedule to receive, for it and on its behalf,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of process in any Proceedings. If for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52" w:name="page53"/>
    <w:bookmarkEnd w:id="52"/>
    <w:p>
      <w:pPr>
        <w:ind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 any party’s Process Agent is unable to act as such, such party will promptly notify the other party and within 30 days appoint a substitute process agent acceptable to the other party. The parties irrevocably consent to service of process given in the manner provided for notices in Section 12. Nothing in this Agreement will affect the right of either party to serve process in any other manner permitted by law.</w:t>
      </w:r>
    </w:p>
    <w:p>
      <w:pPr>
        <w:spacing w:after="0" w:line="107" w:lineRule="exact"/>
        <w:rPr>
          <w:sz w:val="20"/>
          <w:szCs w:val="20"/>
          <w:color w:val="auto"/>
        </w:rPr>
      </w:pPr>
    </w:p>
    <w:p>
      <w:pPr>
        <w:ind w:right="460" w:firstLine="8"/>
        <w:spacing w:after="0" w:line="286" w:lineRule="auto"/>
        <w:tabs>
          <w:tab w:leader="none" w:pos="249" w:val="left"/>
        </w:tabs>
        <w:numPr>
          <w:ilvl w:val="0"/>
          <w:numId w:val="6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Waiver of Immunities. </w:t>
      </w:r>
      <w:r>
        <w:rPr>
          <w:rFonts w:ascii="Arial" w:cs="Arial" w:eastAsia="Arial" w:hAnsi="Arial"/>
          <w:sz w:val="16"/>
          <w:szCs w:val="16"/>
          <w:color w:val="auto"/>
        </w:rPr>
        <w:t>Each party irrevocably waives, to the fullest extent permitted by applicable law, with respect to itself and its revenues and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(irrespective of their use or intended use), all immunity on the grounds of sovereignty or other similar grounds from (i) suit, (ii) jurisdiction of</w:t>
      </w:r>
    </w:p>
    <w:p>
      <w:pPr>
        <w:ind w:right="120"/>
        <w:spacing w:after="0" w:line="302" w:lineRule="auto"/>
        <w:rPr>
          <w:rFonts w:ascii="Arial" w:cs="Arial" w:eastAsia="Arial" w:hAnsi="Arial"/>
          <w:sz w:val="16"/>
          <w:szCs w:val="16"/>
          <w:color w:val="auto"/>
        </w:rPr>
      </w:pPr>
      <w:r>
        <w:rPr>
          <w:rFonts w:ascii="Arial" w:cs="Arial" w:eastAsia="Arial" w:hAnsi="Arial"/>
          <w:sz w:val="16"/>
          <w:szCs w:val="16"/>
          <w:color w:val="auto"/>
        </w:rPr>
        <w:t>any court, (iii) relief by way of injunction, order for specific performance or for recovery of property, (iv) attachment of its assets (whether before or after judgment) and (v) execution or enforcement of any judgment to which it or its revenues or assets might otherwise be entitled in any Proceedings in the courts of any jurisdiction and irrevocably agrees, to the extent permitted by applicable law, that it will not claim any such immunity in any Proceedings.</w:t>
      </w:r>
    </w:p>
    <w:p>
      <w:pPr>
        <w:spacing w:after="0" w:line="225" w:lineRule="exact"/>
        <w:rPr>
          <w:sz w:val="20"/>
          <w:szCs w:val="20"/>
          <w:color w:val="auto"/>
        </w:rPr>
      </w:pPr>
    </w:p>
    <w:p>
      <w:pPr>
        <w:ind w:left="460" w:hanging="452"/>
        <w:spacing w:after="0"/>
        <w:tabs>
          <w:tab w:leader="none" w:pos="460"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“Additional Termination Event” </w:t>
      </w:r>
      <w:r>
        <w:rPr>
          <w:rFonts w:ascii="Arial" w:cs="Arial" w:eastAsia="Arial" w:hAnsi="Arial"/>
          <w:sz w:val="18"/>
          <w:szCs w:val="18"/>
          <w:color w:val="auto"/>
        </w:rPr>
        <w:t>has the meaning specified in Section 5(b).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“Affected Party” </w:t>
      </w:r>
      <w:r>
        <w:rPr>
          <w:rFonts w:ascii="Arial" w:cs="Arial" w:eastAsia="Arial" w:hAnsi="Arial"/>
          <w:sz w:val="18"/>
          <w:szCs w:val="18"/>
          <w:color w:val="auto"/>
        </w:rPr>
        <w:t>has the meaning specified in Section 5(b).</w:t>
      </w:r>
    </w:p>
    <w:p>
      <w:pPr>
        <w:spacing w:after="0" w:line="171"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b w:val="1"/>
          <w:bCs w:val="1"/>
          <w:i w:val="1"/>
          <w:iCs w:val="1"/>
          <w:color w:val="auto"/>
        </w:rPr>
        <w:t xml:space="preserve">“Affected Transactions” </w:t>
      </w:r>
      <w:r>
        <w:rPr>
          <w:rFonts w:ascii="Arial" w:cs="Arial" w:eastAsia="Arial" w:hAnsi="Arial"/>
          <w:sz w:val="16"/>
          <w:szCs w:val="16"/>
          <w:color w:val="auto"/>
        </w:rPr>
        <w:t>means (a) with respect to any Termination Event consisting of an Illegality, Tax Event or Tax Event Upon Merger, all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affected by the occurrence of such Termination Event and (b) with respect to any other Termination Event, all Transactions.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means, subject to the Schedule, in relation to any person, any entity controlled, directly or indirectly, by the person, any entity that controls, directly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indirectly, the person or any entity directly or indirectly under common control with the person. For this purpose, “control” of any entity or person means ownership of a majority of the voting power of the entity or person.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“Applicable Rate” </w:t>
      </w:r>
      <w:r>
        <w:rPr>
          <w:rFonts w:ascii="Arial" w:cs="Arial" w:eastAsia="Arial" w:hAnsi="Arial"/>
          <w:sz w:val="18"/>
          <w:szCs w:val="18"/>
          <w:color w:val="auto"/>
        </w:rPr>
        <w:t>means:—</w:t>
      </w:r>
    </w:p>
    <w:p>
      <w:pPr>
        <w:spacing w:after="0" w:line="171" w:lineRule="exact"/>
        <w:rPr>
          <w:sz w:val="20"/>
          <w:szCs w:val="20"/>
          <w:color w:val="auto"/>
        </w:rPr>
      </w:pPr>
    </w:p>
    <w:p>
      <w:pPr>
        <w:ind w:left="240" w:hanging="232"/>
        <w:spacing w:after="0"/>
        <w:tabs>
          <w:tab w:leader="none" w:pos="24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respect of obligations payable or deliverable (or which would have been but for Section 2(a)(iii)) by a Defaulting Party, the Default Rate;</w:t>
      </w:r>
    </w:p>
    <w:p>
      <w:pPr>
        <w:spacing w:after="0" w:line="171" w:lineRule="exact"/>
        <w:rPr>
          <w:rFonts w:ascii="Arial" w:cs="Arial" w:eastAsia="Arial" w:hAnsi="Arial"/>
          <w:sz w:val="18"/>
          <w:szCs w:val="18"/>
          <w:color w:val="auto"/>
        </w:rPr>
      </w:pPr>
    </w:p>
    <w:p>
      <w:pPr>
        <w:ind w:right="340" w:firstLine="8"/>
        <w:spacing w:after="0" w:line="268" w:lineRule="auto"/>
        <w:tabs>
          <w:tab w:leader="none" w:pos="249"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respect of an obligation to pay an amount under Section 6(e) of either party from and after the date (determined in accordance with Section 6(d)(ii)) on which that amount is payable, the Default Rate;</w:t>
      </w:r>
    </w:p>
    <w:p>
      <w:pPr>
        <w:spacing w:after="0" w:line="131" w:lineRule="exact"/>
        <w:rPr>
          <w:rFonts w:ascii="Arial" w:cs="Arial" w:eastAsia="Arial" w:hAnsi="Arial"/>
          <w:sz w:val="18"/>
          <w:szCs w:val="18"/>
          <w:color w:val="auto"/>
        </w:rPr>
      </w:pPr>
    </w:p>
    <w:p>
      <w:pPr>
        <w:ind w:right="60" w:firstLine="8"/>
        <w:spacing w:after="0" w:line="268" w:lineRule="auto"/>
        <w:tabs>
          <w:tab w:leader="none" w:pos="239"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respect of all other obligations payable or deliverable (or which would have been but for Section 2(a)(iii)) by a Non-defaulting Party, the Non-default Rate; and</w:t>
      </w:r>
    </w:p>
    <w:p>
      <w:pPr>
        <w:spacing w:after="0" w:line="172" w:lineRule="exact"/>
        <w:rPr>
          <w:rFonts w:ascii="Arial" w:cs="Arial" w:eastAsia="Arial" w:hAnsi="Arial"/>
          <w:sz w:val="18"/>
          <w:szCs w:val="18"/>
          <w:color w:val="auto"/>
        </w:rPr>
      </w:pPr>
    </w:p>
    <w:p>
      <w:pPr>
        <w:ind w:left="460" w:hanging="452"/>
        <w:spacing w:after="0"/>
        <w:tabs>
          <w:tab w:leader="none" w:pos="460" w:val="left"/>
        </w:tabs>
        <w:numPr>
          <w:ilvl w:val="0"/>
          <w:numId w:val="66"/>
        </w:numPr>
        <w:rPr>
          <w:rFonts w:ascii="Arial" w:cs="Arial" w:eastAsia="Arial" w:hAnsi="Arial"/>
          <w:sz w:val="18"/>
          <w:szCs w:val="18"/>
          <w:color w:val="auto"/>
        </w:rPr>
      </w:pPr>
      <w:r>
        <w:rPr>
          <w:rFonts w:ascii="Arial" w:cs="Arial" w:eastAsia="Arial" w:hAnsi="Arial"/>
          <w:sz w:val="18"/>
          <w:szCs w:val="18"/>
          <w:color w:val="auto"/>
        </w:rPr>
        <w:t>in all other cases, the Termination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“Burdened Party” </w:t>
      </w:r>
      <w:r>
        <w:rPr>
          <w:rFonts w:ascii="Arial" w:cs="Arial" w:eastAsia="Arial" w:hAnsi="Arial"/>
          <w:sz w:val="18"/>
          <w:szCs w:val="18"/>
          <w:color w:val="auto"/>
        </w:rPr>
        <w:t>has the meaning specified in Section 5(b)</w:t>
      </w:r>
      <w:r>
        <w:rPr>
          <w:rFonts w:ascii="Arial" w:cs="Arial" w:eastAsia="Arial" w:hAnsi="Arial"/>
          <w:sz w:val="18"/>
          <w:szCs w:val="18"/>
          <w:i w:val="1"/>
          <w:iCs w:val="1"/>
          <w:color w:val="auto"/>
        </w:rPr>
        <w:t>.</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 xml:space="preserve">“Change in Tax Law” </w:t>
      </w:r>
      <w:r>
        <w:rPr>
          <w:rFonts w:ascii="Arial" w:cs="Arial" w:eastAsia="Arial" w:hAnsi="Arial"/>
          <w:sz w:val="18"/>
          <w:szCs w:val="18"/>
          <w:color w:val="auto"/>
        </w:rPr>
        <w:t>means the enactment, promulgation, execution or ratification of, or any change in or amendment to, any law (or in the application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official interpretation of any law) that occurs on or after the date on which the relevant Transaction is entered into.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“consent” </w:t>
      </w:r>
      <w:r>
        <w:rPr>
          <w:rFonts w:ascii="Arial" w:cs="Arial" w:eastAsia="Arial" w:hAnsi="Arial"/>
          <w:sz w:val="18"/>
          <w:szCs w:val="18"/>
          <w:color w:val="auto"/>
        </w:rPr>
        <w:t>includes a consent, approval, action, authorisation, exemption, notice, filing, registration or exchange control consent.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“Credit Event Upon Merger” </w:t>
      </w:r>
      <w:r>
        <w:rPr>
          <w:rFonts w:ascii="Arial" w:cs="Arial" w:eastAsia="Arial" w:hAnsi="Arial"/>
          <w:sz w:val="18"/>
          <w:szCs w:val="18"/>
          <w:color w:val="auto"/>
        </w:rPr>
        <w:t>has the meaning specified in Section 5(b)</w:t>
      </w:r>
      <w:r>
        <w:rPr>
          <w:rFonts w:ascii="Arial" w:cs="Arial" w:eastAsia="Arial" w:hAnsi="Arial"/>
          <w:sz w:val="18"/>
          <w:szCs w:val="18"/>
          <w:i w:val="1"/>
          <w:iCs w:val="1"/>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“Credit Support Document” </w:t>
      </w:r>
      <w:r>
        <w:rPr>
          <w:rFonts w:ascii="Arial" w:cs="Arial" w:eastAsia="Arial" w:hAnsi="Arial"/>
          <w:sz w:val="18"/>
          <w:szCs w:val="18"/>
          <w:color w:val="auto"/>
        </w:rPr>
        <w:t>means any agreement or instrument that is specified as such in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“Credit Support Provider” </w:t>
      </w:r>
      <w:r>
        <w:rPr>
          <w:rFonts w:ascii="Arial" w:cs="Arial" w:eastAsia="Arial" w:hAnsi="Arial"/>
          <w:sz w:val="18"/>
          <w:szCs w:val="18"/>
          <w:color w:val="auto"/>
        </w:rPr>
        <w:t>has the meaning specified in the Schedule.</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 xml:space="preserve">“Default Rate” </w:t>
      </w:r>
      <w:r>
        <w:rPr>
          <w:rFonts w:ascii="Arial" w:cs="Arial" w:eastAsia="Arial" w:hAnsi="Arial"/>
          <w:sz w:val="18"/>
          <w:szCs w:val="18"/>
          <w:color w:val="auto"/>
        </w:rPr>
        <w:t>means a rate per annum equal to the cost (without proof or evidence of any actual cost) to the relevant payee (as certified by it) if it were to fund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of funding the relevant amount plus 1% per annum.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“Defaulting Party” </w:t>
      </w:r>
      <w:r>
        <w:rPr>
          <w:rFonts w:ascii="Arial" w:cs="Arial" w:eastAsia="Arial" w:hAnsi="Arial"/>
          <w:sz w:val="18"/>
          <w:szCs w:val="18"/>
          <w:color w:val="auto"/>
        </w:rPr>
        <w:t>has the meaning specified in Section 6(a).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“Early Termination Date” </w:t>
      </w:r>
      <w:r>
        <w:rPr>
          <w:rFonts w:ascii="Arial" w:cs="Arial" w:eastAsia="Arial" w:hAnsi="Arial"/>
          <w:sz w:val="18"/>
          <w:szCs w:val="18"/>
          <w:color w:val="auto"/>
        </w:rPr>
        <w:t>means the date determined in accordance with Section 6(a) or 6(b)(iv).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“Event of Default” </w:t>
      </w:r>
      <w:r>
        <w:rPr>
          <w:rFonts w:ascii="Arial" w:cs="Arial" w:eastAsia="Arial" w:hAnsi="Arial"/>
          <w:sz w:val="18"/>
          <w:szCs w:val="18"/>
          <w:color w:val="auto"/>
        </w:rPr>
        <w:t>has the meaning specified in Section 5(a) and, if applicable, in the Schedule.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“Illegality” </w:t>
      </w:r>
      <w:r>
        <w:rPr>
          <w:rFonts w:ascii="Arial" w:cs="Arial" w:eastAsia="Arial" w:hAnsi="Arial"/>
          <w:sz w:val="18"/>
          <w:szCs w:val="18"/>
          <w:color w:val="auto"/>
        </w:rPr>
        <w:t>has the meaning specified in Section 5(b).</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“Indemnifiable </w:t>
      </w:r>
      <w:r>
        <w:rPr>
          <w:rFonts w:ascii="Arial" w:cs="Arial" w:eastAsia="Arial" w:hAnsi="Arial"/>
          <w:sz w:val="16"/>
          <w:szCs w:val="16"/>
          <w:b w:val="1"/>
          <w:bCs w:val="1"/>
          <w:color w:val="auto"/>
        </w:rPr>
        <w:t>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any Tax other than a Tax that would not be imposed in respect of a payment under this Agreement but for a present or former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between the jurisdiction of the government or taxation authority imposing such Tax and the recipient of such payment or a person related to such recipient (including, without limitation, a connection arising from such recipient or related person being or having been a citizen or resident of such jurisdiction, or being or having been organised, present or engaged in a trade or business in such jurisdiction, or having or having had a permanent establishment or fixed place of business in such jurisdiction, but excluding a connection arising solely from such recipient or related person having executed, delivered, performed its obligations or received a payment under, or enforced, this Agreement or a Credit Support Document).</w:t>
      </w:r>
    </w:p>
    <w:p>
      <w:pPr>
        <w:spacing w:after="0" w:line="11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 xml:space="preserve">“law” </w:t>
      </w:r>
      <w:r>
        <w:rPr>
          <w:rFonts w:ascii="Arial" w:cs="Arial" w:eastAsia="Arial" w:hAnsi="Arial"/>
          <w:sz w:val="18"/>
          <w:szCs w:val="18"/>
          <w:color w:val="auto"/>
        </w:rPr>
        <w:t>includes any treaty, law, rule or regulation (as modified, in the case of tax matters, by the practice of any relevant governmental revenue authority) and</w:t>
      </w:r>
      <w:r>
        <w:rPr>
          <w:rFonts w:ascii="Arial" w:cs="Arial" w:eastAsia="Arial" w:hAnsi="Arial"/>
          <w:sz w:val="18"/>
          <w:szCs w:val="18"/>
          <w:b w:val="1"/>
          <w:bCs w:val="1"/>
          <w:i w:val="1"/>
          <w:iCs w:val="1"/>
          <w:color w:val="auto"/>
        </w:rPr>
        <w:t xml:space="preserve"> “lawful”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“unlawful” </w:t>
      </w:r>
      <w:r>
        <w:rPr>
          <w:rFonts w:ascii="Arial" w:cs="Arial" w:eastAsia="Arial" w:hAnsi="Arial"/>
          <w:sz w:val="18"/>
          <w:szCs w:val="18"/>
          <w:color w:val="auto"/>
        </w:rPr>
        <w:t>will be construed accordingly.</w:t>
      </w:r>
    </w:p>
    <w:p>
      <w:pPr>
        <w:spacing w:after="0" w:line="13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i w:val="1"/>
          <w:iCs w:val="1"/>
          <w:color w:val="auto"/>
        </w:rPr>
        <w:t xml:space="preserve">“Local Business Day” </w:t>
      </w:r>
      <w:r>
        <w:rPr>
          <w:rFonts w:ascii="Arial" w:cs="Arial" w:eastAsia="Arial" w:hAnsi="Arial"/>
          <w:sz w:val="16"/>
          <w:szCs w:val="16"/>
          <w:color w:val="auto"/>
        </w:rPr>
        <w:t>means, subject to the Schedule, a day on which commercial banks are open for business (including dealings in foreign exchange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foreign currency deposits) (a) in relation to any obligation under Section 2(a)(i), in the place(s) specified in the relevant Confirmation or, if not so specified, as otherwise agreed by the parties in writing or determined pursuant to provisions contained, or incorporated by reference, in this Agreement, (b) in relation to any other payment, in the place where the relevant account is located and, if different, in the principal financial centre, if any, of the currency of such payment, (c) in relation to any notice or other communication, including notice contemplated under Section 5(a)(i), in the city specified in the address for notice provided by the recipient and, in the case of a notice contemplated by Section 2(b), in the place where the relevant new account is to be located and (d) in relation to Section 5(a) (v)(2), in the relevant locations for performance with respect to such Specified Transaction.</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“Loss” </w:t>
      </w:r>
      <w:r>
        <w:rPr>
          <w:rFonts w:ascii="Arial" w:cs="Arial" w:eastAsia="Arial" w:hAnsi="Arial"/>
          <w:sz w:val="16"/>
          <w:szCs w:val="16"/>
          <w:color w:val="auto"/>
        </w:rPr>
        <w:t>means, with respect to this Agreement or one or more Terminated Transactions, as the case may be, and a party, the Termination Currency Equivalent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amount that party reasonably determines in good faith to be its total losses and costs (or gain, in which case expressed as a negative number) in connection with this Agreement or that Terminated Transaction or group of Terminated Transactions, as the case may be, including any loss of bargain, cost of funding or, at the election of such party but without duplication, loss or cost incurred as a result of its terminating, liquidating, obtaining or reestablishing any hedge or related trading position (or any gain resulting from any of them). Loss includes losses and costs (or gains) in respect of any payment or delivery required to have been made (assuming satisfaction of each applicable condition precedent) on or before the relevant Early Termination Date and not made, except, so as to avoid duplication, if Section 6(e)(i)(1) or (3) or 6(e)(ii)(2)(A) applies. Loss does not include a party’s legal fees and out-of-pocket expenses referred to under Section 11. A party will determine its Loss as of the relevant Early Termination Date, or, if that is not reasonably practicable, as of the earliest date thereafter as is reasonably practicable. A party may (but need not) determine its Loss by reference to quotations of relevant rates or prices from one or more leading dealers in the relevant markets.</w:t>
      </w:r>
    </w:p>
    <w:p>
      <w:pPr>
        <w:spacing w:after="0" w:line="1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“Market Quotation” </w:t>
      </w:r>
      <w:r>
        <w:rPr>
          <w:rFonts w:ascii="Arial" w:cs="Arial" w:eastAsia="Arial" w:hAnsi="Arial"/>
          <w:sz w:val="16"/>
          <w:szCs w:val="16"/>
          <w:color w:val="auto"/>
        </w:rPr>
        <w:t>means, with respect to one or more Terminated Transactions and a party making the determination, an amount determined on the basis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quotations from Reference Market-makers. Each quotation will be for an amount, if any, that would be paid to such party (expressed as a negative number) or by such party (expressed as a positive number) in consideration of an agreement between such party (taking into account any existing Credit Support Document with respect to the obligations of such party) and the quoting Reference Market-maker to enter into a transaction (the “Replacement Transaction”) that would have the effect of preserving for such party the economic equivalent of any payment or delivery (whether the underlying obligation was absolute or contingent and assuming the satisfaction of each applicable condition precedent) by the parties under Section 2(a)(i) in respect of such Terminated Transaction or group of Terminated Transactions that would, but for the occurrence of the relevant Early Termination Date, have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54" w:name="page55"/>
    <w:bookmarkEnd w:id="5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been required after that date. For this purpose, Unpaid Amounts in respect of the Terminated Transaction or group of Terminated Transactions are to be excluded but, without limitation, any payment or delivery that would, but for the relevant Early Termination Date, have been required (assuming satisfaction of each applicable condition precedent) after that Early Termination Date is to be included. The Replacement Transaction would be subject to such documentation as such party and the Reference Market-maker may, in good faith, agree. The party making the determination (or its agent) will request each Reference Market maker to provide its quotation to the extent reasonably practicable as of the same day and time (without regard to different time zones) on or as soon as reasonably practicable after the relevant Early Termination Date. The day and time as of which those quotations are to be obtained will be selected in good faith by the party obliged to make a determination under Section 6(e), and, if each party is so obliged, after consultation with the other. If more than three quotations are provided, the Market Quotation will be the arithmetic mean of the quotations, without regard to the quotations having the highest and lowest values. If exactly three such quotations are provided, the Market Quotation will be the quotation remaining after disregarding the highest and lowest quotations. For this purpose, if more than one quotation has the same highest value or lowest value, then one of such quotations shall be disregarded. If fewer than three quotations are provided, it will be deemed that the Market Quotation in respect of such Terminated Transaction or group of Terminated Transactions cannot be determined.</w:t>
      </w:r>
    </w:p>
    <w:p>
      <w:pPr>
        <w:spacing w:after="0" w:line="12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 xml:space="preserve">“Non-default Rate” </w:t>
      </w:r>
      <w:r>
        <w:rPr>
          <w:rFonts w:ascii="Arial" w:cs="Arial" w:eastAsia="Arial" w:hAnsi="Arial"/>
          <w:sz w:val="18"/>
          <w:szCs w:val="18"/>
          <w:color w:val="auto"/>
        </w:rPr>
        <w:t>means a rate per annum equal to the cost (without proof or evidence of any actual cost) to the Non-defaulting Party (as certified by it) if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to fund the relevant amount.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“Non-defaulting Party” </w:t>
      </w:r>
      <w:r>
        <w:rPr>
          <w:rFonts w:ascii="Arial" w:cs="Arial" w:eastAsia="Arial" w:hAnsi="Arial"/>
          <w:sz w:val="18"/>
          <w:szCs w:val="18"/>
          <w:color w:val="auto"/>
        </w:rPr>
        <w:t>has the meaning specified in Section 6(a).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“Office” </w:t>
      </w:r>
      <w:r>
        <w:rPr>
          <w:rFonts w:ascii="Arial" w:cs="Arial" w:eastAsia="Arial" w:hAnsi="Arial"/>
          <w:sz w:val="18"/>
          <w:szCs w:val="18"/>
          <w:color w:val="auto"/>
        </w:rPr>
        <w:t>means a branch or office of a party, which may be such party’s head or home office.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“Potential Event of Default” </w:t>
      </w:r>
      <w:r>
        <w:rPr>
          <w:rFonts w:ascii="Arial" w:cs="Arial" w:eastAsia="Arial" w:hAnsi="Arial"/>
          <w:sz w:val="16"/>
          <w:szCs w:val="16"/>
          <w:color w:val="auto"/>
        </w:rPr>
        <w:t>means any event which, with the giving of notice or the lapse of time or both, would constitute an Event of Default.</w:t>
      </w:r>
    </w:p>
    <w:p>
      <w:pPr>
        <w:spacing w:after="0" w:line="19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b w:val="1"/>
          <w:bCs w:val="1"/>
          <w:i w:val="1"/>
          <w:iCs w:val="1"/>
          <w:color w:val="auto"/>
        </w:rPr>
        <w:t xml:space="preserve">“Reference Market-makers” </w:t>
      </w:r>
      <w:r>
        <w:rPr>
          <w:rFonts w:ascii="Arial" w:cs="Arial" w:eastAsia="Arial" w:hAnsi="Arial"/>
          <w:sz w:val="16"/>
          <w:szCs w:val="16"/>
          <w:color w:val="auto"/>
        </w:rPr>
        <w:t>means four leading dealers in the relevant market selected by the party determining a Market Quotation in good faith (a)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among dealers of the highest credit standing which satisfy all the criteria that such party applies generally at the time in deciding whether to offer or to make an extension of credit and (b) to the extent practicable, from among such dealers having an office in the same city.</w:t>
      </w:r>
    </w:p>
    <w:p>
      <w:pPr>
        <w:spacing w:after="0" w:line="10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b w:val="1"/>
          <w:bCs w:val="1"/>
          <w:i w:val="1"/>
          <w:iCs w:val="1"/>
          <w:color w:val="auto"/>
        </w:rPr>
        <w:t xml:space="preserve">“Relevant Jurisdiction” </w:t>
      </w:r>
      <w:r>
        <w:rPr>
          <w:rFonts w:ascii="Arial" w:cs="Arial" w:eastAsia="Arial" w:hAnsi="Arial"/>
          <w:sz w:val="18"/>
          <w:szCs w:val="18"/>
          <w:color w:val="auto"/>
        </w:rPr>
        <w:t>means, with respect to a party, the jurisdictions (a) in which the party is incorporated, organised, managed and controlled or considered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have its seat, (b) where an Office through which the party is acting for purposes of this Agreement is located, (c) in which the party executes this Agreement and (d) in relation to any payment, from or through which such payment is made.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“Scheduled Payment Date” </w:t>
      </w:r>
      <w:r>
        <w:rPr>
          <w:rFonts w:ascii="Arial" w:cs="Arial" w:eastAsia="Arial" w:hAnsi="Arial"/>
          <w:sz w:val="18"/>
          <w:szCs w:val="18"/>
          <w:color w:val="auto"/>
        </w:rPr>
        <w:t>means a date on which a payment or delivery is to be made under Section 2(a)(i) with respect to a Transaction.</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“Set-off” </w:t>
      </w:r>
      <w:r>
        <w:rPr>
          <w:rFonts w:ascii="Arial" w:cs="Arial" w:eastAsia="Arial" w:hAnsi="Arial"/>
          <w:sz w:val="18"/>
          <w:szCs w:val="18"/>
          <w:color w:val="auto"/>
        </w:rPr>
        <w:t>means set-off, offset, combination of accounts, right of retention or withholding or similar right or requirement to which the payer of an amount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6 is entitled or subject (whether arising under this Agreement, another contract, applicable law or otherwise) that is exercised by, or imposed on, such payer.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“Settlement Amount” </w:t>
      </w:r>
      <w:r>
        <w:rPr>
          <w:rFonts w:ascii="Arial" w:cs="Arial" w:eastAsia="Arial" w:hAnsi="Arial"/>
          <w:sz w:val="18"/>
          <w:szCs w:val="18"/>
          <w:color w:val="auto"/>
        </w:rPr>
        <w:t>means, with respect to a party and any Early Termination Date, the sum of:—</w:t>
      </w:r>
    </w:p>
    <w:p>
      <w:pPr>
        <w:spacing w:after="0" w:line="90" w:lineRule="exact"/>
        <w:rPr>
          <w:sz w:val="20"/>
          <w:szCs w:val="20"/>
          <w:color w:val="auto"/>
        </w:rPr>
      </w:pPr>
    </w:p>
    <w:p>
      <w:pPr>
        <w:ind w:right="580" w:firstLine="8"/>
        <w:spacing w:after="0" w:line="268" w:lineRule="auto"/>
        <w:tabs>
          <w:tab w:leader="none" w:pos="239"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Termination Currency Equivalent of the Market Quotations (whether positive or negative) for each Terminated Transaction or group of Terminated Transactions for which a Market Quotation is determined; and</w:t>
      </w:r>
    </w:p>
    <w:p>
      <w:pPr>
        <w:spacing w:after="0" w:line="131" w:lineRule="exact"/>
        <w:rPr>
          <w:rFonts w:ascii="Arial" w:cs="Arial" w:eastAsia="Arial" w:hAnsi="Arial"/>
          <w:sz w:val="18"/>
          <w:szCs w:val="18"/>
          <w:color w:val="auto"/>
        </w:rPr>
      </w:pPr>
    </w:p>
    <w:p>
      <w:pPr>
        <w:ind w:right="480" w:firstLine="8"/>
        <w:spacing w:after="0" w:line="259" w:lineRule="auto"/>
        <w:tabs>
          <w:tab w:leader="none" w:pos="249" w:val="left"/>
        </w:tabs>
        <w:numPr>
          <w:ilvl w:val="0"/>
          <w:numId w:val="67"/>
        </w:numPr>
        <w:rPr>
          <w:rFonts w:ascii="Arial" w:cs="Arial" w:eastAsia="Arial" w:hAnsi="Arial"/>
          <w:sz w:val="18"/>
          <w:szCs w:val="18"/>
          <w:color w:val="auto"/>
        </w:rPr>
      </w:pPr>
      <w:r>
        <w:rPr>
          <w:rFonts w:ascii="Arial" w:cs="Arial" w:eastAsia="Arial" w:hAnsi="Arial"/>
          <w:sz w:val="18"/>
          <w:szCs w:val="18"/>
          <w:color w:val="auto"/>
        </w:rPr>
        <w:t>such party’s Loss (whether positive or negative and without reference to any Unpaid Amounts) for each Terminated Transaction or group of Terminated Transactions for which a Market Quotation cannot be determined or would not (in the reasonable belief of the party making the determination) produce a commercially reasonable result.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“Specified Entity” </w:t>
      </w:r>
      <w:r>
        <w:rPr>
          <w:rFonts w:ascii="Arial" w:cs="Arial" w:eastAsia="Arial" w:hAnsi="Arial"/>
          <w:sz w:val="18"/>
          <w:szCs w:val="18"/>
          <w:color w:val="auto"/>
        </w:rPr>
        <w:t>has the meaning specified in the Schedule.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55" w:name="page56"/>
    <w:bookmarkEnd w:id="55"/>
    <w:p>
      <w:pPr>
        <w:ind w:right="10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“Specified Indebtedness” </w:t>
      </w:r>
      <w:r>
        <w:rPr>
          <w:rFonts w:ascii="Arial" w:cs="Arial" w:eastAsia="Arial" w:hAnsi="Arial"/>
          <w:sz w:val="18"/>
          <w:szCs w:val="18"/>
          <w:color w:val="auto"/>
        </w:rPr>
        <w:t>means, subject to the Schedule, any obligation (whether present or future, contingent or otherwise, as principal or surety or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respect of borrowed money.</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“Specified Transaction” </w:t>
      </w:r>
      <w:r>
        <w:rPr>
          <w:rFonts w:ascii="Arial" w:cs="Arial" w:eastAsia="Arial" w:hAnsi="Arial"/>
          <w:sz w:val="16"/>
          <w:szCs w:val="16"/>
          <w:color w:val="auto"/>
        </w:rPr>
        <w:t>means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Schedule, (a) any transaction (including an agreement with respect thereto) now existing or hereafter entered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between one party to this Agreement (or any Credit Support Provider of such party or any applicable Specified Entity of such party) and the other party to this Agreement (or any Credit Support Provider of such other party or any applicable Specified Entity of such other party) which is a rate swap transaction,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or any other similar transaction (including any option with respect to any of these transactions), (b) any combination of these transactions and (c) any other transaction identified as a Specified Transaction in this Agreement or the relevant confirmation.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“Stamp Tax” </w:t>
      </w:r>
      <w:r>
        <w:rPr>
          <w:rFonts w:ascii="Arial" w:cs="Arial" w:eastAsia="Arial" w:hAnsi="Arial"/>
          <w:sz w:val="18"/>
          <w:szCs w:val="18"/>
          <w:color w:val="auto"/>
        </w:rPr>
        <w:t>means any stamp, registration, documentation or similar tax.</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“Tax” </w:t>
      </w:r>
      <w:r>
        <w:rPr>
          <w:rFonts w:ascii="Arial" w:cs="Arial" w:eastAsia="Arial" w:hAnsi="Arial"/>
          <w:sz w:val="18"/>
          <w:szCs w:val="18"/>
          <w:color w:val="auto"/>
        </w:rPr>
        <w:t>means any present or future tax, levy, impost, duty, charge, assessment or fee of any nature (including interest, penalties and additions thereto)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imposed by any government or other taxing authority in respect of any payment under this Agreement other than a stamp, registration, documentation or similar tax.</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“Tax Event” </w:t>
      </w:r>
      <w:r>
        <w:rPr>
          <w:rFonts w:ascii="Arial" w:cs="Arial" w:eastAsia="Arial" w:hAnsi="Arial"/>
          <w:sz w:val="18"/>
          <w:szCs w:val="18"/>
          <w:color w:val="auto"/>
        </w:rPr>
        <w:t>has the meaning specified in Section 5(b).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“Tax Event Upon Merger” </w:t>
      </w:r>
      <w:r>
        <w:rPr>
          <w:rFonts w:ascii="Arial" w:cs="Arial" w:eastAsia="Arial" w:hAnsi="Arial"/>
          <w:sz w:val="18"/>
          <w:szCs w:val="18"/>
          <w:color w:val="auto"/>
        </w:rPr>
        <w:t>has the meaning specified in Section 5(b).</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“Terminated Transactions” </w:t>
      </w:r>
      <w:r>
        <w:rPr>
          <w:rFonts w:ascii="Arial" w:cs="Arial" w:eastAsia="Arial" w:hAnsi="Arial"/>
          <w:sz w:val="18"/>
          <w:szCs w:val="18"/>
          <w:color w:val="auto"/>
        </w:rPr>
        <w:t>means with respect to any Early Termination Date (a) if resulting from a Termination Event, all Affected Transactions and (b)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from an Event of Default, all Transactions (in either case) in effect immediately before the effectiveness of the notice designating that Early Termination Date (or, if ”Automatic Early Termination” applies, immediately before that Early Termination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“Termination Currency” </w:t>
      </w:r>
      <w:r>
        <w:rPr>
          <w:rFonts w:ascii="Arial" w:cs="Arial" w:eastAsia="Arial" w:hAnsi="Arial"/>
          <w:sz w:val="18"/>
          <w:szCs w:val="18"/>
          <w:color w:val="auto"/>
        </w:rPr>
        <w:t>has the meaning specified in the Schedule.</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color w:val="auto"/>
        </w:rPr>
        <w:t xml:space="preserve">“Termination Currency Equivalent” </w:t>
      </w:r>
      <w:r>
        <w:rPr>
          <w:rFonts w:ascii="Arial" w:cs="Arial" w:eastAsia="Arial" w:hAnsi="Arial"/>
          <w:sz w:val="18"/>
          <w:szCs w:val="18"/>
          <w:color w:val="auto"/>
        </w:rPr>
        <w:t>means, in respect of any amount denominated in the Termination Currency, such Termination Currency amount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of any amount denominated in a currency other than the Termination Currency (the “Other Currency”), the amount in the Termination Currency determined by the party making the relevant determination as being required to purchase such amount of such Other Currency as at the relevant Early Termination Date, or, if the relevant Market Quotation or Loss (as the case may be), is determined as of a later date, that later date, with the Termination Currency at the rate equal to the spot exchange rate of the foreign exchange agent (selected as provided below) for the purchase of such Other Currency with the Termination Currency at or about 11:00 a.m. (in the city in which such foreign exchange agent is located) on such date as would be customary for the determination of such a rate for the purchase of such Other Currency for value on the relevant Early Termination Date or that later date. The foreign exchange agent will, if only one party is obliged to make a determination under Section 6(e), be selected in good faith by that party and otherwise will be agreed by the parties.</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“Termination Event” </w:t>
      </w:r>
      <w:r>
        <w:rPr>
          <w:rFonts w:ascii="Arial" w:cs="Arial" w:eastAsia="Arial" w:hAnsi="Arial"/>
          <w:sz w:val="18"/>
          <w:szCs w:val="18"/>
          <w:color w:val="auto"/>
        </w:rPr>
        <w:t>means an Illegality, a Tax Event or a Tax Event Upon Merger or, if specified to be applicable, a Credit Event Upon Merger or an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Event.</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 xml:space="preserve">“Termination Rate” </w:t>
      </w:r>
      <w:r>
        <w:rPr>
          <w:rFonts w:ascii="Arial" w:cs="Arial" w:eastAsia="Arial" w:hAnsi="Arial"/>
          <w:sz w:val="18"/>
          <w:szCs w:val="18"/>
          <w:color w:val="auto"/>
        </w:rPr>
        <w:t>means a rate per annum equal to the arithmetic mean of the cost (without proof or evidence of any actual cost) to each party (as certified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party) if it were to fund or of funding such amounts.</w:t>
      </w:r>
    </w:p>
    <w:p>
      <w:pPr>
        <w:spacing w:after="0" w:line="132"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b w:val="1"/>
          <w:bCs w:val="1"/>
          <w:i w:val="1"/>
          <w:iCs w:val="1"/>
          <w:color w:val="auto"/>
        </w:rPr>
        <w:t xml:space="preserve">“Unpaid Amounts” </w:t>
      </w:r>
      <w:r>
        <w:rPr>
          <w:rFonts w:ascii="Arial" w:cs="Arial" w:eastAsia="Arial" w:hAnsi="Arial"/>
          <w:sz w:val="16"/>
          <w:szCs w:val="16"/>
          <w:color w:val="auto"/>
        </w:rPr>
        <w:t>owing to any party means, with respect to an Early Termination Date, the aggregate of (a) in respect of all Terminated Transactions,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that became payable (or that would have become payable but for Section 2(a)(iii)) to such party under Section 2(a)(i) on or prior to such Early Termination Date and which remain unpaid as at such Early Termination Date and (b) in respect of each Terminated Transaction, for each obligation under Section 2(a)(i) which was (or would have been but for Section 2(a) (iii)) required to be settled by delivery to such party on or prior to such Early Termination Date and which has not been so settled as at such Early Termination Date, an amount equal to the fair market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56" w:name="page57"/>
    <w:bookmarkEnd w:id="56"/>
    <w:p>
      <w:pPr>
        <w:ind w:right="3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value of that which was (or would have been) required to be delivered as of the originally scheduled date for delivery, in each case together with (to the extent permitted under applicable law) interest, in the currency of such amounts, from (and including) the date such amounts or obligations were</w:t>
      </w:r>
    </w:p>
    <w:p>
      <w:pPr>
        <w:spacing w:after="0" w:line="281" w:lineRule="auto"/>
        <w:rPr>
          <w:sz w:val="20"/>
          <w:szCs w:val="20"/>
          <w:color w:val="auto"/>
        </w:rPr>
      </w:pPr>
      <w:r>
        <w:rPr>
          <w:rFonts w:ascii="Arial" w:cs="Arial" w:eastAsia="Arial" w:hAnsi="Arial"/>
          <w:sz w:val="16"/>
          <w:szCs w:val="16"/>
          <w:color w:val="auto"/>
        </w:rPr>
        <w:t>or would have been required to have been paid or performed to (but excluding) such Early Termination Date, at the Applicable Rate. Such amounts of interest will be calculated on the basis of daily compounding and the actual number of days elapsed. The fair market value of any obligation referred to in clause</w:t>
      </w:r>
    </w:p>
    <w:p>
      <w:pPr>
        <w:spacing w:after="0" w:line="1" w:lineRule="exact"/>
        <w:rPr>
          <w:sz w:val="20"/>
          <w:szCs w:val="20"/>
          <w:color w:val="auto"/>
        </w:rPr>
      </w:pPr>
    </w:p>
    <w:p>
      <w:pPr>
        <w:ind w:right="140" w:firstLine="8"/>
        <w:spacing w:after="0" w:line="261" w:lineRule="auto"/>
        <w:tabs>
          <w:tab w:leader="none" w:pos="249" w:val="left"/>
        </w:tabs>
        <w:numPr>
          <w:ilvl w:val="0"/>
          <w:numId w:val="68"/>
        </w:numPr>
        <w:rPr>
          <w:rFonts w:ascii="Arial" w:cs="Arial" w:eastAsia="Arial" w:hAnsi="Arial"/>
          <w:sz w:val="18"/>
          <w:szCs w:val="18"/>
          <w:color w:val="auto"/>
        </w:rPr>
      </w:pPr>
      <w:r>
        <w:rPr>
          <w:rFonts w:ascii="Arial" w:cs="Arial" w:eastAsia="Arial" w:hAnsi="Arial"/>
          <w:sz w:val="18"/>
          <w:szCs w:val="18"/>
          <w:color w:val="auto"/>
        </w:rPr>
        <w:t>above shall be reasonably determined by the party obliged to make the determination under Section 6(e) or, if each party is so obliged, it shall be the average of the Termination Currency Equivalents of the fair market values reasonably determined by both parties.</w:t>
      </w:r>
    </w:p>
    <w:p>
      <w:pPr>
        <w:spacing w:after="0" w:line="13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WITNESS WHEREOF the parties have executed this document on the respective dates specified below with effect from the date specified on the first page of this document.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0" w:type="dxa"/>
            <w:vAlign w:val="bottom"/>
          </w:tcPr>
          <w:p>
            <w:pPr>
              <w:spacing w:after="0"/>
              <w:rPr>
                <w:sz w:val="19"/>
                <w:szCs w:val="19"/>
                <w:color w:val="auto"/>
              </w:rPr>
            </w:pPr>
          </w:p>
        </w:tc>
        <w:tc>
          <w:tcPr>
            <w:tcW w:w="3980" w:type="dxa"/>
            <w:vAlign w:val="bottom"/>
          </w:tcPr>
          <w:p>
            <w:pPr>
              <w:ind w:left="680"/>
              <w:spacing w:after="0"/>
              <w:rPr>
                <w:sz w:val="20"/>
                <w:szCs w:val="20"/>
                <w:color w:val="auto"/>
              </w:rPr>
            </w:pPr>
            <w:r>
              <w:rPr>
                <w:rFonts w:ascii="Arial" w:cs="Arial" w:eastAsia="Arial" w:hAnsi="Arial"/>
                <w:sz w:val="18"/>
                <w:szCs w:val="18"/>
                <w:b w:val="1"/>
                <w:bCs w:val="1"/>
                <w:color w:val="auto"/>
              </w:rPr>
              <w:t>Credit Suisse International</w:t>
            </w:r>
          </w:p>
        </w:tc>
        <w:tc>
          <w:tcPr>
            <w:tcW w:w="2860" w:type="dxa"/>
            <w:vAlign w:val="bottom"/>
          </w:tcPr>
          <w:p>
            <w:pPr>
              <w:spacing w:after="0"/>
              <w:rPr>
                <w:sz w:val="19"/>
                <w:szCs w:val="19"/>
                <w:color w:val="auto"/>
              </w:rPr>
            </w:pPr>
          </w:p>
        </w:tc>
        <w:tc>
          <w:tcPr>
            <w:tcW w:w="3980" w:type="dxa"/>
            <w:vAlign w:val="bottom"/>
          </w:tcPr>
          <w:p>
            <w:pPr>
              <w:ind w:left="720"/>
              <w:spacing w:after="0"/>
              <w:rPr>
                <w:sz w:val="20"/>
                <w:szCs w:val="20"/>
                <w:color w:val="auto"/>
              </w:rPr>
            </w:pPr>
            <w:r>
              <w:rPr>
                <w:rFonts w:ascii="Arial" w:cs="Arial" w:eastAsia="Arial" w:hAnsi="Arial"/>
                <w:sz w:val="18"/>
                <w:szCs w:val="18"/>
                <w:b w:val="1"/>
                <w:bCs w:val="1"/>
                <w:color w:val="auto"/>
              </w:rPr>
              <w:t>National Cinemedia, LLC</w:t>
            </w:r>
          </w:p>
        </w:tc>
      </w:tr>
      <w:tr>
        <w:trPr>
          <w:trHeight w:val="432"/>
        </w:trPr>
        <w:tc>
          <w:tcPr>
            <w:tcW w:w="600" w:type="dxa"/>
            <w:vAlign w:val="bottom"/>
          </w:tcPr>
          <w:p>
            <w:pPr>
              <w:spacing w:after="0"/>
              <w:rPr>
                <w:sz w:val="24"/>
                <w:szCs w:val="24"/>
                <w:color w:val="auto"/>
              </w:rPr>
            </w:pPr>
          </w:p>
        </w:tc>
        <w:tc>
          <w:tcPr>
            <w:tcW w:w="3980" w:type="dxa"/>
            <w:vAlign w:val="bottom"/>
          </w:tcPr>
          <w:p>
            <w:pPr>
              <w:ind w:left="1120"/>
              <w:spacing w:after="0"/>
              <w:rPr>
                <w:sz w:val="20"/>
                <w:szCs w:val="20"/>
                <w:color w:val="auto"/>
              </w:rPr>
            </w:pPr>
            <w:r>
              <w:rPr>
                <w:rFonts w:ascii="Arial" w:cs="Arial" w:eastAsia="Arial" w:hAnsi="Arial"/>
                <w:sz w:val="18"/>
                <w:szCs w:val="18"/>
                <w:i w:val="1"/>
                <w:iCs w:val="1"/>
                <w:color w:val="auto"/>
              </w:rPr>
              <w:t>(Name of Party)</w:t>
            </w:r>
          </w:p>
        </w:tc>
        <w:tc>
          <w:tcPr>
            <w:tcW w:w="2860" w:type="dxa"/>
            <w:vAlign w:val="bottom"/>
          </w:tcPr>
          <w:p>
            <w:pPr>
              <w:spacing w:after="0"/>
              <w:rPr>
                <w:sz w:val="24"/>
                <w:szCs w:val="24"/>
                <w:color w:val="auto"/>
              </w:rPr>
            </w:pPr>
          </w:p>
        </w:tc>
        <w:tc>
          <w:tcPr>
            <w:tcW w:w="3980" w:type="dxa"/>
            <w:vAlign w:val="bottom"/>
          </w:tcPr>
          <w:p>
            <w:pPr>
              <w:ind w:left="1120"/>
              <w:spacing w:after="0"/>
              <w:rPr>
                <w:sz w:val="20"/>
                <w:szCs w:val="20"/>
                <w:color w:val="auto"/>
              </w:rPr>
            </w:pPr>
            <w:r>
              <w:rPr>
                <w:rFonts w:ascii="Arial" w:cs="Arial" w:eastAsia="Arial" w:hAnsi="Arial"/>
                <w:sz w:val="18"/>
                <w:szCs w:val="18"/>
                <w:i w:val="1"/>
                <w:iCs w:val="1"/>
                <w:color w:val="auto"/>
              </w:rPr>
              <w:t>(Name of Party)</w:t>
            </w:r>
          </w:p>
        </w:tc>
      </w:tr>
      <w:tr>
        <w:trPr>
          <w:trHeight w:val="434"/>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Marleen Nobile</w:t>
            </w:r>
          </w:p>
        </w:tc>
        <w:tc>
          <w:tcPr>
            <w:tcW w:w="2860" w:type="dxa"/>
            <w:vAlign w:val="bottom"/>
          </w:tcPr>
          <w:p>
            <w:pPr>
              <w:ind w:left="22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W. Ferrera</w:t>
            </w:r>
          </w:p>
        </w:tc>
      </w:tr>
      <w:tr>
        <w:trPr>
          <w:trHeight w:val="215"/>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Marleen Nobile</w:t>
            </w:r>
          </w:p>
        </w:tc>
        <w:tc>
          <w:tcPr>
            <w:tcW w:w="2860" w:type="dxa"/>
            <w:vAlign w:val="bottom"/>
          </w:tcPr>
          <w:p>
            <w:pPr>
              <w:ind w:left="228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Gary W. Ferrera</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c>
          <w:tcPr>
            <w:tcW w:w="2860" w:type="dxa"/>
            <w:vAlign w:val="bottom"/>
          </w:tcPr>
          <w:p>
            <w:pPr>
              <w:ind w:left="228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CFO/EVP</w:t>
            </w: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spacing w:after="0"/>
              <w:rPr>
                <w:sz w:val="19"/>
                <w:szCs w:val="19"/>
                <w:color w:val="auto"/>
              </w:rPr>
            </w:pPr>
          </w:p>
        </w:tc>
        <w:tc>
          <w:tcPr>
            <w:tcW w:w="2860" w:type="dxa"/>
            <w:vAlign w:val="bottom"/>
          </w:tcPr>
          <w:p>
            <w:pPr>
              <w:ind w:left="2280"/>
              <w:spacing w:after="0"/>
              <w:rPr>
                <w:sz w:val="20"/>
                <w:szCs w:val="20"/>
                <w:color w:val="auto"/>
              </w:rPr>
            </w:pPr>
            <w:r>
              <w:rPr>
                <w:rFonts w:ascii="Arial" w:cs="Arial" w:eastAsia="Arial" w:hAnsi="Arial"/>
                <w:sz w:val="18"/>
                <w:szCs w:val="18"/>
                <w:color w:val="auto"/>
              </w:rPr>
              <w:t>Date:</w:t>
            </w:r>
          </w:p>
        </w:tc>
        <w:tc>
          <w:tcPr>
            <w:tcW w:w="3980" w:type="dxa"/>
            <w:vAlign w:val="bottom"/>
          </w:tcPr>
          <w:p>
            <w:pPr>
              <w:spacing w:after="0"/>
              <w:rPr>
                <w:sz w:val="20"/>
                <w:szCs w:val="20"/>
                <w:color w:val="auto"/>
              </w:rPr>
            </w:pPr>
            <w:r>
              <w:rPr>
                <w:rFonts w:ascii="Arial" w:cs="Arial" w:eastAsia="Arial" w:hAnsi="Arial"/>
                <w:sz w:val="18"/>
                <w:szCs w:val="18"/>
                <w:color w:val="auto"/>
              </w:rPr>
              <w:t>August 1, 2007</w:t>
            </w:r>
          </w:p>
        </w:tc>
      </w:tr>
      <w:tr>
        <w:trPr>
          <w:trHeight w:val="434"/>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Kamel Ouchikh</w:t>
            </w:r>
          </w:p>
        </w:tc>
        <w:tc>
          <w:tcPr>
            <w:tcW w:w="2860" w:type="dxa"/>
            <w:vAlign w:val="bottom"/>
          </w:tcPr>
          <w:p>
            <w:pPr>
              <w:ind w:left="228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4"/>
                <w:szCs w:val="24"/>
                <w:color w:val="auto"/>
              </w:rPr>
            </w:pPr>
          </w:p>
        </w:tc>
      </w:tr>
      <w:tr>
        <w:trPr>
          <w:trHeight w:val="215"/>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20"/>
                <w:szCs w:val="20"/>
                <w:color w:val="auto"/>
              </w:rPr>
            </w:pPr>
            <w:r>
              <w:rPr>
                <w:rFonts w:ascii="Arial" w:cs="Arial" w:eastAsia="Arial" w:hAnsi="Arial"/>
                <w:sz w:val="18"/>
                <w:szCs w:val="18"/>
                <w:color w:val="auto"/>
              </w:rPr>
              <w:t>Kamel Ouchikh</w:t>
            </w:r>
          </w:p>
        </w:tc>
        <w:tc>
          <w:tcPr>
            <w:tcW w:w="2860" w:type="dxa"/>
            <w:vAlign w:val="bottom"/>
          </w:tcPr>
          <w:p>
            <w:pPr>
              <w:ind w:left="2280"/>
              <w:spacing w:after="0"/>
              <w:rPr>
                <w:sz w:val="20"/>
                <w:szCs w:val="20"/>
                <w:color w:val="auto"/>
              </w:rPr>
            </w:pPr>
            <w:r>
              <w:rPr>
                <w:rFonts w:ascii="Arial" w:cs="Arial" w:eastAsia="Arial" w:hAnsi="Arial"/>
                <w:sz w:val="18"/>
                <w:szCs w:val="18"/>
                <w:color w:val="auto"/>
              </w:rPr>
              <w:t>Name:</w:t>
            </w:r>
          </w:p>
        </w:tc>
        <w:tc>
          <w:tcPr>
            <w:tcW w:w="3980" w:type="dxa"/>
            <w:vAlign w:val="bottom"/>
          </w:tcPr>
          <w:p>
            <w:pPr>
              <w:spacing w:after="0"/>
              <w:rPr>
                <w:sz w:val="18"/>
                <w:szCs w:val="18"/>
                <w:color w:val="auto"/>
              </w:rPr>
            </w:pP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20"/>
                <w:szCs w:val="20"/>
                <w:color w:val="auto"/>
              </w:rPr>
            </w:pPr>
            <w:r>
              <w:rPr>
                <w:rFonts w:ascii="Arial" w:cs="Arial" w:eastAsia="Arial" w:hAnsi="Arial"/>
                <w:sz w:val="18"/>
                <w:szCs w:val="18"/>
                <w:color w:val="auto"/>
              </w:rPr>
              <w:t>Authorized Signatory</w:t>
            </w:r>
          </w:p>
        </w:tc>
        <w:tc>
          <w:tcPr>
            <w:tcW w:w="2860" w:type="dxa"/>
            <w:vAlign w:val="bottom"/>
          </w:tcPr>
          <w:p>
            <w:pPr>
              <w:ind w:left="2280"/>
              <w:spacing w:after="0"/>
              <w:rPr>
                <w:sz w:val="20"/>
                <w:szCs w:val="20"/>
                <w:color w:val="auto"/>
              </w:rPr>
            </w:pPr>
            <w:r>
              <w:rPr>
                <w:rFonts w:ascii="Arial" w:cs="Arial" w:eastAsia="Arial" w:hAnsi="Arial"/>
                <w:sz w:val="18"/>
                <w:szCs w:val="18"/>
                <w:color w:val="auto"/>
              </w:rPr>
              <w:t>Title:</w:t>
            </w:r>
          </w:p>
        </w:tc>
        <w:tc>
          <w:tcPr>
            <w:tcW w:w="3980" w:type="dxa"/>
            <w:vAlign w:val="bottom"/>
          </w:tcPr>
          <w:p>
            <w:pPr>
              <w:spacing w:after="0"/>
              <w:rPr>
                <w:sz w:val="18"/>
                <w:szCs w:val="18"/>
                <w:color w:val="auto"/>
              </w:rPr>
            </w:pPr>
          </w:p>
        </w:tc>
      </w:tr>
      <w:tr>
        <w:trPr>
          <w:trHeight w:val="22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980" w:type="dxa"/>
            <w:vAlign w:val="bottom"/>
          </w:tcPr>
          <w:p>
            <w:pPr>
              <w:spacing w:after="0"/>
              <w:rPr>
                <w:sz w:val="19"/>
                <w:szCs w:val="19"/>
                <w:color w:val="auto"/>
              </w:rPr>
            </w:pPr>
          </w:p>
        </w:tc>
        <w:tc>
          <w:tcPr>
            <w:tcW w:w="2860" w:type="dxa"/>
            <w:vAlign w:val="bottom"/>
          </w:tcPr>
          <w:p>
            <w:pPr>
              <w:ind w:left="2280"/>
              <w:spacing w:after="0"/>
              <w:rPr>
                <w:sz w:val="20"/>
                <w:szCs w:val="20"/>
                <w:color w:val="auto"/>
              </w:rPr>
            </w:pPr>
            <w:r>
              <w:rPr>
                <w:rFonts w:ascii="Arial" w:cs="Arial" w:eastAsia="Arial" w:hAnsi="Arial"/>
                <w:sz w:val="18"/>
                <w:szCs w:val="18"/>
                <w:color w:val="auto"/>
              </w:rPr>
              <w:t>Date:</w:t>
            </w:r>
          </w:p>
        </w:tc>
        <w:tc>
          <w:tcPr>
            <w:tcW w:w="3980" w:type="dxa"/>
            <w:vAlign w:val="bottom"/>
          </w:tcPr>
          <w:p>
            <w:pPr>
              <w:spacing w:after="0"/>
              <w:rPr>
                <w:sz w:val="19"/>
                <w:szCs w:val="19"/>
                <w:color w:val="auto"/>
              </w:rPr>
            </w:pPr>
          </w:p>
        </w:tc>
      </w:tr>
      <w:tr>
        <w:trPr>
          <w:trHeight w:val="365"/>
        </w:trPr>
        <w:tc>
          <w:tcPr>
            <w:tcW w:w="60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860" w:type="dxa"/>
            <w:vAlign w:val="bottom"/>
          </w:tcPr>
          <w:p>
            <w:pPr>
              <w:ind w:left="1040"/>
              <w:spacing w:after="0"/>
              <w:rPr>
                <w:sz w:val="20"/>
                <w:szCs w:val="20"/>
                <w:color w:val="auto"/>
              </w:rPr>
            </w:pPr>
            <w:r>
              <w:rPr>
                <w:rFonts w:ascii="Arial" w:cs="Arial" w:eastAsia="Arial" w:hAnsi="Arial"/>
                <w:sz w:val="18"/>
                <w:szCs w:val="18"/>
                <w:color w:val="auto"/>
              </w:rPr>
              <w:t>18</w:t>
            </w:r>
          </w:p>
        </w:tc>
        <w:tc>
          <w:tcPr>
            <w:tcW w:w="39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57" w:name="page58"/>
    <w:bookmarkEnd w:id="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1992 ISDA MASTER AGREEMENT</w:t>
      </w:r>
    </w:p>
    <w:p>
      <w:pPr>
        <w:spacing w:after="0" w:line="32" w:lineRule="exact"/>
        <w:rPr>
          <w:sz w:val="20"/>
          <w:szCs w:val="20"/>
          <w:color w:val="auto"/>
        </w:rPr>
      </w:pPr>
    </w:p>
    <w:p>
      <w:pPr>
        <w:jc w:val="center"/>
        <w:ind w:right="-39"/>
        <w:spacing w:after="0"/>
        <w:tabs>
          <w:tab w:leader="none" w:pos="200" w:val="left"/>
        </w:tabs>
        <w:rPr>
          <w:sz w:val="20"/>
          <w:szCs w:val="20"/>
          <w:color w:val="auto"/>
        </w:rPr>
      </w:pPr>
      <w:r>
        <w:rPr>
          <w:rFonts w:ascii="Arial" w:cs="Arial" w:eastAsia="Arial" w:hAnsi="Arial"/>
          <w:sz w:val="18"/>
          <w:szCs w:val="18"/>
          <w:color w:val="auto"/>
        </w:rPr>
        <w:t>dated as of July</w:t>
      </w:r>
      <w:r>
        <w:rPr>
          <w:sz w:val="20"/>
          <w:szCs w:val="20"/>
          <w:color w:val="auto"/>
        </w:rPr>
        <w:tab/>
      </w:r>
      <w:r>
        <w:rPr>
          <w:rFonts w:ascii="Arial" w:cs="Arial" w:eastAsia="Arial" w:hAnsi="Arial"/>
          <w:sz w:val="15"/>
          <w:szCs w:val="15"/>
          <w:color w:val="auto"/>
        </w:rPr>
        <w:t>, 2007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-17780</wp:posOffset>
            </wp:positionV>
            <wp:extent cx="11176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11760" cy="8890"/>
                    </a:xfrm>
                    <a:prstGeom prst="rect">
                      <a:avLst/>
                    </a:prstGeom>
                    <a:noFill/>
                  </pic:spPr>
                </pic:pic>
              </a:graphicData>
            </a:graphic>
          </wp:anchor>
        </w:drawing>
      </w:r>
    </w:p>
    <w:p>
      <w:pPr>
        <w:jc w:val="center"/>
        <w:ind w:right="-19"/>
        <w:spacing w:after="0"/>
        <w:rPr>
          <w:sz w:val="20"/>
          <w:szCs w:val="20"/>
          <w:color w:val="auto"/>
        </w:rPr>
      </w:pPr>
      <w:r>
        <w:rPr>
          <w:rFonts w:ascii="Arial" w:cs="Arial" w:eastAsia="Arial" w:hAnsi="Arial"/>
          <w:sz w:val="18"/>
          <w:szCs w:val="18"/>
          <w:color w:val="auto"/>
        </w:rPr>
        <w:t>between</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CREDIT SUISSE INTERNATIONAL</w:t>
      </w:r>
    </w:p>
    <w:p>
      <w:pPr>
        <w:spacing w:after="0" w:line="44"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an unlimited company incorporated</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under the laws of England and Wales</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(“Party A”)</w:t>
      </w:r>
    </w:p>
    <w:p>
      <w:pPr>
        <w:spacing w:after="0" w:line="16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 Delaware limited liability company</w:t>
      </w:r>
    </w:p>
    <w:p>
      <w:pPr>
        <w:spacing w:after="0" w:line="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(“Party B”)</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1. </w:t>
      </w:r>
      <w:r>
        <w:rPr>
          <w:rFonts w:ascii="Arial" w:cs="Arial" w:eastAsia="Arial" w:hAnsi="Arial"/>
          <w:sz w:val="18"/>
          <w:szCs w:val="18"/>
          <w:b w:val="1"/>
          <w:bCs w:val="1"/>
          <w:u w:val="single" w:color="auto"/>
          <w:color w:val="auto"/>
        </w:rPr>
        <w:t>Termination Provisions</w:t>
      </w:r>
      <w:r>
        <w:rPr>
          <w:rFonts w:ascii="Arial" w:cs="Arial" w:eastAsia="Arial" w:hAnsi="Arial"/>
          <w:sz w:val="18"/>
          <w:szCs w:val="18"/>
          <w:b w:val="1"/>
          <w:bCs w:val="1"/>
          <w:color w:val="auto"/>
        </w:rPr>
        <w:t>.</w:t>
      </w:r>
    </w:p>
    <w:p>
      <w:pPr>
        <w:spacing w:after="0" w:line="90" w:lineRule="exact"/>
        <w:rPr>
          <w:sz w:val="20"/>
          <w:szCs w:val="20"/>
          <w:color w:val="auto"/>
        </w:rPr>
      </w:pPr>
    </w:p>
    <w:p>
      <w:pPr>
        <w:ind w:left="460" w:hanging="452"/>
        <w:spacing w:after="0"/>
        <w:tabs>
          <w:tab w:leader="none" w:pos="460" w:val="left"/>
        </w:tabs>
        <w:numPr>
          <w:ilvl w:val="0"/>
          <w:numId w:val="69"/>
        </w:numPr>
        <w:rPr>
          <w:rFonts w:ascii="Arial" w:cs="Arial" w:eastAsia="Arial" w:hAnsi="Arial"/>
          <w:sz w:val="18"/>
          <w:szCs w:val="18"/>
          <w:color w:val="auto"/>
        </w:rPr>
      </w:pPr>
      <w:r>
        <w:rPr>
          <w:rFonts w:ascii="Arial" w:cs="Arial" w:eastAsia="Arial" w:hAnsi="Arial"/>
          <w:sz w:val="18"/>
          <w:szCs w:val="18"/>
          <w:b w:val="1"/>
          <w:bCs w:val="1"/>
          <w:color w:val="auto"/>
        </w:rPr>
        <w:t xml:space="preserve">“Specified Entity” </w:t>
      </w:r>
      <w:r>
        <w:rPr>
          <w:rFonts w:ascii="Arial" w:cs="Arial" w:eastAsia="Arial" w:hAnsi="Arial"/>
          <w:sz w:val="18"/>
          <w:szCs w:val="18"/>
          <w:color w:val="auto"/>
        </w:rPr>
        <w:t>means in relation to Party A for the purpose of:</w:t>
      </w:r>
    </w:p>
    <w:p>
      <w:pPr>
        <w:sectPr>
          <w:pgSz w:w="11900" w:h="16838" w:orient="portrait"/>
          <w:cols w:equalWidth="0" w:num="1">
            <w:col w:w="11400"/>
          </w:cols>
          <w:pgMar w:left="240" w:top="274" w:right="259" w:bottom="1440" w:gutter="0" w:footer="0" w:header="0"/>
        </w:sectPr>
      </w:pP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5(a)(v) (Default Under Specified Transaction)</w:t>
      </w:r>
    </w:p>
    <w:p>
      <w:pPr>
        <w:spacing w:after="0" w:line="20" w:lineRule="exact"/>
        <w:rPr>
          <w:sz w:val="20"/>
          <w:szCs w:val="20"/>
          <w:color w:val="auto"/>
        </w:rPr>
      </w:pPr>
      <w:r>
        <w:rPr>
          <w:sz w:val="20"/>
          <w:szCs w:val="20"/>
          <w:color w:val="auto"/>
        </w:rPr>
        <w:br w:type="column"/>
      </w:r>
    </w:p>
    <w:p>
      <w:pPr>
        <w:spacing w:after="0" w:line="76" w:lineRule="exact"/>
        <w:rPr>
          <w:sz w:val="20"/>
          <w:szCs w:val="20"/>
          <w:color w:val="auto"/>
        </w:rPr>
      </w:pPr>
    </w:p>
    <w:p>
      <w:pPr>
        <w:spacing w:after="0"/>
        <w:rPr>
          <w:sz w:val="20"/>
          <w:szCs w:val="20"/>
          <w:color w:val="auto"/>
        </w:rPr>
      </w:pPr>
      <w:r>
        <w:rPr>
          <w:rFonts w:ascii="Arial" w:cs="Arial" w:eastAsia="Arial" w:hAnsi="Arial"/>
          <w:sz w:val="16"/>
          <w:szCs w:val="16"/>
          <w:color w:val="auto"/>
        </w:rPr>
        <w:t>Affiliates</w:t>
      </w:r>
    </w:p>
    <w:p>
      <w:pPr>
        <w:spacing w:after="0" w:line="140" w:lineRule="exact"/>
        <w:rPr>
          <w:sz w:val="20"/>
          <w:szCs w:val="20"/>
          <w:color w:val="auto"/>
        </w:rPr>
      </w:pPr>
    </w:p>
    <w:p>
      <w:pPr>
        <w:sectPr>
          <w:pgSz w:w="11900" w:h="16838" w:orient="portrait"/>
          <w:cols w:equalWidth="0" w:num="2">
            <w:col w:w="8140" w:space="720"/>
            <w:col w:w="2540"/>
          </w:cols>
          <w:pgMar w:left="240" w:top="274"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Section 5(a)(vi) (Cross Default)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8140" w:space="720"/>
            <w:col w:w="2540"/>
          </w:cols>
          <w:pgMar w:left="240" w:top="274"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Section 5(a)(vii) (Bankruptcy)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8140" w:space="720"/>
            <w:col w:w="2540"/>
          </w:cols>
          <w:pgMar w:left="240" w:top="274"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Section 5(b)(v) (Credit Event Upon Merger)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8140" w:space="720"/>
            <w:col w:w="2540"/>
          </w:cols>
          <w:pgMar w:left="240" w:top="274"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and in relation to Party B for the purpose of:</w:t>
      </w:r>
    </w:p>
    <w:p>
      <w:pPr>
        <w:sectPr>
          <w:pgSz w:w="11900" w:h="16838" w:orient="portrait"/>
          <w:cols w:equalWidth="0" w:num="1">
            <w:col w:w="11400"/>
          </w:cols>
          <w:pgMar w:left="240" w:top="274" w:right="259" w:bottom="1440" w:gutter="0" w:footer="0" w:header="0"/>
          <w:type w:val="continuous"/>
        </w:sectPr>
      </w:pPr>
    </w:p>
    <w:p>
      <w:pPr>
        <w:spacing w:after="0" w:line="14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Section 5(a)(v) (Default Under Specified Transaction)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6"/>
          <w:szCs w:val="16"/>
          <w:color w:val="auto"/>
        </w:rPr>
        <w:t>National CineMedia, Inc.</w:t>
      </w:r>
    </w:p>
    <w:p>
      <w:pPr>
        <w:spacing w:after="0" w:line="140" w:lineRule="exact"/>
        <w:rPr>
          <w:sz w:val="20"/>
          <w:szCs w:val="20"/>
          <w:color w:val="auto"/>
        </w:rPr>
      </w:pPr>
    </w:p>
    <w:p>
      <w:pPr>
        <w:sectPr>
          <w:pgSz w:w="11900" w:h="16838" w:orient="portrait"/>
          <w:cols w:equalWidth="0" w:num="2">
            <w:col w:w="8140" w:space="720"/>
            <w:col w:w="2540"/>
          </w:cols>
          <w:pgMar w:left="240" w:top="274"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Section 5(a)(vi) (Cross Default)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8140" w:space="720"/>
            <w:col w:w="2540"/>
          </w:cols>
          <w:pgMar w:left="240" w:top="274"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Section 5(a)(vii) (Bankruptcy)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51" w:lineRule="exact"/>
        <w:rPr>
          <w:sz w:val="20"/>
          <w:szCs w:val="20"/>
          <w:color w:val="auto"/>
        </w:rPr>
      </w:pPr>
    </w:p>
    <w:p>
      <w:pPr>
        <w:sectPr>
          <w:pgSz w:w="11900" w:h="16838" w:orient="portrait"/>
          <w:cols w:equalWidth="0" w:num="2">
            <w:col w:w="8140" w:space="720"/>
            <w:col w:w="2540"/>
          </w:cols>
          <w:pgMar w:left="240" w:top="274" w:right="259" w:bottom="1440" w:gutter="0" w:footer="0" w:header="0"/>
          <w:type w:val="continuous"/>
        </w:sectPr>
      </w:pPr>
    </w:p>
    <w:p>
      <w:pPr>
        <w:ind w:left="460"/>
        <w:spacing w:after="0"/>
        <w:rPr>
          <w:sz w:val="20"/>
          <w:szCs w:val="20"/>
          <w:color w:val="auto"/>
        </w:rPr>
      </w:pPr>
      <w:r>
        <w:rPr>
          <w:rFonts w:ascii="Arial" w:cs="Arial" w:eastAsia="Arial" w:hAnsi="Arial"/>
          <w:sz w:val="16"/>
          <w:szCs w:val="16"/>
          <w:color w:val="auto"/>
        </w:rPr>
        <w:t>Section 5(b)(v) (Credit Event Upon Merger)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18" w:lineRule="exact"/>
        <w:rPr>
          <w:sz w:val="20"/>
          <w:szCs w:val="20"/>
          <w:color w:val="auto"/>
        </w:rPr>
      </w:pPr>
    </w:p>
    <w:p>
      <w:pPr>
        <w:sectPr>
          <w:pgSz w:w="11900" w:h="16838" w:orient="portrait"/>
          <w:cols w:equalWidth="0" w:num="2">
            <w:col w:w="8140" w:space="720"/>
            <w:col w:w="2540"/>
          </w:cols>
          <w:pgMar w:left="240" w:top="274" w:right="259" w:bottom="1440" w:gutter="0" w:footer="0" w:header="0"/>
          <w:type w:val="continuous"/>
        </w:sectPr>
      </w:pPr>
    </w:p>
    <w:p>
      <w:pPr>
        <w:ind w:left="460" w:hanging="452"/>
        <w:spacing w:after="0"/>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“Specified Transaction” </w:t>
      </w:r>
      <w:r>
        <w:rPr>
          <w:rFonts w:ascii="Arial" w:cs="Arial" w:eastAsia="Arial" w:hAnsi="Arial"/>
          <w:sz w:val="18"/>
          <w:szCs w:val="18"/>
          <w:color w:val="auto"/>
        </w:rPr>
        <w:t>shall have the meaning specified in Section 14 of this Agreement.</w:t>
      </w:r>
    </w:p>
    <w:p>
      <w:pPr>
        <w:spacing w:after="0" w:line="90" w:lineRule="exact"/>
        <w:rPr>
          <w:rFonts w:ascii="Arial" w:cs="Arial" w:eastAsia="Arial" w:hAnsi="Arial"/>
          <w:sz w:val="18"/>
          <w:szCs w:val="18"/>
          <w:color w:val="auto"/>
        </w:rPr>
      </w:pPr>
    </w:p>
    <w:p>
      <w:pPr>
        <w:ind w:left="460" w:hanging="452"/>
        <w:spacing w:after="0" w:line="275" w:lineRule="auto"/>
        <w:tabs>
          <w:tab w:leader="none" w:pos="460" w:val="left"/>
        </w:tabs>
        <w:numPr>
          <w:ilvl w:val="0"/>
          <w:numId w:val="70"/>
        </w:numPr>
        <w:rPr>
          <w:rFonts w:ascii="Arial" w:cs="Arial" w:eastAsia="Arial" w:hAnsi="Arial"/>
          <w:sz w:val="18"/>
          <w:szCs w:val="18"/>
          <w:color w:val="auto"/>
        </w:rPr>
      </w:pPr>
      <w:r>
        <w:rPr>
          <w:rFonts w:ascii="Arial" w:cs="Arial" w:eastAsia="Arial" w:hAnsi="Arial"/>
          <w:sz w:val="18"/>
          <w:szCs w:val="18"/>
          <w:b w:val="1"/>
          <w:bCs w:val="1"/>
          <w:color w:val="auto"/>
        </w:rPr>
        <w:t xml:space="preserve">“Cross Default” </w:t>
      </w:r>
      <w:r>
        <w:rPr>
          <w:rFonts w:ascii="Arial" w:cs="Arial" w:eastAsia="Arial" w:hAnsi="Arial"/>
          <w:sz w:val="18"/>
          <w:szCs w:val="18"/>
          <w:color w:val="auto"/>
        </w:rPr>
        <w:t>applies to Party A and Party B. Section 5(a)(vi) is amended by deleting the words “becoming, or becoming capable at such time of”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seventh line.</w:t>
      </w:r>
    </w:p>
    <w:p>
      <w:pPr>
        <w:spacing w:after="0" w:line="38" w:lineRule="exact"/>
        <w:rPr>
          <w:rFonts w:ascii="Arial" w:cs="Arial" w:eastAsia="Arial" w:hAnsi="Arial"/>
          <w:sz w:val="18"/>
          <w:szCs w:val="18"/>
          <w:color w:val="auto"/>
        </w:rPr>
      </w:pPr>
    </w:p>
    <w:p>
      <w:pPr>
        <w:ind w:left="460" w:right="100"/>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 xml:space="preserve">“Specified Indebtedness” </w:t>
      </w:r>
      <w:r>
        <w:rPr>
          <w:rFonts w:ascii="Arial" w:cs="Arial" w:eastAsia="Arial" w:hAnsi="Arial"/>
          <w:sz w:val="18"/>
          <w:szCs w:val="18"/>
          <w:color w:val="auto"/>
        </w:rPr>
        <w:t>has the meaning specified in Section 14 of this Agreement. In addition, with respect to Party B, “Specified Indebtedness”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include, without limitation, the obligations of Party B under that certain Credit Agreement dated as of February 13, 2007, made by and between Party B, Lehman Brothers Inc. and J.P. Morgan Securities, Inc., as Arrangers, Credit Suisse (USA) LLC and Morgan Stanley Senior Funding, Inc., as Co-Documentation Agents, Lehman Commercial Paper Inc., as Administrative Agent, and the other Lenders party thereto, as the same may be amended, modified, supplemented or replaced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(and to which other lenders, borrowers or other persons may be or become party).</w:t>
      </w:r>
    </w:p>
    <w:p>
      <w:pPr>
        <w:spacing w:after="0" w:line="1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74" w:right="259" w:bottom="1440" w:gutter="0" w:footer="0" w:header="0"/>
          <w:type w:val="continuous"/>
        </w:sectPr>
      </w:pPr>
    </w:p>
    <w:bookmarkStart w:id="58" w:name="page59"/>
    <w:bookmarkEnd w:id="58"/>
    <w:p>
      <w:pPr>
        <w:ind w:left="452" w:right="4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“Threshold Amount” </w:t>
      </w:r>
      <w:r>
        <w:rPr>
          <w:rFonts w:ascii="Arial" w:cs="Arial" w:eastAsia="Arial" w:hAnsi="Arial"/>
          <w:sz w:val="18"/>
          <w:szCs w:val="18"/>
          <w:color w:val="auto"/>
        </w:rPr>
        <w:t>means, (1) with respect to Party A, an amount equal to three percent of its shareholders’ equity, determined in accordance with</w:t>
      </w:r>
      <w:r>
        <w:rPr>
          <w:rFonts w:ascii="Arial" w:cs="Arial" w:eastAsia="Arial" w:hAnsi="Arial"/>
          <w:sz w:val="18"/>
          <w:szCs w:val="18"/>
          <w:b w:val="1"/>
          <w:bCs w:val="1"/>
          <w:color w:val="auto"/>
        </w:rPr>
        <w:t xml:space="preserve"> </w:t>
      </w:r>
      <w:r>
        <w:rPr>
          <w:rFonts w:ascii="Arial" w:cs="Arial" w:eastAsia="Arial" w:hAnsi="Arial"/>
          <w:sz w:val="18"/>
          <w:szCs w:val="18"/>
          <w:color w:val="auto"/>
        </w:rPr>
        <w:t>generally acceptable accounting principles, and (2) with respect to Party B, $25,000,000.</w:t>
      </w:r>
    </w:p>
    <w:p>
      <w:pPr>
        <w:spacing w:after="0" w:line="39" w:lineRule="exact"/>
        <w:rPr>
          <w:sz w:val="20"/>
          <w:szCs w:val="20"/>
          <w:color w:val="auto"/>
        </w:rPr>
      </w:pPr>
    </w:p>
    <w:p>
      <w:pPr>
        <w:ind w:left="452" w:hanging="452"/>
        <w:spacing w:after="0"/>
        <w:tabs>
          <w:tab w:leader="none" w:pos="4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Event Upon Merger”</w:t>
      </w:r>
      <w:r>
        <w:rPr>
          <w:rFonts w:ascii="Arial" w:cs="Arial" w:eastAsia="Arial" w:hAnsi="Arial"/>
          <w:sz w:val="18"/>
          <w:szCs w:val="18"/>
          <w:color w:val="auto"/>
        </w:rPr>
        <w:t xml:space="preserve"> applies to Party A and Party B.</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“Automatic Early Termination”</w:t>
      </w:r>
      <w:r>
        <w:rPr>
          <w:rFonts w:ascii="Arial" w:cs="Arial" w:eastAsia="Arial" w:hAnsi="Arial"/>
          <w:sz w:val="18"/>
          <w:szCs w:val="18"/>
          <w:color w:val="auto"/>
        </w:rPr>
        <w:t xml:space="preserve"> provision of Section 6(a) of this Agreement will not apply to Party A and will not apply to Party B.</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71"/>
        </w:numPr>
        <w:rPr>
          <w:rFonts w:ascii="Arial" w:cs="Arial" w:eastAsia="Arial" w:hAnsi="Arial"/>
          <w:sz w:val="18"/>
          <w:szCs w:val="18"/>
          <w:color w:val="auto"/>
        </w:rPr>
      </w:pPr>
      <w:r>
        <w:rPr>
          <w:rFonts w:ascii="Arial" w:cs="Arial" w:eastAsia="Arial" w:hAnsi="Arial"/>
          <w:sz w:val="18"/>
          <w:szCs w:val="18"/>
          <w:b w:val="1"/>
          <w:bCs w:val="1"/>
          <w:color w:val="auto"/>
        </w:rPr>
        <w:t xml:space="preserve">“Termination Currency” </w:t>
      </w:r>
      <w:r>
        <w:rPr>
          <w:rFonts w:ascii="Arial" w:cs="Arial" w:eastAsia="Arial" w:hAnsi="Arial"/>
          <w:sz w:val="18"/>
          <w:szCs w:val="18"/>
          <w:color w:val="auto"/>
        </w:rPr>
        <w:t>means United States Dollars (“USD”).</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71"/>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 on Early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 of Section 6(e):</w:t>
      </w:r>
    </w:p>
    <w:p>
      <w:pPr>
        <w:spacing w:after="0" w:line="96" w:lineRule="exact"/>
        <w:rPr>
          <w:rFonts w:ascii="Arial" w:cs="Arial" w:eastAsia="Arial" w:hAnsi="Arial"/>
          <w:sz w:val="18"/>
          <w:szCs w:val="18"/>
          <w:color w:val="auto"/>
        </w:rPr>
      </w:pPr>
    </w:p>
    <w:p>
      <w:pPr>
        <w:ind w:left="1172" w:hanging="259"/>
        <w:spacing w:after="0"/>
        <w:tabs>
          <w:tab w:leader="none" w:pos="1172" w:val="left"/>
        </w:tabs>
        <w:numPr>
          <w:ilvl w:val="1"/>
          <w:numId w:val="71"/>
        </w:numPr>
        <w:rPr>
          <w:rFonts w:ascii="Arial" w:cs="Arial" w:eastAsia="Arial" w:hAnsi="Arial"/>
          <w:sz w:val="18"/>
          <w:szCs w:val="18"/>
          <w:color w:val="auto"/>
        </w:rPr>
      </w:pPr>
      <w:r>
        <w:rPr>
          <w:rFonts w:ascii="Arial" w:cs="Arial" w:eastAsia="Arial" w:hAnsi="Arial"/>
          <w:sz w:val="18"/>
          <w:szCs w:val="18"/>
          <w:color w:val="auto"/>
        </w:rPr>
        <w:t>Market Quotation will apply.</w:t>
      </w:r>
    </w:p>
    <w:p>
      <w:pPr>
        <w:spacing w:after="0" w:line="90" w:lineRule="exact"/>
        <w:rPr>
          <w:sz w:val="20"/>
          <w:szCs w:val="20"/>
          <w:color w:val="auto"/>
        </w:rPr>
      </w:pPr>
    </w:p>
    <w:p>
      <w:pPr>
        <w:ind w:left="1172" w:hanging="259"/>
        <w:spacing w:after="0"/>
        <w:tabs>
          <w:tab w:leader="none" w:pos="1172" w:val="left"/>
        </w:tabs>
        <w:numPr>
          <w:ilvl w:val="1"/>
          <w:numId w:val="72"/>
        </w:numPr>
        <w:rPr>
          <w:rFonts w:ascii="Arial" w:cs="Arial" w:eastAsia="Arial" w:hAnsi="Arial"/>
          <w:sz w:val="18"/>
          <w:szCs w:val="18"/>
          <w:color w:val="auto"/>
        </w:rPr>
      </w:pPr>
      <w:r>
        <w:rPr>
          <w:rFonts w:ascii="Arial" w:cs="Arial" w:eastAsia="Arial" w:hAnsi="Arial"/>
          <w:sz w:val="18"/>
          <w:szCs w:val="18"/>
          <w:color w:val="auto"/>
        </w:rPr>
        <w:t>The Second Method will apply.</w:t>
      </w:r>
    </w:p>
    <w:p>
      <w:pPr>
        <w:spacing w:after="0" w:line="84" w:lineRule="exact"/>
        <w:rPr>
          <w:rFonts w:ascii="Arial" w:cs="Arial" w:eastAsia="Arial" w:hAnsi="Arial"/>
          <w:sz w:val="18"/>
          <w:szCs w:val="18"/>
          <w:color w:val="auto"/>
        </w:rPr>
      </w:pPr>
    </w:p>
    <w:p>
      <w:pPr>
        <w:ind w:left="452" w:right="680" w:hanging="452"/>
        <w:spacing w:after="0" w:line="275" w:lineRule="auto"/>
        <w:tabs>
          <w:tab w:leader="none" w:pos="452" w:val="left"/>
        </w:tabs>
        <w:numPr>
          <w:ilvl w:val="0"/>
          <w:numId w:val="73"/>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Termination Event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will constitute an Additional Termination Event, where Party B shall be the Affected Party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shall be Affected Transactions:</w:t>
      </w:r>
    </w:p>
    <w:p>
      <w:pPr>
        <w:spacing w:after="0" w:line="44" w:lineRule="exact"/>
        <w:rPr>
          <w:rFonts w:ascii="Arial" w:cs="Arial" w:eastAsia="Arial" w:hAnsi="Arial"/>
          <w:sz w:val="18"/>
          <w:szCs w:val="18"/>
          <w:color w:val="auto"/>
        </w:rPr>
      </w:pPr>
    </w:p>
    <w:p>
      <w:pPr>
        <w:jc w:val="both"/>
        <w:ind w:left="912" w:right="20" w:firstLine="1"/>
        <w:spacing w:after="0" w:line="306" w:lineRule="auto"/>
        <w:tabs>
          <w:tab w:leader="none" w:pos="1122" w:val="left"/>
        </w:tabs>
        <w:numPr>
          <w:ilvl w:val="1"/>
          <w:numId w:val="73"/>
        </w:numPr>
        <w:rPr>
          <w:rFonts w:ascii="Arial" w:cs="Arial" w:eastAsia="Arial" w:hAnsi="Arial"/>
          <w:sz w:val="16"/>
          <w:szCs w:val="16"/>
          <w:color w:val="auto"/>
        </w:rPr>
      </w:pPr>
      <w:r>
        <w:rPr>
          <w:rFonts w:ascii="Arial" w:cs="Arial" w:eastAsia="Arial" w:hAnsi="Arial"/>
          <w:sz w:val="16"/>
          <w:szCs w:val="16"/>
          <w:color w:val="auto"/>
        </w:rPr>
        <w:t>If at any time the obligations of Party B under this Agreement shall cease to be equally and ratably secured and guaranteed with the obligations of Party B to the Lenders under the Credit Agreement, subject to the terms of the Credit Agreement and the Collateral Documents for any reason, other than to the extent such obligations to Party A hereunder are cash collateralized in accordance with customary terms.</w:t>
      </w:r>
    </w:p>
    <w:p>
      <w:pPr>
        <w:spacing w:after="0" w:line="26" w:lineRule="exact"/>
        <w:rPr>
          <w:sz w:val="20"/>
          <w:szCs w:val="20"/>
          <w:color w:val="auto"/>
        </w:rPr>
      </w:pPr>
    </w:p>
    <w:p>
      <w:pPr>
        <w:ind w:left="912" w:right="80" w:firstLine="1"/>
        <w:spacing w:after="0" w:line="256" w:lineRule="auto"/>
        <w:tabs>
          <w:tab w:leader="none" w:pos="1170" w:val="left"/>
        </w:tabs>
        <w:numPr>
          <w:ilvl w:val="0"/>
          <w:numId w:val="74"/>
        </w:numPr>
        <w:rPr>
          <w:rFonts w:ascii="Arial" w:cs="Arial" w:eastAsia="Arial" w:hAnsi="Arial"/>
          <w:sz w:val="18"/>
          <w:szCs w:val="18"/>
          <w:color w:val="auto"/>
        </w:rPr>
      </w:pPr>
      <w:r>
        <w:rPr>
          <w:rFonts w:ascii="Arial" w:cs="Arial" w:eastAsia="Arial" w:hAnsi="Arial"/>
          <w:sz w:val="18"/>
          <w:szCs w:val="18"/>
          <w:color w:val="auto"/>
        </w:rPr>
        <w:t>If (A) Party B fails to give Party A written notice at least 1 days prior to the prepayment in full of the Loans or release of any Collateral (other than with respect to any Collateral released pursuant to Section 7.5 of the Credit Agreement) or, (B) if requested by Party A in the event of such full repayment or Collateral release, Party B shall not have executed an ISDA Credit Support Annex or arranged for other credit support on terms and conditions reasonably satisfactory to Party A.</w:t>
      </w:r>
    </w:p>
    <w:p>
      <w:pPr>
        <w:spacing w:after="0" w:line="62"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following terms shall have the meanings set forth below for purposes of this Agreement:</w:t>
      </w:r>
    </w:p>
    <w:p>
      <w:pPr>
        <w:spacing w:after="0" w:line="90" w:lineRule="exact"/>
        <w:rPr>
          <w:sz w:val="20"/>
          <w:szCs w:val="20"/>
          <w:color w:val="auto"/>
        </w:rPr>
      </w:pPr>
    </w:p>
    <w:p>
      <w:pPr>
        <w:ind w:left="892"/>
        <w:spacing w:after="0"/>
        <w:rPr>
          <w:sz w:val="20"/>
          <w:szCs w:val="20"/>
          <w:color w:val="auto"/>
        </w:rPr>
      </w:pPr>
      <w:r>
        <w:rPr>
          <w:rFonts w:ascii="Arial" w:cs="Arial" w:eastAsia="Arial" w:hAnsi="Arial"/>
          <w:sz w:val="18"/>
          <w:szCs w:val="18"/>
          <w:color w:val="auto"/>
        </w:rPr>
        <w:t>“Collateral” means any collateral pledged to the Secured Parties under the Collateral Documents.</w:t>
      </w:r>
    </w:p>
    <w:p>
      <w:pPr>
        <w:spacing w:after="0" w:line="90" w:lineRule="exact"/>
        <w:rPr>
          <w:sz w:val="20"/>
          <w:szCs w:val="20"/>
          <w:color w:val="auto"/>
        </w:rPr>
      </w:pPr>
    </w:p>
    <w:p>
      <w:pPr>
        <w:ind w:left="892"/>
        <w:spacing w:after="0"/>
        <w:rPr>
          <w:sz w:val="20"/>
          <w:szCs w:val="20"/>
          <w:color w:val="auto"/>
        </w:rPr>
      </w:pPr>
      <w:r>
        <w:rPr>
          <w:rFonts w:ascii="Arial" w:cs="Arial" w:eastAsia="Arial" w:hAnsi="Arial"/>
          <w:sz w:val="18"/>
          <w:szCs w:val="18"/>
          <w:color w:val="auto"/>
        </w:rPr>
        <w:t>“Collateral Documents” means the Credit Agreement and the “Security Documents” as defined in the Credit Agreement.</w:t>
      </w:r>
    </w:p>
    <w:p>
      <w:pPr>
        <w:spacing w:after="0" w:line="90" w:lineRule="exact"/>
        <w:rPr>
          <w:sz w:val="20"/>
          <w:szCs w:val="20"/>
          <w:color w:val="auto"/>
        </w:rPr>
      </w:pPr>
    </w:p>
    <w:p>
      <w:pPr>
        <w:ind w:left="452" w:right="500" w:firstLine="438"/>
        <w:spacing w:after="0" w:line="268" w:lineRule="auto"/>
        <w:rPr>
          <w:sz w:val="20"/>
          <w:szCs w:val="20"/>
          <w:color w:val="auto"/>
        </w:rPr>
      </w:pPr>
      <w:r>
        <w:rPr>
          <w:rFonts w:ascii="Arial" w:cs="Arial" w:eastAsia="Arial" w:hAnsi="Arial"/>
          <w:sz w:val="18"/>
          <w:szCs w:val="18"/>
          <w:color w:val="auto"/>
        </w:rPr>
        <w:t>“Lender” means any lender under the Credit Agreement holding the most senior security interest in the Collateral relative to the other Secured Parties.</w:t>
      </w:r>
    </w:p>
    <w:p>
      <w:pPr>
        <w:spacing w:after="0" w:line="51" w:lineRule="exact"/>
        <w:rPr>
          <w:sz w:val="20"/>
          <w:szCs w:val="20"/>
          <w:color w:val="auto"/>
        </w:rPr>
      </w:pPr>
    </w:p>
    <w:p>
      <w:pPr>
        <w:ind w:left="892"/>
        <w:spacing w:after="0"/>
        <w:rPr>
          <w:sz w:val="20"/>
          <w:szCs w:val="20"/>
          <w:color w:val="auto"/>
        </w:rPr>
      </w:pPr>
      <w:r>
        <w:rPr>
          <w:rFonts w:ascii="Arial" w:cs="Arial" w:eastAsia="Arial" w:hAnsi="Arial"/>
          <w:sz w:val="18"/>
          <w:szCs w:val="18"/>
          <w:color w:val="auto"/>
        </w:rPr>
        <w:t>“Loan” means any loan made by a Lender to a borrower under the Credit Agreement.</w:t>
      </w:r>
    </w:p>
    <w:p>
      <w:pPr>
        <w:spacing w:after="0" w:line="90" w:lineRule="exact"/>
        <w:rPr>
          <w:sz w:val="20"/>
          <w:szCs w:val="20"/>
          <w:color w:val="auto"/>
        </w:rPr>
      </w:pPr>
    </w:p>
    <w:p>
      <w:pPr>
        <w:ind w:left="892"/>
        <w:spacing w:after="0"/>
        <w:rPr>
          <w:sz w:val="20"/>
          <w:szCs w:val="20"/>
          <w:color w:val="auto"/>
        </w:rPr>
      </w:pPr>
      <w:r>
        <w:rPr>
          <w:rFonts w:ascii="Arial" w:cs="Arial" w:eastAsia="Arial" w:hAnsi="Arial"/>
          <w:sz w:val="18"/>
          <w:szCs w:val="18"/>
          <w:color w:val="auto"/>
        </w:rPr>
        <w:t>“Secured Party” means a secured party under the Collateral Documents.</w:t>
      </w:r>
    </w:p>
    <w:p>
      <w:pPr>
        <w:spacing w:after="0" w:line="84" w:lineRule="exact"/>
        <w:rPr>
          <w:sz w:val="20"/>
          <w:szCs w:val="20"/>
          <w:color w:val="auto"/>
        </w:rPr>
      </w:pPr>
    </w:p>
    <w:p>
      <w:pPr>
        <w:ind w:left="452" w:hanging="452"/>
        <w:spacing w:after="0" w:line="296" w:lineRule="auto"/>
        <w:tabs>
          <w:tab w:leader="none" w:pos="452" w:val="left"/>
        </w:tabs>
        <w:numPr>
          <w:ilvl w:val="0"/>
          <w:numId w:val="75"/>
        </w:numPr>
        <w:rPr>
          <w:rFonts w:ascii="Arial" w:cs="Arial" w:eastAsia="Arial" w:hAnsi="Arial"/>
          <w:sz w:val="16"/>
          <w:szCs w:val="16"/>
          <w:color w:val="auto"/>
        </w:rPr>
      </w:pPr>
      <w:r>
        <w:rPr>
          <w:rFonts w:ascii="Arial" w:cs="Arial" w:eastAsia="Arial" w:hAnsi="Arial"/>
          <w:sz w:val="16"/>
          <w:szCs w:val="16"/>
          <w:b w:val="1"/>
          <w:bCs w:val="1"/>
          <w:u w:val="single" w:color="auto"/>
          <w:color w:val="auto"/>
        </w:rPr>
        <w:t>Calculation of Termination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6(d)(i) is amended to add the following at the end of such Section: “Each party making any such</w:t>
      </w:r>
      <w:r>
        <w:rPr>
          <w:rFonts w:ascii="Arial" w:cs="Arial" w:eastAsia="Arial" w:hAnsi="Arial"/>
          <w:sz w:val="16"/>
          <w:szCs w:val="16"/>
          <w:b w:val="1"/>
          <w:bCs w:val="1"/>
          <w:color w:val="auto"/>
        </w:rPr>
        <w:t xml:space="preserve"> </w:t>
      </w:r>
      <w:r>
        <w:rPr>
          <w:rFonts w:ascii="Arial" w:cs="Arial" w:eastAsia="Arial" w:hAnsi="Arial"/>
          <w:sz w:val="16"/>
          <w:szCs w:val="16"/>
          <w:color w:val="auto"/>
        </w:rPr>
        <w:t>calculation shall, upon request, make available to the other party (and its Credit Support Provider, if applicable) such information used by it to make such calculation as may be reasonably necessary in order to enable the other party (or its Credit Support Provider) to independently confirm the accuracy of such calculation. Such information shall include, without limitation, the identity of any Reference Dealer, Reference Bank, Reference Market-maker or other source of any quotation and the details of the quotation provided by such dealer, bank or market-maker.</w:t>
      </w:r>
    </w:p>
    <w:p>
      <w:pPr>
        <w:spacing w:after="0" w:line="10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92"/>
          </w:cols>
          <w:pgMar w:left="248" w:top="274" w:right="25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Part 2. </w:t>
      </w:r>
      <w:r>
        <w:rPr>
          <w:rFonts w:ascii="Arial" w:cs="Arial" w:eastAsia="Arial" w:hAnsi="Arial"/>
          <w:sz w:val="18"/>
          <w:szCs w:val="18"/>
          <w:b w:val="1"/>
          <w:bCs w:val="1"/>
          <w:u w:val="single" w:color="auto"/>
          <w:color w:val="auto"/>
        </w:rPr>
        <w:t>Representations</w:t>
      </w:r>
      <w:r>
        <w:rPr>
          <w:rFonts w:ascii="Arial" w:cs="Arial" w:eastAsia="Arial" w:hAnsi="Arial"/>
          <w:sz w:val="18"/>
          <w:szCs w:val="18"/>
          <w:b w:val="1"/>
          <w:bCs w:val="1"/>
          <w:color w:val="auto"/>
        </w:rPr>
        <w:t>.</w:t>
      </w:r>
    </w:p>
    <w:p>
      <w:pPr>
        <w:spacing w:after="0" w:line="90" w:lineRule="exact"/>
        <w:rPr>
          <w:sz w:val="20"/>
          <w:szCs w:val="20"/>
          <w:color w:val="auto"/>
        </w:rPr>
      </w:pPr>
    </w:p>
    <w:p>
      <w:pPr>
        <w:ind w:left="460" w:hanging="452"/>
        <w:spacing w:after="0"/>
        <w:tabs>
          <w:tab w:leader="none" w:pos="460"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Payer Tax Representations. </w:t>
      </w:r>
      <w:r>
        <w:rPr>
          <w:rFonts w:ascii="Arial" w:cs="Arial" w:eastAsia="Arial" w:hAnsi="Arial"/>
          <w:sz w:val="18"/>
          <w:szCs w:val="18"/>
          <w:color w:val="auto"/>
        </w:rPr>
        <w:t>For the purpose of Section 3(e), Party A and Party B each makes the following representation:</w:t>
      </w:r>
    </w:p>
    <w:p>
      <w:pPr>
        <w:spacing w:after="0" w:line="96" w:lineRule="exact"/>
        <w:rPr>
          <w:rFonts w:ascii="Arial" w:cs="Arial" w:eastAsia="Arial" w:hAnsi="Arial"/>
          <w:sz w:val="18"/>
          <w:szCs w:val="18"/>
          <w:b w:val="1"/>
          <w:bCs w:val="1"/>
          <w:color w:val="auto"/>
        </w:rPr>
      </w:pPr>
    </w:p>
    <w:p>
      <w:pPr>
        <w:ind w:left="460" w:right="2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It is not required by any applicable law, as modified by the practice of any relevant governmental revenue authority, of any Relevant Jurisdiction to make any deduction or withholding for or on account of any Tax from any payment (other than interest under Section 2(e), 6(d)(ii) or 6(e)) to be made by it to the other party under this Agreement. In making this representation, it may rely on:</w:t>
      </w:r>
    </w:p>
    <w:p>
      <w:pPr>
        <w:spacing w:after="0" w:line="59" w:lineRule="exact"/>
        <w:rPr>
          <w:rFonts w:ascii="Arial" w:cs="Arial" w:eastAsia="Arial" w:hAnsi="Arial"/>
          <w:sz w:val="18"/>
          <w:szCs w:val="18"/>
          <w:b w:val="1"/>
          <w:bCs w:val="1"/>
          <w:color w:val="auto"/>
        </w:rPr>
      </w:pPr>
    </w:p>
    <w:p>
      <w:pPr>
        <w:ind w:left="900" w:hanging="446"/>
        <w:spacing w:after="0"/>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accuracy of any representation made by the other party pursuant to Section 3(f);</w:t>
      </w:r>
    </w:p>
    <w:p>
      <w:pPr>
        <w:spacing w:after="0" w:line="90" w:lineRule="exact"/>
        <w:rPr>
          <w:rFonts w:ascii="Arial" w:cs="Arial" w:eastAsia="Arial" w:hAnsi="Arial"/>
          <w:sz w:val="18"/>
          <w:szCs w:val="18"/>
          <w:color w:val="auto"/>
        </w:rPr>
      </w:pPr>
    </w:p>
    <w:p>
      <w:pPr>
        <w:ind w:left="900" w:right="540" w:hanging="446"/>
        <w:spacing w:after="0" w:line="268" w:lineRule="auto"/>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satisfaction of the agreement of the other party contained in Section 4(a)(i) or 4(a)(iii) and the accuracy and effectiveness of any document provided by the other party pursuant to Section 4(a)(i) or 4(a)(iii); and</w:t>
      </w:r>
    </w:p>
    <w:p>
      <w:pPr>
        <w:spacing w:after="0" w:line="50" w:lineRule="exact"/>
        <w:rPr>
          <w:rFonts w:ascii="Arial" w:cs="Arial" w:eastAsia="Arial" w:hAnsi="Arial"/>
          <w:sz w:val="18"/>
          <w:szCs w:val="18"/>
          <w:color w:val="auto"/>
        </w:rPr>
      </w:pPr>
    </w:p>
    <w:p>
      <w:pPr>
        <w:ind w:left="900" w:hanging="446"/>
        <w:spacing w:after="0"/>
        <w:tabs>
          <w:tab w:leader="none" w:pos="90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satisfaction of the agreement of the other party contained in Section 4(d);</w:t>
      </w:r>
    </w:p>
    <w:p>
      <w:pPr>
        <w:spacing w:after="0" w:line="90" w:lineRule="exact"/>
        <w:rPr>
          <w:sz w:val="20"/>
          <w:szCs w:val="20"/>
          <w:color w:val="auto"/>
        </w:rPr>
      </w:pPr>
    </w:p>
    <w:p>
      <w:pPr>
        <w:ind w:left="460" w:right="160"/>
        <w:spacing w:after="0" w:line="268" w:lineRule="auto"/>
        <w:rPr>
          <w:sz w:val="20"/>
          <w:szCs w:val="20"/>
          <w:color w:val="auto"/>
        </w:rPr>
      </w:pPr>
      <w:r>
        <w:rPr>
          <w:rFonts w:ascii="Arial" w:cs="Arial" w:eastAsia="Arial" w:hAnsi="Arial"/>
          <w:sz w:val="18"/>
          <w:szCs w:val="18"/>
          <w:color w:val="auto"/>
        </w:rPr>
        <w:t>provided that it shall not be a breach of this representation where reliance is placed on clause (ii), and the other party does not deliver a form or document under Section 4(a)(iii) by reason of material prejudice to its legal or commercial position.</w:t>
      </w:r>
    </w:p>
    <w:p>
      <w:pPr>
        <w:spacing w:after="0" w:line="45" w:lineRule="exact"/>
        <w:rPr>
          <w:sz w:val="20"/>
          <w:szCs w:val="20"/>
          <w:color w:val="auto"/>
        </w:rPr>
      </w:pPr>
    </w:p>
    <w:p>
      <w:pPr>
        <w:ind w:left="460" w:hanging="452"/>
        <w:spacing w:after="0"/>
        <w:tabs>
          <w:tab w:leader="none" w:pos="460" w:val="left"/>
        </w:tabs>
        <w:numPr>
          <w:ilvl w:val="0"/>
          <w:numId w:val="7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Payee Tax Representations. </w:t>
      </w:r>
      <w:r>
        <w:rPr>
          <w:rFonts w:ascii="Arial" w:cs="Arial" w:eastAsia="Arial" w:hAnsi="Arial"/>
          <w:sz w:val="18"/>
          <w:szCs w:val="18"/>
          <w:color w:val="auto"/>
        </w:rPr>
        <w:t>For the purpose of Section 3(f),</w:t>
      </w:r>
    </w:p>
    <w:p>
      <w:pPr>
        <w:spacing w:after="0" w:line="96" w:lineRule="exact"/>
        <w:rPr>
          <w:rFonts w:ascii="Arial" w:cs="Arial" w:eastAsia="Arial" w:hAnsi="Arial"/>
          <w:sz w:val="18"/>
          <w:szCs w:val="18"/>
          <w:b w:val="1"/>
          <w:bCs w:val="1"/>
          <w:color w:val="auto"/>
        </w:rPr>
      </w:pPr>
    </w:p>
    <w:p>
      <w:pPr>
        <w:ind w:left="900" w:right="40" w:hanging="446"/>
        <w:spacing w:after="0" w:line="253"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Party A is an unlimited company organized under the laws of England and Wales, (B) Party A is the beneficial owner of all payments received or to be received by it under this Agreement, (C) Party A is fully eligible for the benefits of the “Business Profits” or “Industrial and Commercial Profits” provision, as the case may be, the “Interest” provision and the “Other Income” provision (if any) of the income tax treaty, in effect between the United Kingdom and the United States of America with respect to any payment described in such provisions and received or to be received by it in connection with this Agreement and no such payment is attributable to a trade or business carried on by it through a permanent establishment in the United States, and (D) it is a non-U.S. branch of a foreign person for purposes of sections 1.1441-4(a)(3)(ii) and 1.6041-4(a)(4) of the United States Treasury Regulations.</w:t>
      </w:r>
    </w:p>
    <w:p>
      <w:pPr>
        <w:spacing w:after="0" w:line="66" w:lineRule="exact"/>
        <w:rPr>
          <w:rFonts w:ascii="Arial" w:cs="Arial" w:eastAsia="Arial" w:hAnsi="Arial"/>
          <w:sz w:val="18"/>
          <w:szCs w:val="18"/>
          <w:color w:val="auto"/>
        </w:rPr>
      </w:pPr>
    </w:p>
    <w:p>
      <w:pPr>
        <w:ind w:left="900" w:right="40" w:hanging="446"/>
        <w:spacing w:after="0" w:line="268" w:lineRule="auto"/>
        <w:tabs>
          <w:tab w:leader="none" w:pos="900" w:val="left"/>
        </w:tabs>
        <w:numPr>
          <w:ilvl w:val="1"/>
          <w:numId w:val="77"/>
        </w:numPr>
        <w:rPr>
          <w:rFonts w:ascii="Arial" w:cs="Arial" w:eastAsia="Arial" w:hAnsi="Arial"/>
          <w:sz w:val="18"/>
          <w:szCs w:val="18"/>
          <w:color w:val="auto"/>
        </w:rPr>
      </w:pPr>
      <w:r>
        <w:rPr>
          <w:rFonts w:ascii="Arial" w:cs="Arial" w:eastAsia="Arial" w:hAnsi="Arial"/>
          <w:sz w:val="18"/>
          <w:szCs w:val="18"/>
          <w:color w:val="auto"/>
        </w:rPr>
        <w:t>(A) Party B is a limited company organized under the laws of the State of Delaware, and (B) Party B is the beneficial owner of all payments received or to be received by it under this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3. </w:t>
      </w:r>
      <w:r>
        <w:rPr>
          <w:rFonts w:ascii="Arial" w:cs="Arial" w:eastAsia="Arial" w:hAnsi="Arial"/>
          <w:sz w:val="18"/>
          <w:szCs w:val="18"/>
          <w:b w:val="1"/>
          <w:bCs w:val="1"/>
          <w:u w:val="single" w:color="auto"/>
          <w:color w:val="auto"/>
        </w:rPr>
        <w:t>Agreement to Deliver Documents</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Sections 4(a)(i) and (ii) of this Agreement, each party agrees to deliver the following documents, as applicable:</w:t>
      </w:r>
    </w:p>
    <w:p>
      <w:pPr>
        <w:spacing w:after="0" w:line="90" w:lineRule="exact"/>
        <w:rPr>
          <w:sz w:val="20"/>
          <w:szCs w:val="20"/>
          <w:color w:val="auto"/>
        </w:rPr>
      </w:pPr>
    </w:p>
    <w:p>
      <w:pPr>
        <w:ind w:left="460" w:hanging="452"/>
        <w:spacing w:after="0"/>
        <w:tabs>
          <w:tab w:leader="none" w:pos="4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Tax forms, documents or certificates to be delivered 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tcPr>
          <w:p>
            <w:pPr>
              <w:spacing w:after="0"/>
              <w:rPr>
                <w:sz w:val="20"/>
                <w:szCs w:val="20"/>
                <w:color w:val="auto"/>
              </w:rPr>
            </w:pPr>
            <w:r>
              <w:rPr>
                <w:rFonts w:ascii="Arial" w:cs="Arial" w:eastAsia="Arial" w:hAnsi="Arial"/>
                <w:sz w:val="14"/>
                <w:szCs w:val="14"/>
                <w:b w:val="1"/>
                <w:bCs w:val="1"/>
                <w:color w:val="auto"/>
              </w:rPr>
              <w:t>Party required to</w:t>
            </w:r>
          </w:p>
        </w:tc>
        <w:tc>
          <w:tcPr>
            <w:tcW w:w="120" w:type="dxa"/>
            <w:vAlign w:val="bottom"/>
          </w:tcPr>
          <w:p>
            <w:pPr>
              <w:spacing w:after="0"/>
              <w:rPr>
                <w:sz w:val="14"/>
                <w:szCs w:val="14"/>
                <w:color w:val="auto"/>
              </w:rPr>
            </w:pPr>
          </w:p>
        </w:tc>
        <w:tc>
          <w:tcPr>
            <w:tcW w:w="3640" w:type="dxa"/>
            <w:vAlign w:val="bottom"/>
          </w:tcPr>
          <w:p>
            <w:pPr>
              <w:jc w:val="center"/>
              <w:spacing w:after="0"/>
              <w:rPr>
                <w:sz w:val="20"/>
                <w:szCs w:val="20"/>
                <w:color w:val="auto"/>
              </w:rPr>
            </w:pPr>
            <w:r>
              <w:rPr>
                <w:rFonts w:ascii="Arial" w:cs="Arial" w:eastAsia="Arial" w:hAnsi="Arial"/>
                <w:sz w:val="14"/>
                <w:szCs w:val="14"/>
                <w:b w:val="1"/>
                <w:bCs w:val="1"/>
                <w:color w:val="auto"/>
                <w:w w:val="89"/>
              </w:rPr>
              <w:t>Form/Document/</w:t>
            </w:r>
          </w:p>
        </w:tc>
        <w:tc>
          <w:tcPr>
            <w:tcW w:w="120" w:type="dxa"/>
            <w:vAlign w:val="bottom"/>
          </w:tcPr>
          <w:p>
            <w:pPr>
              <w:spacing w:after="0"/>
              <w:rPr>
                <w:sz w:val="14"/>
                <w:szCs w:val="14"/>
                <w:color w:val="auto"/>
              </w:rPr>
            </w:pPr>
          </w:p>
        </w:tc>
        <w:tc>
          <w:tcPr>
            <w:tcW w:w="3640" w:type="dxa"/>
            <w:vAlign w:val="bottom"/>
          </w:tcPr>
          <w:p>
            <w:pPr>
              <w:ind w:left="1400"/>
              <w:spacing w:after="0"/>
              <w:rPr>
                <w:sz w:val="20"/>
                <w:szCs w:val="20"/>
                <w:color w:val="auto"/>
              </w:rPr>
            </w:pPr>
            <w:r>
              <w:rPr>
                <w:rFonts w:ascii="Arial" w:cs="Arial" w:eastAsia="Arial" w:hAnsi="Arial"/>
                <w:sz w:val="14"/>
                <w:szCs w:val="14"/>
                <w:b w:val="1"/>
                <w:bCs w:val="1"/>
                <w:color w:val="auto"/>
              </w:rPr>
              <w:t>Date by which</w:t>
            </w:r>
          </w:p>
        </w:tc>
      </w:tr>
      <w:tr>
        <w:trPr>
          <w:trHeight w:val="168"/>
        </w:trPr>
        <w:tc>
          <w:tcPr>
            <w:tcW w:w="39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deliver document</w:t>
            </w:r>
          </w:p>
        </w:tc>
        <w:tc>
          <w:tcPr>
            <w:tcW w:w="120" w:type="dxa"/>
            <w:vAlign w:val="bottom"/>
          </w:tcPr>
          <w:p>
            <w:pPr>
              <w:spacing w:after="0"/>
              <w:rPr>
                <w:sz w:val="14"/>
                <w:szCs w:val="14"/>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Certificate</w:t>
            </w:r>
          </w:p>
        </w:tc>
        <w:tc>
          <w:tcPr>
            <w:tcW w:w="120" w:type="dxa"/>
            <w:vAlign w:val="bottom"/>
          </w:tcPr>
          <w:p>
            <w:pPr>
              <w:spacing w:after="0"/>
              <w:rPr>
                <w:sz w:val="14"/>
                <w:szCs w:val="14"/>
                <w:color w:val="auto"/>
              </w:rPr>
            </w:pPr>
          </w:p>
        </w:tc>
        <w:tc>
          <w:tcPr>
            <w:tcW w:w="3640" w:type="dxa"/>
            <w:vAlign w:val="bottom"/>
            <w:tcBorders>
              <w:bottom w:val="single" w:sz="8" w:color="auto"/>
            </w:tcBorders>
          </w:tcPr>
          <w:p>
            <w:pPr>
              <w:ind w:left="1400"/>
              <w:spacing w:after="0"/>
              <w:rPr>
                <w:sz w:val="20"/>
                <w:szCs w:val="20"/>
                <w:color w:val="auto"/>
              </w:rPr>
            </w:pPr>
            <w:r>
              <w:rPr>
                <w:rFonts w:ascii="Arial" w:cs="Arial" w:eastAsia="Arial" w:hAnsi="Arial"/>
                <w:sz w:val="14"/>
                <w:szCs w:val="14"/>
                <w:b w:val="1"/>
                <w:bCs w:val="1"/>
                <w:color w:val="auto"/>
              </w:rPr>
              <w:t>to be delivered</w:t>
            </w:r>
          </w:p>
        </w:tc>
      </w:tr>
    </w:tbl>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74" w:right="239" w:bottom="1440" w:gutter="0" w:footer="0" w:header="0"/>
        </w:sectPr>
      </w:pPr>
    </w:p>
    <w:bookmarkStart w:id="60" w:name="page61"/>
    <w:bookmarkEnd w:id="60"/>
    <w:p>
      <w:pPr>
        <w:spacing w:after="0"/>
        <w:rPr>
          <w:sz w:val="20"/>
          <w:szCs w:val="20"/>
          <w:color w:val="auto"/>
        </w:rPr>
      </w:pPr>
      <w:r>
        <w:rPr>
          <w:rFonts w:ascii="Arial" w:cs="Arial" w:eastAsia="Arial" w:hAnsi="Arial"/>
          <w:sz w:val="18"/>
          <w:szCs w:val="18"/>
          <w:color w:val="auto"/>
        </w:rPr>
        <w:t>Party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460" w:hanging="452"/>
        <w:spacing w:after="0"/>
        <w:tabs>
          <w:tab w:leader="none" w:pos="460" w:val="left"/>
        </w:tabs>
        <w:numPr>
          <w:ilvl w:val="0"/>
          <w:numId w:val="79"/>
        </w:numPr>
        <w:rPr>
          <w:rFonts w:ascii="Arial" w:cs="Arial" w:eastAsia="Arial" w:hAnsi="Arial"/>
          <w:sz w:val="15"/>
          <w:szCs w:val="15"/>
          <w:color w:val="auto"/>
        </w:rPr>
      </w:pPr>
      <w:r>
        <w:rPr>
          <w:rFonts w:ascii="Arial" w:cs="Arial" w:eastAsia="Arial" w:hAnsi="Arial"/>
          <w:sz w:val="15"/>
          <w:szCs w:val="15"/>
          <w:color w:val="auto"/>
        </w:rPr>
        <w:t>Other documents to be delivered are:</w:t>
      </w:r>
    </w:p>
    <w:p>
      <w:pPr>
        <w:spacing w:after="0" w:line="20" w:lineRule="exact"/>
        <w:rPr>
          <w:sz w:val="20"/>
          <w:szCs w:val="20"/>
          <w:color w:val="auto"/>
        </w:rPr>
      </w:pPr>
      <w:r>
        <w:rPr>
          <w:sz w:val="20"/>
          <w:szCs w:val="20"/>
          <w:color w:val="auto"/>
        </w:rPr>
        <w:br w:type="column"/>
      </w:r>
    </w:p>
    <w:p>
      <w:pPr>
        <w:spacing w:after="0" w:line="294" w:lineRule="auto"/>
        <w:rPr>
          <w:sz w:val="20"/>
          <w:szCs w:val="20"/>
          <w:color w:val="auto"/>
        </w:rPr>
      </w:pPr>
      <w:r>
        <w:rPr>
          <w:rFonts w:ascii="Arial" w:cs="Arial" w:eastAsia="Arial" w:hAnsi="Arial"/>
          <w:sz w:val="16"/>
          <w:szCs w:val="16"/>
          <w:color w:val="auto"/>
        </w:rPr>
        <w:t>As applicable, complete and executed copies of U.S. Internal Revenue Service form W-8BEN, or any successor thereto, with attachments, that eliminated U.S. withholding tax and back-up withholding tax on payments under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-2612390</wp:posOffset>
            </wp:positionH>
            <wp:positionV relativeFrom="paragraph">
              <wp:posOffset>-803910</wp:posOffset>
            </wp:positionV>
            <wp:extent cx="7267575" cy="279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0"/>
        <w:spacing w:after="0" w:line="318" w:lineRule="auto"/>
        <w:rPr>
          <w:sz w:val="20"/>
          <w:szCs w:val="20"/>
          <w:color w:val="auto"/>
        </w:rPr>
      </w:pPr>
      <w:r>
        <w:rPr>
          <w:rFonts w:ascii="Arial" w:cs="Arial" w:eastAsia="Arial" w:hAnsi="Arial"/>
          <w:sz w:val="15"/>
          <w:szCs w:val="15"/>
          <w:color w:val="auto"/>
        </w:rPr>
        <w:t>Before the first date on which payments are made under this Agreement, and thereafter promptly upon reasonable demand by party A, or upon learning that any such form previously provided by Party A has become obsolete or incorrect.</w:t>
      </w:r>
    </w:p>
    <w:p>
      <w:pPr>
        <w:spacing w:after="0" w:line="391" w:lineRule="exact"/>
        <w:rPr>
          <w:sz w:val="20"/>
          <w:szCs w:val="20"/>
          <w:color w:val="auto"/>
        </w:rPr>
      </w:pPr>
    </w:p>
    <w:p>
      <w:pPr>
        <w:sectPr>
          <w:pgSz w:w="11900" w:h="16838" w:orient="portrait"/>
          <w:cols w:equalWidth="0" w:num="3">
            <w:col w:w="3400" w:space="720"/>
            <w:col w:w="3660" w:space="120"/>
            <w:col w:w="3520"/>
          </w:cols>
          <w:pgMar w:left="240" w:top="280" w:right="239" w:bottom="1440" w:gutter="0" w:footer="0" w:header="0"/>
        </w:sectPr>
      </w:pPr>
    </w:p>
    <w:p>
      <w:pPr>
        <w:spacing w:after="0" w:line="19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Party required to</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Deliver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196405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Party A and Party B</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left="510"/>
        <w:spacing w:after="0"/>
        <w:rPr>
          <w:sz w:val="20"/>
          <w:szCs w:val="20"/>
          <w:color w:val="auto"/>
        </w:rPr>
      </w:pPr>
      <w:r>
        <w:rPr>
          <w:rFonts w:ascii="Arial" w:cs="Arial" w:eastAsia="Arial" w:hAnsi="Arial"/>
          <w:sz w:val="14"/>
          <w:szCs w:val="14"/>
          <w:b w:val="1"/>
          <w:bCs w:val="1"/>
          <w:color w:val="auto"/>
        </w:rPr>
        <w:t>Form/Document/Certificate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167259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72590" cy="8890"/>
                    </a:xfrm>
                    <a:prstGeom prst="rect">
                      <a:avLst/>
                    </a:prstGeom>
                    <a:noFill/>
                  </pic:spPr>
                </pic:pic>
              </a:graphicData>
            </a:graphic>
          </wp:anchor>
        </w:drawing>
      </w:r>
    </w:p>
    <w:p>
      <w:pPr>
        <w:ind w:left="10"/>
        <w:spacing w:after="0" w:line="302" w:lineRule="auto"/>
        <w:rPr>
          <w:sz w:val="20"/>
          <w:szCs w:val="20"/>
          <w:color w:val="auto"/>
        </w:rPr>
      </w:pPr>
      <w:r>
        <w:rPr>
          <w:rFonts w:ascii="Arial" w:cs="Arial" w:eastAsia="Arial" w:hAnsi="Arial"/>
          <w:sz w:val="15"/>
          <w:szCs w:val="15"/>
          <w:color w:val="auto"/>
        </w:rPr>
        <w:t>Either (i) a signature booklet containing a secretary’s certificate and resolutions (“authorizing resolutions”) or (ii) other authority documentation, in either case, which</w:t>
      </w:r>
    </w:p>
    <w:p>
      <w:pPr>
        <w:spacing w:after="0" w:line="2" w:lineRule="exact"/>
        <w:rPr>
          <w:sz w:val="20"/>
          <w:szCs w:val="20"/>
          <w:color w:val="auto"/>
        </w:rPr>
      </w:pPr>
    </w:p>
    <w:p>
      <w:pPr>
        <w:ind w:left="10" w:right="40" w:hanging="10"/>
        <w:spacing w:after="0" w:line="315" w:lineRule="auto"/>
        <w:tabs>
          <w:tab w:leader="none" w:pos="258" w:val="left"/>
        </w:tabs>
        <w:numPr>
          <w:ilvl w:val="0"/>
          <w:numId w:val="80"/>
        </w:numPr>
        <w:rPr>
          <w:rFonts w:ascii="Arial" w:cs="Arial" w:eastAsia="Arial" w:hAnsi="Arial"/>
          <w:sz w:val="15"/>
          <w:szCs w:val="15"/>
          <w:color w:val="auto"/>
        </w:rPr>
      </w:pPr>
      <w:r>
        <w:rPr>
          <w:rFonts w:ascii="Arial" w:cs="Arial" w:eastAsia="Arial" w:hAnsi="Arial"/>
          <w:sz w:val="15"/>
          <w:szCs w:val="15"/>
          <w:color w:val="auto"/>
        </w:rPr>
        <w:t>authorizes the party to enter into derivatives transactions of the type contemplated by the parties and (y) is reasonably satisfactory in form and substance to the other party.</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6"/>
              </w:rPr>
              <w:t>Covered by</w:t>
            </w:r>
          </w:p>
        </w:tc>
      </w:tr>
      <w:tr>
        <w:trPr>
          <w:trHeight w:val="149"/>
        </w:trPr>
        <w:tc>
          <w:tcPr>
            <w:tcW w:w="2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Section 3(d)</w:t>
            </w:r>
          </w:p>
        </w:tc>
      </w:tr>
      <w:tr>
        <w:trPr>
          <w:trHeight w:val="175"/>
        </w:trPr>
        <w:tc>
          <w:tcPr>
            <w:tcW w:w="20" w:type="dxa"/>
            <w:vAlign w:val="bottom"/>
          </w:tcPr>
          <w:p>
            <w:pPr>
              <w:spacing w:after="0"/>
              <w:rPr>
                <w:sz w:val="15"/>
                <w:szCs w:val="15"/>
                <w:color w:val="auto"/>
              </w:rPr>
            </w:pPr>
          </w:p>
        </w:tc>
        <w:tc>
          <w:tcPr>
            <w:tcW w:w="2480" w:type="dxa"/>
            <w:vAlign w:val="bottom"/>
            <w:tcBorders>
              <w:bottom w:val="single" w:sz="8" w:color="auto"/>
            </w:tcBorders>
          </w:tcPr>
          <w:p>
            <w:pPr>
              <w:ind w:left="380"/>
              <w:spacing w:after="0"/>
              <w:rPr>
                <w:sz w:val="20"/>
                <w:szCs w:val="20"/>
                <w:color w:val="auto"/>
              </w:rPr>
            </w:pPr>
            <w:r>
              <w:rPr>
                <w:rFonts w:ascii="Arial" w:cs="Arial" w:eastAsia="Arial" w:hAnsi="Arial"/>
                <w:sz w:val="14"/>
                <w:szCs w:val="14"/>
                <w:b w:val="1"/>
                <w:bCs w:val="1"/>
                <w:color w:val="auto"/>
              </w:rPr>
              <w:t>Date by which to be delivered</w:t>
            </w:r>
          </w:p>
        </w:tc>
        <w:tc>
          <w:tcPr>
            <w:tcW w:w="320" w:type="dxa"/>
            <w:vAlign w:val="bottom"/>
          </w:tcPr>
          <w:p>
            <w:pPr>
              <w:spacing w:after="0"/>
              <w:rPr>
                <w:sz w:val="15"/>
                <w:szCs w:val="15"/>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Representation</w:t>
            </w:r>
          </w:p>
        </w:tc>
      </w:tr>
      <w:tr>
        <w:trPr>
          <w:trHeight w:val="201"/>
        </w:trPr>
        <w:tc>
          <w:tcPr>
            <w:tcW w:w="20" w:type="dxa"/>
            <w:vAlign w:val="bottom"/>
          </w:tcPr>
          <w:p>
            <w:pPr>
              <w:spacing w:after="0"/>
              <w:rPr>
                <w:sz w:val="17"/>
                <w:szCs w:val="17"/>
                <w:color w:val="auto"/>
              </w:rPr>
            </w:pPr>
          </w:p>
        </w:tc>
        <w:tc>
          <w:tcPr>
            <w:tcW w:w="2480" w:type="dxa"/>
            <w:vAlign w:val="bottom"/>
          </w:tcPr>
          <w:p>
            <w:pPr>
              <w:spacing w:after="0" w:line="201" w:lineRule="exact"/>
              <w:rPr>
                <w:sz w:val="20"/>
                <w:szCs w:val="20"/>
                <w:color w:val="auto"/>
              </w:rPr>
            </w:pPr>
            <w:r>
              <w:rPr>
                <w:rFonts w:ascii="Arial" w:cs="Arial" w:eastAsia="Arial" w:hAnsi="Arial"/>
                <w:sz w:val="18"/>
                <w:szCs w:val="18"/>
                <w:color w:val="auto"/>
                <w:w w:val="90"/>
              </w:rPr>
              <w:t>Upon execution of this Agreement</w:t>
            </w:r>
          </w:p>
        </w:tc>
        <w:tc>
          <w:tcPr>
            <w:tcW w:w="320" w:type="dxa"/>
            <w:vAlign w:val="bottom"/>
          </w:tcPr>
          <w:p>
            <w:pPr>
              <w:spacing w:after="0"/>
              <w:rPr>
                <w:sz w:val="17"/>
                <w:szCs w:val="17"/>
                <w:color w:val="auto"/>
              </w:rPr>
            </w:pPr>
          </w:p>
        </w:tc>
        <w:tc>
          <w:tcPr>
            <w:tcW w:w="2400" w:type="dxa"/>
            <w:vAlign w:val="bottom"/>
          </w:tcPr>
          <w:p>
            <w:pPr>
              <w:spacing w:after="0" w:line="201" w:lineRule="exact"/>
              <w:rPr>
                <w:sz w:val="20"/>
                <w:szCs w:val="20"/>
                <w:color w:val="auto"/>
              </w:rPr>
            </w:pPr>
            <w:r>
              <w:rPr>
                <w:rFonts w:ascii="Arial" w:cs="Arial" w:eastAsia="Arial" w:hAnsi="Arial"/>
                <w:sz w:val="18"/>
                <w:szCs w:val="18"/>
                <w:color w:val="auto"/>
              </w:rPr>
              <w:t>Yes</w:t>
            </w:r>
          </w:p>
        </w:tc>
      </w:tr>
      <w:tr>
        <w:trPr>
          <w:trHeight w:val="216"/>
        </w:trPr>
        <w:tc>
          <w:tcPr>
            <w:tcW w:w="2500" w:type="dxa"/>
            <w:vAlign w:val="bottom"/>
            <w:gridSpan w:val="2"/>
          </w:tcPr>
          <w:p>
            <w:pPr>
              <w:spacing w:after="0"/>
              <w:rPr>
                <w:sz w:val="20"/>
                <w:szCs w:val="20"/>
                <w:color w:val="auto"/>
              </w:rPr>
            </w:pPr>
            <w:r>
              <w:rPr>
                <w:rFonts w:ascii="Arial" w:cs="Arial" w:eastAsia="Arial" w:hAnsi="Arial"/>
                <w:sz w:val="18"/>
                <w:szCs w:val="18"/>
                <w:color w:val="auto"/>
                <w:w w:val="91"/>
              </w:rPr>
              <w:t>and as deemed necessary for any</w:t>
            </w:r>
          </w:p>
        </w:tc>
        <w:tc>
          <w:tcPr>
            <w:tcW w:w="320" w:type="dxa"/>
            <w:vAlign w:val="bottom"/>
          </w:tcPr>
          <w:p>
            <w:pPr>
              <w:spacing w:after="0"/>
              <w:rPr>
                <w:sz w:val="18"/>
                <w:szCs w:val="18"/>
                <w:color w:val="auto"/>
              </w:rPr>
            </w:pPr>
          </w:p>
        </w:tc>
        <w:tc>
          <w:tcPr>
            <w:tcW w:w="2400" w:type="dxa"/>
            <w:vAlign w:val="bottom"/>
          </w:tcPr>
          <w:p>
            <w:pPr>
              <w:spacing w:after="0"/>
              <w:rPr>
                <w:sz w:val="18"/>
                <w:szCs w:val="18"/>
                <w:color w:val="auto"/>
              </w:rPr>
            </w:pPr>
          </w:p>
        </w:tc>
      </w:tr>
      <w:tr>
        <w:trPr>
          <w:trHeight w:val="222"/>
        </w:trPr>
        <w:tc>
          <w:tcPr>
            <w:tcW w:w="2500" w:type="dxa"/>
            <w:vAlign w:val="bottom"/>
            <w:gridSpan w:val="2"/>
          </w:tcPr>
          <w:p>
            <w:pPr>
              <w:spacing w:after="0"/>
              <w:rPr>
                <w:sz w:val="20"/>
                <w:szCs w:val="20"/>
                <w:color w:val="auto"/>
              </w:rPr>
            </w:pPr>
            <w:r>
              <w:rPr>
                <w:rFonts w:ascii="Arial" w:cs="Arial" w:eastAsia="Arial" w:hAnsi="Arial"/>
                <w:sz w:val="18"/>
                <w:szCs w:val="18"/>
                <w:color w:val="auto"/>
              </w:rPr>
              <w:t>future Transaction.</w:t>
            </w:r>
          </w:p>
        </w:tc>
        <w:tc>
          <w:tcPr>
            <w:tcW w:w="320" w:type="dxa"/>
            <w:vAlign w:val="bottom"/>
          </w:tcPr>
          <w:p>
            <w:pPr>
              <w:spacing w:after="0"/>
              <w:rPr>
                <w:sz w:val="19"/>
                <w:szCs w:val="19"/>
                <w:color w:val="auto"/>
              </w:rPr>
            </w:pPr>
          </w:p>
        </w:tc>
        <w:tc>
          <w:tcPr>
            <w:tcW w:w="2400" w:type="dxa"/>
            <w:vAlign w:val="bottom"/>
          </w:tcPr>
          <w:p>
            <w:pPr>
              <w:spacing w:after="0"/>
              <w:rPr>
                <w:sz w:val="19"/>
                <w:szCs w:val="19"/>
                <w:color w:val="auto"/>
              </w:rPr>
            </w:pPr>
          </w:p>
        </w:tc>
      </w:tr>
    </w:tbl>
    <w:p>
      <w:pPr>
        <w:spacing w:after="0" w:line="1614" w:lineRule="exact"/>
        <w:rPr>
          <w:sz w:val="20"/>
          <w:szCs w:val="20"/>
          <w:color w:val="auto"/>
        </w:rPr>
      </w:pPr>
    </w:p>
    <w:p>
      <w:pPr>
        <w:sectPr>
          <w:pgSz w:w="11900" w:h="16838" w:orient="portrait"/>
          <w:cols w:equalWidth="0" w:num="3">
            <w:col w:w="2610" w:space="720"/>
            <w:col w:w="2570" w:space="300"/>
            <w:col w:w="5220"/>
          </w:cols>
          <w:pgMar w:left="240" w:top="280" w:right="239" w:bottom="1440" w:gutter="0" w:footer="0" w:header="0"/>
          <w:type w:val="continuous"/>
        </w:sectPr>
      </w:pPr>
    </w:p>
    <w:p>
      <w:pPr>
        <w:spacing w:after="0"/>
        <w:tabs>
          <w:tab w:leader="none" w:pos="3320" w:val="left"/>
        </w:tabs>
        <w:rPr>
          <w:sz w:val="20"/>
          <w:szCs w:val="20"/>
          <w:color w:val="auto"/>
        </w:rPr>
      </w:pPr>
      <w:r>
        <w:rPr>
          <w:rFonts w:ascii="Arial" w:cs="Arial" w:eastAsia="Arial" w:hAnsi="Arial"/>
          <w:sz w:val="18"/>
          <w:szCs w:val="18"/>
          <w:color w:val="auto"/>
        </w:rPr>
        <w:t>Party A and Party B</w:t>
      </w:r>
      <w:r>
        <w:rPr>
          <w:sz w:val="20"/>
          <w:szCs w:val="20"/>
          <w:color w:val="auto"/>
        </w:rPr>
        <w:tab/>
      </w:r>
      <w:r>
        <w:rPr>
          <w:rFonts w:ascii="Arial" w:cs="Arial" w:eastAsia="Arial" w:hAnsi="Arial"/>
          <w:sz w:val="15"/>
          <w:szCs w:val="15"/>
          <w:color w:val="auto"/>
        </w:rPr>
        <w:t>Certified copies of documents</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evidencing each party’s capacity to</w:t>
      </w:r>
    </w:p>
    <w:p>
      <w:pPr>
        <w:spacing w:after="0" w:line="3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execute this Agreement, each</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Confirmation and any Credit Support</w:t>
      </w:r>
    </w:p>
    <w:p>
      <w:pPr>
        <w:spacing w:after="0" w:line="3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Document (if applicable) and to</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perform its obligations hereunder</w:t>
      </w:r>
    </w:p>
    <w:p>
      <w:pPr>
        <w:spacing w:after="0" w:line="3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and thereunder.</w:t>
      </w:r>
    </w:p>
    <w:p>
      <w:pPr>
        <w:spacing w:after="0" w:line="20" w:lineRule="exact"/>
        <w:rPr>
          <w:sz w:val="20"/>
          <w:szCs w:val="20"/>
          <w:color w:val="auto"/>
        </w:rPr>
      </w:pPr>
      <w:r>
        <w:rPr>
          <w:sz w:val="20"/>
          <w:szCs w:val="20"/>
          <w:color w:val="auto"/>
        </w:rPr>
        <w:br w:type="column"/>
      </w:r>
    </w:p>
    <w:p>
      <w:pPr>
        <w:spacing w:after="0"/>
        <w:tabs>
          <w:tab w:leader="none" w:pos="2800" w:val="left"/>
        </w:tabs>
        <w:rPr>
          <w:sz w:val="20"/>
          <w:szCs w:val="20"/>
          <w:color w:val="auto"/>
        </w:rPr>
      </w:pPr>
      <w:r>
        <w:rPr>
          <w:rFonts w:ascii="Arial" w:cs="Arial" w:eastAsia="Arial" w:hAnsi="Arial"/>
          <w:sz w:val="18"/>
          <w:szCs w:val="18"/>
          <w:color w:val="auto"/>
        </w:rPr>
        <w:t>As soon as practicable after the</w:t>
      </w:r>
      <w:r>
        <w:rPr>
          <w:sz w:val="20"/>
          <w:szCs w:val="20"/>
          <w:color w:val="auto"/>
        </w:rPr>
        <w:tab/>
      </w:r>
      <w:r>
        <w:rPr>
          <w:rFonts w:ascii="Arial" w:cs="Arial" w:eastAsia="Arial" w:hAnsi="Arial"/>
          <w:sz w:val="15"/>
          <w:szCs w:val="15"/>
          <w:color w:val="auto"/>
        </w:rPr>
        <w:t>Yes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execution of this Agreement,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a Confirmation,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upon the other party’s request.</w:t>
      </w:r>
    </w:p>
    <w:p>
      <w:pPr>
        <w:spacing w:after="0" w:line="759" w:lineRule="exact"/>
        <w:rPr>
          <w:sz w:val="20"/>
          <w:szCs w:val="20"/>
          <w:color w:val="auto"/>
        </w:rPr>
      </w:pPr>
    </w:p>
    <w:p>
      <w:pPr>
        <w:sectPr>
          <w:pgSz w:w="11900" w:h="16838" w:orient="portrait"/>
          <w:cols w:equalWidth="0" w:num="2">
            <w:col w:w="5960" w:space="240"/>
            <w:col w:w="5220"/>
          </w:cols>
          <w:pgMar w:left="240" w:top="280" w:right="239" w:bottom="1440" w:gutter="0" w:footer="0" w:header="0"/>
          <w:type w:val="continuous"/>
        </w:sectPr>
      </w:pPr>
    </w:p>
    <w:p>
      <w:pPr>
        <w:spacing w:after="0"/>
        <w:tabs>
          <w:tab w:leader="none" w:pos="3320" w:val="left"/>
        </w:tabs>
        <w:rPr>
          <w:sz w:val="20"/>
          <w:szCs w:val="20"/>
          <w:color w:val="auto"/>
        </w:rPr>
      </w:pPr>
      <w:r>
        <w:rPr>
          <w:rFonts w:ascii="Arial" w:cs="Arial" w:eastAsia="Arial" w:hAnsi="Arial"/>
          <w:sz w:val="18"/>
          <w:szCs w:val="18"/>
          <w:color w:val="auto"/>
        </w:rPr>
        <w:t>Party A and Party B</w:t>
      </w:r>
      <w:r>
        <w:rPr>
          <w:sz w:val="20"/>
          <w:szCs w:val="20"/>
          <w:color w:val="auto"/>
        </w:rPr>
        <w:tab/>
      </w:r>
      <w:r>
        <w:rPr>
          <w:rFonts w:ascii="Arial" w:cs="Arial" w:eastAsia="Arial" w:hAnsi="Arial"/>
          <w:sz w:val="15"/>
          <w:szCs w:val="15"/>
          <w:color w:val="auto"/>
        </w:rPr>
        <w:t>A copy of the annual report of such</w:t>
      </w:r>
    </w:p>
    <w:p>
      <w:pPr>
        <w:spacing w:after="0" w:line="15"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party containing audited</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5"/>
          <w:szCs w:val="15"/>
          <w:color w:val="auto"/>
        </w:rPr>
        <w:t>consolidated financial statements for</w:t>
      </w:r>
    </w:p>
    <w:p>
      <w:pPr>
        <w:spacing w:after="0" w:line="44"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each such fiscal year, certified by</w:t>
      </w:r>
    </w:p>
    <w:p>
      <w:pPr>
        <w:spacing w:after="0" w:line="32"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independent certified public</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8"/>
          <w:szCs w:val="18"/>
          <w:color w:val="auto"/>
        </w:rPr>
        <w:t>accountants and prepared in</w:t>
      </w:r>
    </w:p>
    <w:p>
      <w:pPr>
        <w:spacing w:after="0" w:line="9"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accordance with generally accepted</w:t>
      </w:r>
    </w:p>
    <w:p>
      <w:pPr>
        <w:spacing w:after="0" w:line="32"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accounting principles in the country</w:t>
      </w:r>
    </w:p>
    <w:p>
      <w:pPr>
        <w:spacing w:after="0" w:line="32" w:lineRule="exact"/>
        <w:rPr>
          <w:sz w:val="20"/>
          <w:szCs w:val="20"/>
          <w:color w:val="auto"/>
        </w:rPr>
      </w:pPr>
    </w:p>
    <w:p>
      <w:pPr>
        <w:ind w:left="3340"/>
        <w:spacing w:after="0"/>
        <w:rPr>
          <w:sz w:val="20"/>
          <w:szCs w:val="20"/>
          <w:color w:val="auto"/>
        </w:rPr>
      </w:pPr>
      <w:r>
        <w:rPr>
          <w:rFonts w:ascii="Arial" w:cs="Arial" w:eastAsia="Arial" w:hAnsi="Arial"/>
          <w:sz w:val="16"/>
          <w:szCs w:val="16"/>
          <w:color w:val="auto"/>
        </w:rPr>
        <w:t>in which such party is organized.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4. </w:t>
      </w: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90" w:lineRule="exact"/>
        <w:rPr>
          <w:sz w:val="20"/>
          <w:szCs w:val="20"/>
          <w:color w:val="auto"/>
        </w:rPr>
      </w:pPr>
    </w:p>
    <w:p>
      <w:pPr>
        <w:ind w:left="460" w:right="100" w:hanging="452"/>
        <w:spacing w:after="0" w:line="435" w:lineRule="auto"/>
        <w:tabs>
          <w:tab w:leader="none" w:pos="460" w:val="left"/>
        </w:tabs>
        <w:numPr>
          <w:ilvl w:val="0"/>
          <w:numId w:val="81"/>
        </w:numPr>
        <w:rPr>
          <w:rFonts w:ascii="Arial" w:cs="Arial" w:eastAsia="Arial" w:hAnsi="Arial"/>
          <w:sz w:val="16"/>
          <w:szCs w:val="16"/>
          <w:color w:val="auto"/>
        </w:rPr>
      </w:pPr>
      <w:r>
        <w:rPr>
          <w:rFonts w:ascii="Arial" w:cs="Arial" w:eastAsia="Arial" w:hAnsi="Arial"/>
          <w:sz w:val="16"/>
          <w:szCs w:val="16"/>
          <w:b w:val="1"/>
          <w:bCs w:val="1"/>
          <w:color w:val="auto"/>
        </w:rPr>
        <w:t xml:space="preserve">Addresses for Notices. </w:t>
      </w:r>
      <w:r>
        <w:rPr>
          <w:rFonts w:ascii="Arial" w:cs="Arial" w:eastAsia="Arial" w:hAnsi="Arial"/>
          <w:sz w:val="16"/>
          <w:szCs w:val="16"/>
          <w:color w:val="auto"/>
        </w:rPr>
        <w:t>For the purpose of Section 12(a) of this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(i)(1) Address for notices or communications to Party A:</w:t>
      </w:r>
    </w:p>
    <w:p>
      <w:pPr>
        <w:spacing w:after="0" w:line="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br w:type="column"/>
      </w:r>
    </w:p>
    <w:p>
      <w:pPr>
        <w:spacing w:after="0"/>
        <w:tabs>
          <w:tab w:leader="none" w:pos="2800" w:val="left"/>
        </w:tabs>
        <w:rPr>
          <w:sz w:val="20"/>
          <w:szCs w:val="20"/>
          <w:color w:val="auto"/>
        </w:rPr>
      </w:pPr>
      <w:r>
        <w:rPr>
          <w:rFonts w:ascii="Arial" w:cs="Arial" w:eastAsia="Arial" w:hAnsi="Arial"/>
          <w:sz w:val="18"/>
          <w:szCs w:val="18"/>
          <w:color w:val="auto"/>
        </w:rPr>
        <w:t>As soon as practicable after the</w:t>
      </w:r>
      <w:r>
        <w:rPr>
          <w:sz w:val="20"/>
          <w:szCs w:val="20"/>
          <w:color w:val="auto"/>
        </w:rPr>
        <w:tab/>
      </w:r>
      <w:r>
        <w:rPr>
          <w:rFonts w:ascii="Arial" w:cs="Arial" w:eastAsia="Arial" w:hAnsi="Arial"/>
          <w:sz w:val="15"/>
          <w:szCs w:val="15"/>
          <w:color w:val="auto"/>
        </w:rPr>
        <w:t>Yes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execution of this Agreement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also within 120 calendar days after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end of each fiscal year while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there are any obligations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outstanding under this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provided that the foregoing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delivery obligation of Party B shall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 deemed to be satisfied for 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long as Credit Suisse, Cayman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Islands or any of its affiliates is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Lender (each term as defined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Credit Agreement).</w:t>
      </w:r>
    </w:p>
    <w:p>
      <w:pPr>
        <w:sectPr>
          <w:pgSz w:w="11900" w:h="16838" w:orient="portrait"/>
          <w:cols w:equalWidth="0" w:num="2">
            <w:col w:w="5900" w:space="300"/>
            <w:col w:w="5220"/>
          </w:cols>
          <w:pgMar w:left="240" w:top="280" w:right="239" w:bottom="1440" w:gutter="0" w:footer="0" w:header="0"/>
          <w:type w:val="continuous"/>
        </w:sectPr>
      </w:pPr>
    </w:p>
    <w:bookmarkStart w:id="61" w:name="page62"/>
    <w:bookmarkEnd w:id="61"/>
    <w:tbl>
      <w:tblPr>
        <w:tblLayout w:type="fixed"/>
        <w:tblInd w:w="452" w:type="dxa"/>
        <w:tblCellMar>
          <w:top w:w="0" w:type="dxa"/>
          <w:left w:w="0" w:type="dxa"/>
          <w:bottom w:w="0" w:type="dxa"/>
          <w:right w:w="0" w:type="dxa"/>
        </w:tblCellMar>
      </w:tblPr>
      <w:tr>
        <w:trPr>
          <w:trHeight w:val="216"/>
        </w:trPr>
        <w:tc>
          <w:tcPr>
            <w:tcW w:w="3080" w:type="dxa"/>
            <w:vAlign w:val="bottom"/>
          </w:tcPr>
          <w:p>
            <w:pPr>
              <w:spacing w:after="0"/>
              <w:rPr>
                <w:sz w:val="20"/>
                <w:szCs w:val="20"/>
                <w:color w:val="auto"/>
              </w:rPr>
            </w:pPr>
            <w:r>
              <w:rPr>
                <w:rFonts w:ascii="Arial" w:cs="Arial" w:eastAsia="Arial" w:hAnsi="Arial"/>
                <w:sz w:val="18"/>
                <w:szCs w:val="18"/>
                <w:color w:val="auto"/>
              </w:rPr>
              <w:t>Address:  Credit Suisse International</w:t>
            </w:r>
          </w:p>
        </w:tc>
        <w:tc>
          <w:tcPr>
            <w:tcW w:w="1480" w:type="dxa"/>
            <w:vAlign w:val="bottom"/>
          </w:tcPr>
          <w:p>
            <w:pPr>
              <w:jc w:val="right"/>
              <w:spacing w:after="0"/>
              <w:rPr>
                <w:sz w:val="20"/>
                <w:szCs w:val="20"/>
                <w:color w:val="auto"/>
              </w:rPr>
            </w:pPr>
            <w:r>
              <w:rPr>
                <w:rFonts w:ascii="Arial" w:cs="Arial" w:eastAsia="Arial" w:hAnsi="Arial"/>
                <w:sz w:val="18"/>
                <w:szCs w:val="18"/>
                <w:color w:val="auto"/>
              </w:rPr>
              <w:t>Attention:  (1)</w:t>
            </w:r>
          </w:p>
        </w:tc>
        <w:tc>
          <w:tcPr>
            <w:tcW w:w="2520" w:type="dxa"/>
            <w:vAlign w:val="bottom"/>
          </w:tcPr>
          <w:p>
            <w:pPr>
              <w:ind w:left="60"/>
              <w:spacing w:after="0"/>
              <w:rPr>
                <w:sz w:val="20"/>
                <w:szCs w:val="20"/>
                <w:color w:val="auto"/>
              </w:rPr>
            </w:pPr>
            <w:r>
              <w:rPr>
                <w:rFonts w:ascii="Arial" w:cs="Arial" w:eastAsia="Arial" w:hAnsi="Arial"/>
                <w:sz w:val="18"/>
                <w:szCs w:val="18"/>
                <w:color w:val="auto"/>
                <w:w w:val="89"/>
              </w:rPr>
              <w:t>Head of Credit Risk Management;</w:t>
            </w:r>
          </w:p>
        </w:tc>
      </w:tr>
      <w:tr>
        <w:trPr>
          <w:trHeight w:val="216"/>
        </w:trPr>
        <w:tc>
          <w:tcPr>
            <w:tcW w:w="3080" w:type="dxa"/>
            <w:vAlign w:val="bottom"/>
          </w:tcPr>
          <w:p>
            <w:pPr>
              <w:ind w:left="840"/>
              <w:spacing w:after="0"/>
              <w:rPr>
                <w:sz w:val="20"/>
                <w:szCs w:val="20"/>
                <w:color w:val="auto"/>
              </w:rPr>
            </w:pPr>
            <w:r>
              <w:rPr>
                <w:rFonts w:ascii="Arial" w:cs="Arial" w:eastAsia="Arial" w:hAnsi="Arial"/>
                <w:sz w:val="18"/>
                <w:szCs w:val="18"/>
                <w:color w:val="auto"/>
              </w:rPr>
              <w:t>One Cabot Square</w:t>
            </w:r>
          </w:p>
        </w:tc>
        <w:tc>
          <w:tcPr>
            <w:tcW w:w="1480" w:type="dxa"/>
            <w:vAlign w:val="bottom"/>
          </w:tcPr>
          <w:p>
            <w:pPr>
              <w:jc w:val="right"/>
              <w:spacing w:after="0"/>
              <w:rPr>
                <w:sz w:val="20"/>
                <w:szCs w:val="20"/>
                <w:color w:val="auto"/>
              </w:rPr>
            </w:pPr>
            <w:r>
              <w:rPr>
                <w:rFonts w:ascii="Arial" w:cs="Arial" w:eastAsia="Arial" w:hAnsi="Arial"/>
                <w:sz w:val="18"/>
                <w:szCs w:val="18"/>
                <w:color w:val="auto"/>
              </w:rPr>
              <w:t>(2)</w:t>
            </w:r>
          </w:p>
        </w:tc>
        <w:tc>
          <w:tcPr>
            <w:tcW w:w="2520" w:type="dxa"/>
            <w:vAlign w:val="bottom"/>
          </w:tcPr>
          <w:p>
            <w:pPr>
              <w:ind w:left="60"/>
              <w:spacing w:after="0"/>
              <w:rPr>
                <w:sz w:val="20"/>
                <w:szCs w:val="20"/>
                <w:color w:val="auto"/>
              </w:rPr>
            </w:pPr>
            <w:r>
              <w:rPr>
                <w:rFonts w:ascii="Arial" w:cs="Arial" w:eastAsia="Arial" w:hAnsi="Arial"/>
                <w:sz w:val="18"/>
                <w:szCs w:val="18"/>
                <w:color w:val="auto"/>
                <w:w w:val="91"/>
              </w:rPr>
              <w:t>Global Head of OTC Operations -</w:t>
            </w:r>
          </w:p>
        </w:tc>
      </w:tr>
      <w:tr>
        <w:trPr>
          <w:trHeight w:val="216"/>
        </w:trPr>
        <w:tc>
          <w:tcPr>
            <w:tcW w:w="3080" w:type="dxa"/>
            <w:vAlign w:val="bottom"/>
          </w:tcPr>
          <w:p>
            <w:pPr>
              <w:ind w:left="840"/>
              <w:spacing w:after="0"/>
              <w:rPr>
                <w:sz w:val="20"/>
                <w:szCs w:val="20"/>
                <w:color w:val="auto"/>
              </w:rPr>
            </w:pPr>
            <w:r>
              <w:rPr>
                <w:rFonts w:ascii="Arial" w:cs="Arial" w:eastAsia="Arial" w:hAnsi="Arial"/>
                <w:sz w:val="18"/>
                <w:szCs w:val="18"/>
                <w:color w:val="auto"/>
              </w:rPr>
              <w:t>London E14 4QJ</w:t>
            </w:r>
          </w:p>
        </w:tc>
        <w:tc>
          <w:tcPr>
            <w:tcW w:w="1480" w:type="dxa"/>
            <w:vAlign w:val="bottom"/>
          </w:tcPr>
          <w:p>
            <w:pPr>
              <w:spacing w:after="0"/>
              <w:rPr>
                <w:sz w:val="18"/>
                <w:szCs w:val="18"/>
                <w:color w:val="auto"/>
              </w:rPr>
            </w:pPr>
          </w:p>
        </w:tc>
        <w:tc>
          <w:tcPr>
            <w:tcW w:w="2520" w:type="dxa"/>
            <w:vAlign w:val="bottom"/>
          </w:tcPr>
          <w:p>
            <w:pPr>
              <w:ind w:left="60"/>
              <w:spacing w:after="0"/>
              <w:rPr>
                <w:sz w:val="20"/>
                <w:szCs w:val="20"/>
                <w:color w:val="auto"/>
              </w:rPr>
            </w:pPr>
            <w:r>
              <w:rPr>
                <w:rFonts w:ascii="Arial" w:cs="Arial" w:eastAsia="Arial" w:hAnsi="Arial"/>
                <w:sz w:val="18"/>
                <w:szCs w:val="18"/>
                <w:color w:val="auto"/>
              </w:rPr>
              <w:t>Operations Department;</w:t>
            </w:r>
          </w:p>
        </w:tc>
      </w:tr>
      <w:tr>
        <w:trPr>
          <w:trHeight w:val="216"/>
        </w:trPr>
        <w:tc>
          <w:tcPr>
            <w:tcW w:w="3080" w:type="dxa"/>
            <w:vAlign w:val="bottom"/>
          </w:tcPr>
          <w:p>
            <w:pPr>
              <w:ind w:left="840"/>
              <w:spacing w:after="0"/>
              <w:rPr>
                <w:sz w:val="20"/>
                <w:szCs w:val="20"/>
                <w:color w:val="auto"/>
              </w:rPr>
            </w:pPr>
            <w:r>
              <w:rPr>
                <w:rFonts w:ascii="Arial" w:cs="Arial" w:eastAsia="Arial" w:hAnsi="Arial"/>
                <w:sz w:val="18"/>
                <w:szCs w:val="18"/>
                <w:color w:val="auto"/>
              </w:rPr>
              <w:t>England</w:t>
            </w:r>
          </w:p>
        </w:tc>
        <w:tc>
          <w:tcPr>
            <w:tcW w:w="1480" w:type="dxa"/>
            <w:vAlign w:val="bottom"/>
          </w:tcPr>
          <w:p>
            <w:pPr>
              <w:jc w:val="right"/>
              <w:spacing w:after="0"/>
              <w:rPr>
                <w:sz w:val="20"/>
                <w:szCs w:val="20"/>
                <w:color w:val="auto"/>
              </w:rPr>
            </w:pPr>
            <w:r>
              <w:rPr>
                <w:rFonts w:ascii="Arial" w:cs="Arial" w:eastAsia="Arial" w:hAnsi="Arial"/>
                <w:sz w:val="18"/>
                <w:szCs w:val="18"/>
                <w:color w:val="auto"/>
              </w:rPr>
              <w:t>(3)</w:t>
            </w:r>
          </w:p>
        </w:tc>
        <w:tc>
          <w:tcPr>
            <w:tcW w:w="2520" w:type="dxa"/>
            <w:vAlign w:val="bottom"/>
          </w:tcPr>
          <w:p>
            <w:pPr>
              <w:ind w:left="60"/>
              <w:spacing w:after="0"/>
              <w:rPr>
                <w:sz w:val="20"/>
                <w:szCs w:val="20"/>
                <w:color w:val="auto"/>
              </w:rPr>
            </w:pPr>
            <w:r>
              <w:rPr>
                <w:rFonts w:ascii="Arial" w:cs="Arial" w:eastAsia="Arial" w:hAnsi="Arial"/>
                <w:sz w:val="18"/>
                <w:szCs w:val="18"/>
                <w:color w:val="auto"/>
              </w:rPr>
              <w:t>General Counsel Europe -</w:t>
            </w:r>
          </w:p>
        </w:tc>
      </w:tr>
      <w:tr>
        <w:trPr>
          <w:trHeight w:val="222"/>
        </w:trPr>
        <w:tc>
          <w:tcPr>
            <w:tcW w:w="30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520" w:type="dxa"/>
            <w:vAlign w:val="bottom"/>
          </w:tcPr>
          <w:p>
            <w:pPr>
              <w:ind w:left="60"/>
              <w:spacing w:after="0"/>
              <w:rPr>
                <w:sz w:val="20"/>
                <w:szCs w:val="20"/>
                <w:color w:val="auto"/>
              </w:rPr>
            </w:pPr>
            <w:r>
              <w:rPr>
                <w:rFonts w:ascii="Arial" w:cs="Arial" w:eastAsia="Arial" w:hAnsi="Arial"/>
                <w:sz w:val="18"/>
                <w:szCs w:val="18"/>
                <w:color w:val="auto"/>
                <w:w w:val="87"/>
              </w:rPr>
              <w:t>Legal and Compliance Department</w:t>
            </w:r>
          </w:p>
        </w:tc>
      </w:tr>
    </w:tbl>
    <w:p>
      <w:pPr>
        <w:spacing w:after="0" w:line="7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ind w:left="452"/>
        <w:spacing w:after="0"/>
        <w:rPr>
          <w:sz w:val="20"/>
          <w:szCs w:val="20"/>
          <w:color w:val="auto"/>
        </w:rPr>
      </w:pPr>
      <w:r>
        <w:rPr>
          <w:rFonts w:ascii="Arial" w:cs="Arial" w:eastAsia="Arial" w:hAnsi="Arial"/>
          <w:sz w:val="18"/>
          <w:szCs w:val="18"/>
          <w:color w:val="auto"/>
        </w:rPr>
        <w:t>Swift:Credit Suisse International CSFP GB2L</w:t>
      </w:r>
    </w:p>
    <w:p>
      <w:pPr>
        <w:spacing w:after="0" w:line="90" w:lineRule="exact"/>
        <w:rPr>
          <w:sz w:val="20"/>
          <w:szCs w:val="20"/>
          <w:color w:val="auto"/>
        </w:rPr>
      </w:pPr>
    </w:p>
    <w:p>
      <w:pPr>
        <w:ind w:left="892" w:hanging="446"/>
        <w:spacing w:after="0"/>
        <w:tabs>
          <w:tab w:leader="none" w:pos="892" w:val="left"/>
        </w:tabs>
        <w:numPr>
          <w:ilvl w:val="0"/>
          <w:numId w:val="82"/>
        </w:numPr>
        <w:rPr>
          <w:rFonts w:ascii="Arial" w:cs="Arial" w:eastAsia="Arial" w:hAnsi="Arial"/>
          <w:sz w:val="16"/>
          <w:szCs w:val="16"/>
          <w:color w:val="auto"/>
        </w:rPr>
      </w:pPr>
      <w:r>
        <w:rPr>
          <w:rFonts w:ascii="Arial" w:cs="Arial" w:eastAsia="Arial" w:hAnsi="Arial"/>
          <w:sz w:val="16"/>
          <w:szCs w:val="16"/>
          <w:color w:val="auto"/>
        </w:rPr>
        <w:t>For the purpose of facsimile notices or communications under this Agreement to Party A:</w:t>
      </w:r>
    </w:p>
    <w:p>
      <w:pPr>
        <w:sectPr>
          <w:pgSz w:w="11900" w:h="16838" w:orient="portrait"/>
          <w:cols w:equalWidth="0" w:num="1">
            <w:col w:w="10211"/>
          </w:cols>
          <w:pgMar w:left="248" w:top="280" w:right="1440" w:bottom="1440" w:gutter="0" w:footer="0" w:header="0"/>
        </w:sectPr>
      </w:pPr>
    </w:p>
    <w:p>
      <w:pPr>
        <w:spacing w:after="0" w:line="235" w:lineRule="exact"/>
        <w:rPr>
          <w:sz w:val="20"/>
          <w:szCs w:val="20"/>
          <w:color w:val="auto"/>
        </w:rPr>
      </w:pPr>
    </w:p>
    <w:p>
      <w:pPr>
        <w:ind w:left="452"/>
        <w:spacing w:after="0"/>
        <w:rPr>
          <w:sz w:val="20"/>
          <w:szCs w:val="20"/>
          <w:color w:val="auto"/>
        </w:rPr>
      </w:pPr>
      <w:r>
        <w:rPr>
          <w:rFonts w:ascii="Arial" w:cs="Arial" w:eastAsia="Arial" w:hAnsi="Arial"/>
          <w:sz w:val="16"/>
          <w:szCs w:val="16"/>
          <w:color w:val="auto"/>
        </w:rPr>
        <w:t>Facsimile No.:</w:t>
      </w:r>
    </w:p>
    <w:p>
      <w:pPr>
        <w:spacing w:after="0" w:line="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44 020 7888 2686</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General Counsel Europe - Legal and Compliance Department</w:t>
      </w:r>
    </w:p>
    <w:p>
      <w:pPr>
        <w:spacing w:after="0" w:line="118" w:lineRule="exact"/>
        <w:rPr>
          <w:sz w:val="20"/>
          <w:szCs w:val="20"/>
          <w:color w:val="auto"/>
        </w:rPr>
      </w:pPr>
    </w:p>
    <w:p>
      <w:pPr>
        <w:sectPr>
          <w:pgSz w:w="11900" w:h="16838" w:orient="portrait"/>
          <w:cols w:equalWidth="0" w:num="2">
            <w:col w:w="1492" w:space="540"/>
            <w:col w:w="8179"/>
          </w:cols>
          <w:pgMar w:left="248" w:top="280" w:right="1440" w:bottom="1440" w:gutter="0" w:footer="0" w:header="0"/>
          <w:type w:val="continuous"/>
        </w:sectPr>
      </w:pPr>
    </w:p>
    <w:p>
      <w:pPr>
        <w:ind w:left="452" w:right="2879"/>
        <w:spacing w:after="0" w:line="344" w:lineRule="auto"/>
        <w:rPr>
          <w:sz w:val="20"/>
          <w:szCs w:val="20"/>
          <w:color w:val="auto"/>
        </w:rPr>
      </w:pPr>
      <w:r>
        <w:rPr>
          <w:rFonts w:ascii="Arial" w:cs="Arial" w:eastAsia="Arial" w:hAnsi="Arial"/>
          <w:sz w:val="18"/>
          <w:szCs w:val="18"/>
          <w:color w:val="auto"/>
        </w:rPr>
        <w:t>Telephone number for oral confirmation of receipt of facsimile in legible form: 44 020 7888 4465 Designated responsible employee for the purposes of Section 12(a)(iii): Senior Legal Secretary With a copy to:</w:t>
      </w:r>
    </w:p>
    <w:p>
      <w:pPr>
        <w:sectPr>
          <w:pgSz w:w="11900" w:h="16838" w:orient="portrait"/>
          <w:cols w:equalWidth="0" w:num="1">
            <w:col w:w="10211"/>
          </w:cols>
          <w:pgMar w:left="248" w:top="280" w:right="1440" w:bottom="1440" w:gutter="0" w:footer="0" w:header="0"/>
          <w:type w:val="continuous"/>
        </w:sectPr>
      </w:pPr>
    </w:p>
    <w:p>
      <w:pPr>
        <w:spacing w:after="0" w:line="1" w:lineRule="exact"/>
        <w:rPr>
          <w:sz w:val="20"/>
          <w:szCs w:val="20"/>
          <w:color w:val="auto"/>
        </w:rPr>
      </w:pPr>
    </w:p>
    <w:p>
      <w:pPr>
        <w:ind w:left="452"/>
        <w:spacing w:after="0"/>
        <w:rPr>
          <w:sz w:val="20"/>
          <w:szCs w:val="20"/>
          <w:color w:val="auto"/>
        </w:rPr>
      </w:pPr>
      <w:r>
        <w:rPr>
          <w:rFonts w:ascii="Arial" w:cs="Arial" w:eastAsia="Arial" w:hAnsi="Arial"/>
          <w:sz w:val="16"/>
          <w:szCs w:val="16"/>
          <w:color w:val="auto"/>
        </w:rPr>
        <w:t>Facsimile No.:</w:t>
      </w:r>
    </w:p>
    <w:p>
      <w:pPr>
        <w:spacing w:after="0" w:line="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44 020 7888 3715</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Head of Credit Risk Management</w:t>
      </w:r>
    </w:p>
    <w:p>
      <w:pPr>
        <w:spacing w:after="0" w:line="133" w:lineRule="exact"/>
        <w:rPr>
          <w:sz w:val="20"/>
          <w:szCs w:val="20"/>
          <w:color w:val="auto"/>
        </w:rPr>
      </w:pPr>
    </w:p>
    <w:p>
      <w:pPr>
        <w:sectPr>
          <w:pgSz w:w="11900" w:h="16838" w:orient="portrait"/>
          <w:cols w:equalWidth="0" w:num="2">
            <w:col w:w="1492" w:space="540"/>
            <w:col w:w="8179"/>
          </w:cols>
          <w:pgMar w:left="248" w:top="280" w:right="1440" w:bottom="1440" w:gutter="0" w:footer="0" w:header="0"/>
          <w:type w:val="continuous"/>
        </w:sectPr>
      </w:pPr>
    </w:p>
    <w:p>
      <w:pPr>
        <w:ind w:left="452"/>
        <w:spacing w:after="0"/>
        <w:rPr>
          <w:sz w:val="20"/>
          <w:szCs w:val="20"/>
          <w:color w:val="auto"/>
        </w:rPr>
      </w:pPr>
      <w:r>
        <w:rPr>
          <w:rFonts w:ascii="Arial" w:cs="Arial" w:eastAsia="Arial" w:hAnsi="Arial"/>
          <w:sz w:val="16"/>
          <w:szCs w:val="16"/>
          <w:color w:val="auto"/>
        </w:rPr>
        <w:t>With a copy to:</w:t>
      </w:r>
    </w:p>
    <w:p>
      <w:pPr>
        <w:sectPr>
          <w:pgSz w:w="11900" w:h="16838" w:orient="portrait"/>
          <w:cols w:equalWidth="0" w:num="1">
            <w:col w:w="10211"/>
          </w:cols>
          <w:pgMar w:left="248" w:top="280" w:right="1440" w:bottom="1440" w:gutter="0" w:footer="0" w:header="0"/>
          <w:type w:val="continuous"/>
        </w:sectPr>
      </w:pPr>
    </w:p>
    <w:p>
      <w:pPr>
        <w:spacing w:after="0" w:line="140" w:lineRule="exact"/>
        <w:rPr>
          <w:sz w:val="20"/>
          <w:szCs w:val="20"/>
          <w:color w:val="auto"/>
        </w:rPr>
      </w:pPr>
    </w:p>
    <w:p>
      <w:pPr>
        <w:ind w:left="452"/>
        <w:spacing w:after="0"/>
        <w:rPr>
          <w:sz w:val="20"/>
          <w:szCs w:val="20"/>
          <w:color w:val="auto"/>
        </w:rPr>
      </w:pPr>
      <w:r>
        <w:rPr>
          <w:rFonts w:ascii="Arial" w:cs="Arial" w:eastAsia="Arial" w:hAnsi="Arial"/>
          <w:sz w:val="16"/>
          <w:szCs w:val="16"/>
          <w:color w:val="auto"/>
        </w:rPr>
        <w:t>Facsimile No.:</w:t>
      </w:r>
    </w:p>
    <w:p>
      <w:pPr>
        <w:spacing w:after="0" w:line="38" w:lineRule="exact"/>
        <w:rPr>
          <w:sz w:val="20"/>
          <w:szCs w:val="20"/>
          <w:color w:val="auto"/>
        </w:rPr>
      </w:pPr>
    </w:p>
    <w:p>
      <w:pPr>
        <w:ind w:left="452"/>
        <w:spacing w:after="0"/>
        <w:rPr>
          <w:sz w:val="20"/>
          <w:szCs w:val="20"/>
          <w:color w:val="auto"/>
        </w:rPr>
      </w:pPr>
      <w:r>
        <w:rPr>
          <w:rFonts w:ascii="Arial" w:cs="Arial" w:eastAsia="Arial" w:hAnsi="Arial"/>
          <w:sz w:val="18"/>
          <w:szCs w:val="18"/>
          <w:color w:val="auto"/>
        </w:rPr>
        <w:t>Attention:</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44 020 7888 9503</w:t>
      </w:r>
    </w:p>
    <w:p>
      <w:pPr>
        <w:spacing w:after="0" w:line="15" w:lineRule="exact"/>
        <w:rPr>
          <w:sz w:val="20"/>
          <w:szCs w:val="20"/>
          <w:color w:val="auto"/>
        </w:rPr>
      </w:pPr>
    </w:p>
    <w:p>
      <w:pPr>
        <w:spacing w:after="0"/>
        <w:rPr>
          <w:sz w:val="20"/>
          <w:szCs w:val="20"/>
          <w:color w:val="auto"/>
        </w:rPr>
      </w:pPr>
      <w:r>
        <w:rPr>
          <w:rFonts w:ascii="Arial" w:cs="Arial" w:eastAsia="Arial" w:hAnsi="Arial"/>
          <w:sz w:val="15"/>
          <w:szCs w:val="15"/>
          <w:color w:val="auto"/>
        </w:rPr>
        <w:t>Global Head of OTC Operations - Operations Department</w:t>
      </w:r>
    </w:p>
    <w:p>
      <w:pPr>
        <w:spacing w:after="0" w:line="118" w:lineRule="exact"/>
        <w:rPr>
          <w:sz w:val="20"/>
          <w:szCs w:val="20"/>
          <w:color w:val="auto"/>
        </w:rPr>
      </w:pPr>
    </w:p>
    <w:p>
      <w:pPr>
        <w:sectPr>
          <w:pgSz w:w="11900" w:h="16838" w:orient="portrait"/>
          <w:cols w:equalWidth="0" w:num="2">
            <w:col w:w="1492" w:space="540"/>
            <w:col w:w="8179"/>
          </w:cols>
          <w:pgMar w:left="248" w:top="280" w:right="1440" w:bottom="1440" w:gutter="0" w:footer="0" w:header="0"/>
          <w:type w:val="continuous"/>
        </w:sectPr>
      </w:pPr>
    </w:p>
    <w:p>
      <w:pPr>
        <w:ind w:left="892" w:hanging="446"/>
        <w:spacing w:after="0"/>
        <w:tabs>
          <w:tab w:leader="none" w:pos="892" w:val="left"/>
        </w:tabs>
        <w:numPr>
          <w:ilvl w:val="0"/>
          <w:numId w:val="83"/>
        </w:numPr>
        <w:rPr>
          <w:rFonts w:ascii="Arial" w:cs="Arial" w:eastAsia="Arial" w:hAnsi="Arial"/>
          <w:sz w:val="18"/>
          <w:szCs w:val="18"/>
          <w:color w:val="auto"/>
        </w:rPr>
      </w:pPr>
      <w:r>
        <w:rPr>
          <w:rFonts w:ascii="Arial" w:cs="Arial" w:eastAsia="Arial" w:hAnsi="Arial"/>
          <w:sz w:val="18"/>
          <w:szCs w:val="18"/>
          <w:color w:val="auto"/>
        </w:rPr>
        <w:t>Address for notices or communications to Party B:</w:t>
      </w:r>
    </w:p>
    <w:p>
      <w:pPr>
        <w:spacing w:after="0" w:line="90" w:lineRule="exact"/>
        <w:rPr>
          <w:sz w:val="20"/>
          <w:szCs w:val="20"/>
          <w:color w:val="auto"/>
        </w:rPr>
      </w:pPr>
    </w:p>
    <w:p>
      <w:pPr>
        <w:ind w:left="912"/>
        <w:spacing w:after="0"/>
        <w:rPr>
          <w:sz w:val="20"/>
          <w:szCs w:val="20"/>
          <w:color w:val="auto"/>
        </w:rPr>
      </w:pPr>
      <w:r>
        <w:rPr>
          <w:rFonts w:ascii="Arial" w:cs="Arial" w:eastAsia="Arial" w:hAnsi="Arial"/>
          <w:sz w:val="18"/>
          <w:szCs w:val="18"/>
          <w:color w:val="auto"/>
        </w:rPr>
        <w:t>National CineMedia, LLC</w:t>
      </w:r>
    </w:p>
    <w:p>
      <w:pPr>
        <w:spacing w:after="0" w:line="1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9110 East Nichols Avenue, Suite 200</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Centennial, CO 80112-3405</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Attention: Gary Ferrera and David Oddo</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Telecopy: 303-792-8668</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Telephone: 303-792-3600</w:t>
      </w:r>
    </w:p>
    <w:p>
      <w:pPr>
        <w:spacing w:after="0" w:line="84" w:lineRule="exact"/>
        <w:rPr>
          <w:sz w:val="20"/>
          <w:szCs w:val="20"/>
          <w:color w:val="auto"/>
        </w:rPr>
      </w:pPr>
    </w:p>
    <w:p>
      <w:pPr>
        <w:ind w:left="912"/>
        <w:spacing w:after="0"/>
        <w:rPr>
          <w:sz w:val="20"/>
          <w:szCs w:val="20"/>
          <w:color w:val="auto"/>
        </w:rPr>
      </w:pPr>
      <w:r>
        <w:rPr>
          <w:rFonts w:ascii="Arial" w:cs="Arial" w:eastAsia="Arial" w:hAnsi="Arial"/>
          <w:sz w:val="18"/>
          <w:szCs w:val="18"/>
          <w:color w:val="auto"/>
        </w:rPr>
        <w:t>With a copy to:</w:t>
      </w:r>
    </w:p>
    <w:p>
      <w:pPr>
        <w:spacing w:after="0" w:line="1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Ralph E. Hardy, General Counsel</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Telecopy: 303-792-8649</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Telephone: 303-792-3600</w:t>
      </w:r>
    </w:p>
    <w:p>
      <w:pPr>
        <w:spacing w:after="0" w:line="78" w:lineRule="exact"/>
        <w:rPr>
          <w:sz w:val="20"/>
          <w:szCs w:val="20"/>
          <w:color w:val="auto"/>
        </w:rPr>
      </w:pPr>
    </w:p>
    <w:p>
      <w:pPr>
        <w:ind w:left="452" w:hanging="452"/>
        <w:spacing w:after="0"/>
        <w:tabs>
          <w:tab w:leader="none" w:pos="452" w:val="left"/>
        </w:tabs>
        <w:numPr>
          <w:ilvl w:val="0"/>
          <w:numId w:val="84"/>
        </w:numPr>
        <w:rPr>
          <w:rFonts w:ascii="Arial" w:cs="Arial" w:eastAsia="Arial" w:hAnsi="Arial"/>
          <w:sz w:val="18"/>
          <w:szCs w:val="18"/>
          <w:color w:val="auto"/>
        </w:rPr>
      </w:pPr>
      <w:r>
        <w:rPr>
          <w:rFonts w:ascii="Arial" w:cs="Arial" w:eastAsia="Arial" w:hAnsi="Arial"/>
          <w:sz w:val="18"/>
          <w:szCs w:val="18"/>
          <w:b w:val="1"/>
          <w:bCs w:val="1"/>
          <w:color w:val="auto"/>
        </w:rPr>
        <w:t xml:space="preserve">Process Agent. </w:t>
      </w:r>
      <w:r>
        <w:rPr>
          <w:rFonts w:ascii="Arial" w:cs="Arial" w:eastAsia="Arial" w:hAnsi="Arial"/>
          <w:sz w:val="18"/>
          <w:szCs w:val="18"/>
          <w:color w:val="auto"/>
        </w:rPr>
        <w:t>For the purpose of Section 13(c) of this Agreement:</w:t>
      </w:r>
    </w:p>
    <w:p>
      <w:pPr>
        <w:spacing w:after="0" w:line="96" w:lineRule="exact"/>
        <w:rPr>
          <w:rFonts w:ascii="Arial" w:cs="Arial" w:eastAsia="Arial" w:hAnsi="Arial"/>
          <w:sz w:val="18"/>
          <w:szCs w:val="18"/>
          <w:color w:val="auto"/>
        </w:rPr>
      </w:pPr>
    </w:p>
    <w:p>
      <w:pPr>
        <w:ind w:left="892" w:hanging="446"/>
        <w:spacing w:after="0"/>
        <w:tabs>
          <w:tab w:leader="none" w:pos="892" w:val="left"/>
        </w:tabs>
        <w:numPr>
          <w:ilvl w:val="1"/>
          <w:numId w:val="84"/>
        </w:numPr>
        <w:rPr>
          <w:rFonts w:ascii="Arial" w:cs="Arial" w:eastAsia="Arial" w:hAnsi="Arial"/>
          <w:sz w:val="18"/>
          <w:szCs w:val="18"/>
          <w:color w:val="auto"/>
        </w:rPr>
      </w:pPr>
      <w:r>
        <w:rPr>
          <w:rFonts w:ascii="Arial" w:cs="Arial" w:eastAsia="Arial" w:hAnsi="Arial"/>
          <w:sz w:val="18"/>
          <w:szCs w:val="18"/>
          <w:color w:val="auto"/>
        </w:rPr>
        <w:t>Party A irrevocably appoints as its Process Agent:</w:t>
      </w:r>
    </w:p>
    <w:p>
      <w:pPr>
        <w:spacing w:after="0" w:line="90" w:lineRule="exact"/>
        <w:rPr>
          <w:sz w:val="20"/>
          <w:szCs w:val="20"/>
          <w:color w:val="auto"/>
        </w:rPr>
      </w:pPr>
    </w:p>
    <w:p>
      <w:pPr>
        <w:ind w:left="912"/>
        <w:spacing w:after="0"/>
        <w:rPr>
          <w:sz w:val="20"/>
          <w:szCs w:val="20"/>
          <w:color w:val="auto"/>
        </w:rPr>
      </w:pPr>
      <w:r>
        <w:rPr>
          <w:rFonts w:ascii="Arial" w:cs="Arial" w:eastAsia="Arial" w:hAnsi="Arial"/>
          <w:sz w:val="18"/>
          <w:szCs w:val="18"/>
          <w:color w:val="auto"/>
        </w:rPr>
        <w:t>Credit Suisse Securities (USA) LLC</w:t>
      </w:r>
    </w:p>
    <w:p>
      <w:pPr>
        <w:spacing w:after="0" w:line="15" w:lineRule="exact"/>
        <w:rPr>
          <w:sz w:val="20"/>
          <w:szCs w:val="20"/>
          <w:color w:val="auto"/>
        </w:rPr>
      </w:pPr>
    </w:p>
    <w:p>
      <w:pPr>
        <w:ind w:left="912"/>
        <w:spacing w:after="0"/>
        <w:rPr>
          <w:sz w:val="20"/>
          <w:szCs w:val="20"/>
          <w:color w:val="auto"/>
        </w:rPr>
      </w:pPr>
      <w:r>
        <w:rPr>
          <w:rFonts w:ascii="Arial" w:cs="Arial" w:eastAsia="Arial" w:hAnsi="Arial"/>
          <w:sz w:val="18"/>
          <w:szCs w:val="18"/>
          <w:color w:val="auto"/>
        </w:rPr>
        <w:t>Eleven Madison Avenue</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New York, NY 10010</w:t>
      </w:r>
    </w:p>
    <w:p>
      <w:pPr>
        <w:spacing w:after="0" w:line="9" w:lineRule="exact"/>
        <w:rPr>
          <w:sz w:val="20"/>
          <w:szCs w:val="20"/>
          <w:color w:val="auto"/>
        </w:rPr>
      </w:pPr>
    </w:p>
    <w:p>
      <w:pPr>
        <w:ind w:left="912"/>
        <w:spacing w:after="0"/>
        <w:rPr>
          <w:sz w:val="20"/>
          <w:szCs w:val="20"/>
          <w:color w:val="auto"/>
        </w:rPr>
      </w:pPr>
      <w:r>
        <w:rPr>
          <w:rFonts w:ascii="Arial" w:cs="Arial" w:eastAsia="Arial" w:hAnsi="Arial"/>
          <w:sz w:val="18"/>
          <w:szCs w:val="18"/>
          <w:color w:val="auto"/>
        </w:rPr>
        <w:t>Attention: General Counsel, Legal and Compliance Department</w:t>
      </w:r>
    </w:p>
    <w:p>
      <w:pPr>
        <w:spacing w:after="0" w:line="84" w:lineRule="exact"/>
        <w:rPr>
          <w:sz w:val="20"/>
          <w:szCs w:val="20"/>
          <w:color w:val="auto"/>
        </w:rPr>
      </w:pPr>
    </w:p>
    <w:p>
      <w:pPr>
        <w:ind w:left="892" w:hanging="446"/>
        <w:spacing w:after="0"/>
        <w:tabs>
          <w:tab w:leader="none" w:pos="892" w:val="left"/>
        </w:tabs>
        <w:numPr>
          <w:ilvl w:val="1"/>
          <w:numId w:val="85"/>
        </w:numPr>
        <w:rPr>
          <w:rFonts w:ascii="Arial" w:cs="Arial" w:eastAsia="Arial" w:hAnsi="Arial"/>
          <w:sz w:val="18"/>
          <w:szCs w:val="18"/>
          <w:color w:val="auto"/>
        </w:rPr>
      </w:pPr>
      <w:r>
        <w:rPr>
          <w:rFonts w:ascii="Arial" w:cs="Arial" w:eastAsia="Arial" w:hAnsi="Arial"/>
          <w:sz w:val="18"/>
          <w:szCs w:val="18"/>
          <w:color w:val="auto"/>
        </w:rPr>
        <w:t>Party B does not appoint a Process Agent.</w:t>
      </w:r>
    </w:p>
    <w:p>
      <w:pPr>
        <w:spacing w:after="0" w:line="84" w:lineRule="exact"/>
        <w:rPr>
          <w:rFonts w:ascii="Arial" w:cs="Arial" w:eastAsia="Arial" w:hAnsi="Arial"/>
          <w:sz w:val="18"/>
          <w:szCs w:val="18"/>
          <w:color w:val="auto"/>
        </w:rPr>
      </w:pPr>
    </w:p>
    <w:p>
      <w:pPr>
        <w:ind w:left="452" w:hanging="452"/>
        <w:spacing w:after="0"/>
        <w:tabs>
          <w:tab w:leader="none" w:pos="452" w:val="left"/>
        </w:tabs>
        <w:numPr>
          <w:ilvl w:val="0"/>
          <w:numId w:val="86"/>
        </w:numPr>
        <w:rPr>
          <w:rFonts w:ascii="Arial" w:cs="Arial" w:eastAsia="Arial" w:hAnsi="Arial"/>
          <w:sz w:val="16"/>
          <w:szCs w:val="16"/>
          <w:color w:val="auto"/>
        </w:rPr>
      </w:pPr>
      <w:r>
        <w:rPr>
          <w:rFonts w:ascii="Arial" w:cs="Arial" w:eastAsia="Arial" w:hAnsi="Arial"/>
          <w:sz w:val="16"/>
          <w:szCs w:val="16"/>
          <w:b w:val="1"/>
          <w:bCs w:val="1"/>
          <w:color w:val="auto"/>
        </w:rPr>
        <w:t>Offices</w:t>
      </w:r>
      <w:r>
        <w:rPr>
          <w:rFonts w:ascii="Arial" w:cs="Arial" w:eastAsia="Arial" w:hAnsi="Arial"/>
          <w:sz w:val="16"/>
          <w:szCs w:val="16"/>
          <w:color w:val="auto"/>
        </w:rPr>
        <w:t>. The provisions of Section 10(a) of this Agreement will apply to Party A and to Party B.</w:t>
      </w:r>
    </w:p>
    <w:p>
      <w:pPr>
        <w:spacing w:after="0" w:line="187"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0211"/>
          </w:cols>
          <w:pgMar w:left="248" w:top="280" w:right="1440" w:bottom="1440" w:gutter="0" w:footer="0" w:header="0"/>
          <w:type w:val="continuous"/>
        </w:sectPr>
      </w:pPr>
    </w:p>
    <w:bookmarkStart w:id="62" w:name="page63"/>
    <w:bookmarkEnd w:id="62"/>
    <w:p>
      <w:pPr>
        <w:ind w:left="452" w:hanging="452"/>
        <w:spacing w:after="0"/>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Multibranch Party</w:t>
      </w:r>
      <w:r>
        <w:rPr>
          <w:rFonts w:ascii="Arial" w:cs="Arial" w:eastAsia="Arial" w:hAnsi="Arial"/>
          <w:sz w:val="18"/>
          <w:szCs w:val="18"/>
          <w:color w:val="auto"/>
        </w:rPr>
        <w:t>. For the purpose of Section 10(c) of this Agreement:</w:t>
      </w:r>
    </w:p>
    <w:p>
      <w:pPr>
        <w:spacing w:after="0" w:line="96" w:lineRule="exact"/>
        <w:rPr>
          <w:rFonts w:ascii="Arial" w:cs="Arial" w:eastAsia="Arial" w:hAnsi="Arial"/>
          <w:sz w:val="18"/>
          <w:szCs w:val="18"/>
          <w:color w:val="auto"/>
        </w:rPr>
      </w:pPr>
    </w:p>
    <w:p>
      <w:pPr>
        <w:jc w:val="both"/>
        <w:ind w:left="452" w:right="8500"/>
        <w:spacing w:after="0" w:line="330" w:lineRule="auto"/>
        <w:rPr>
          <w:rFonts w:ascii="Arial" w:cs="Arial" w:eastAsia="Arial" w:hAnsi="Arial"/>
          <w:sz w:val="18"/>
          <w:szCs w:val="18"/>
          <w:color w:val="auto"/>
        </w:rPr>
      </w:pPr>
      <w:r>
        <w:rPr>
          <w:rFonts w:ascii="Arial" w:cs="Arial" w:eastAsia="Arial" w:hAnsi="Arial"/>
          <w:sz w:val="16"/>
          <w:szCs w:val="16"/>
          <w:color w:val="auto"/>
        </w:rPr>
        <w:t>Party A is not a Multibranch Party. Party B is not a Multibranch Party.</w:t>
      </w:r>
    </w:p>
    <w:p>
      <w:pPr>
        <w:spacing w:after="0" w:line="1" w:lineRule="exact"/>
        <w:rPr>
          <w:rFonts w:ascii="Arial" w:cs="Arial" w:eastAsia="Arial" w:hAnsi="Arial"/>
          <w:sz w:val="18"/>
          <w:szCs w:val="18"/>
          <w:color w:val="auto"/>
        </w:rPr>
      </w:pPr>
    </w:p>
    <w:p>
      <w:pPr>
        <w:ind w:left="452" w:right="160" w:hanging="452"/>
        <w:spacing w:after="0" w:line="275" w:lineRule="auto"/>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“Calculation Agent” </w:t>
      </w:r>
      <w:r>
        <w:rPr>
          <w:rFonts w:ascii="Arial" w:cs="Arial" w:eastAsia="Arial" w:hAnsi="Arial"/>
          <w:sz w:val="18"/>
          <w:szCs w:val="18"/>
          <w:color w:val="auto"/>
        </w:rPr>
        <w:t>means Party A. All calculations and determinations made by the Calculation Agent shall be made in good faith and a commercially</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manner.</w:t>
      </w:r>
    </w:p>
    <w:p>
      <w:pPr>
        <w:spacing w:after="0" w:line="38" w:lineRule="exact"/>
        <w:rPr>
          <w:rFonts w:ascii="Arial" w:cs="Arial" w:eastAsia="Arial" w:hAnsi="Arial"/>
          <w:sz w:val="18"/>
          <w:szCs w:val="18"/>
          <w:color w:val="auto"/>
        </w:rPr>
      </w:pPr>
    </w:p>
    <w:p>
      <w:pPr>
        <w:ind w:left="452" w:hanging="452"/>
        <w:spacing w:after="0"/>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“Credit Support Document” </w:t>
      </w:r>
      <w:r>
        <w:rPr>
          <w:rFonts w:ascii="Arial" w:cs="Arial" w:eastAsia="Arial" w:hAnsi="Arial"/>
          <w:sz w:val="18"/>
          <w:szCs w:val="18"/>
          <w:color w:val="auto"/>
        </w:rPr>
        <w:t>means in relation to Party A: Not Applicable.</w:t>
      </w:r>
    </w:p>
    <w:p>
      <w:pPr>
        <w:spacing w:after="0" w:line="90" w:lineRule="exact"/>
        <w:rPr>
          <w:rFonts w:ascii="Arial" w:cs="Arial" w:eastAsia="Arial" w:hAnsi="Arial"/>
          <w:sz w:val="18"/>
          <w:szCs w:val="18"/>
          <w:color w:val="auto"/>
        </w:rPr>
      </w:pPr>
    </w:p>
    <w:p>
      <w:pPr>
        <w:ind w:left="452"/>
        <w:spacing w:after="0" w:line="258" w:lineRule="auto"/>
        <w:rPr>
          <w:rFonts w:ascii="Arial" w:cs="Arial" w:eastAsia="Arial" w:hAnsi="Arial"/>
          <w:sz w:val="18"/>
          <w:szCs w:val="18"/>
          <w:color w:val="auto"/>
        </w:rPr>
      </w:pPr>
      <w:r>
        <w:rPr>
          <w:rFonts w:ascii="Arial" w:cs="Arial" w:eastAsia="Arial" w:hAnsi="Arial"/>
          <w:sz w:val="18"/>
          <w:szCs w:val="18"/>
          <w:b w:val="1"/>
          <w:bCs w:val="1"/>
          <w:color w:val="auto"/>
        </w:rPr>
        <w:t xml:space="preserve">“Credit Support Document” </w:t>
      </w:r>
      <w:r>
        <w:rPr>
          <w:rFonts w:ascii="Arial" w:cs="Arial" w:eastAsia="Arial" w:hAnsi="Arial"/>
          <w:sz w:val="18"/>
          <w:szCs w:val="18"/>
          <w:color w:val="auto"/>
        </w:rPr>
        <w:t>means in relation to Party B: Any credit support annex, any Confirmation and any other document, any of which by its terms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secures, guarantees or otherwise supports such party’s obligations under this Agreement, including, but not limited to, the Credit Agreement and the Collateral Documents, including but not limited to that certain Guarantee and Collateral Agreement and the Mortgages (as such terms are defined in the Credit Agreement) (collectively, the </w:t>
      </w:r>
      <w:r>
        <w:rPr>
          <w:rFonts w:ascii="Arial" w:cs="Arial" w:eastAsia="Arial" w:hAnsi="Arial"/>
          <w:sz w:val="18"/>
          <w:szCs w:val="18"/>
          <w:b w:val="1"/>
          <w:bCs w:val="1"/>
          <w:color w:val="auto"/>
        </w:rPr>
        <w:t>“Party B CSD”</w:t>
      </w:r>
      <w:r>
        <w:rPr>
          <w:rFonts w:ascii="Arial" w:cs="Arial" w:eastAsia="Arial" w:hAnsi="Arial"/>
          <w:sz w:val="18"/>
          <w:szCs w:val="18"/>
          <w:color w:val="auto"/>
        </w:rPr>
        <w:t>).</w:t>
      </w:r>
    </w:p>
    <w:p>
      <w:pPr>
        <w:spacing w:after="0" w:line="55" w:lineRule="exact"/>
        <w:rPr>
          <w:rFonts w:ascii="Arial" w:cs="Arial" w:eastAsia="Arial" w:hAnsi="Arial"/>
          <w:sz w:val="18"/>
          <w:szCs w:val="18"/>
          <w:color w:val="auto"/>
        </w:rPr>
      </w:pPr>
    </w:p>
    <w:p>
      <w:pPr>
        <w:ind w:left="452" w:hanging="452"/>
        <w:spacing w:after="0"/>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“Credit Support Provider” </w:t>
      </w:r>
      <w:r>
        <w:rPr>
          <w:rFonts w:ascii="Arial" w:cs="Arial" w:eastAsia="Arial" w:hAnsi="Arial"/>
          <w:sz w:val="18"/>
          <w:szCs w:val="18"/>
          <w:color w:val="auto"/>
        </w:rPr>
        <w:t>means in relation to Party A: Not Applicable</w:t>
      </w:r>
      <w:r>
        <w:rPr>
          <w:rFonts w:ascii="Arial" w:cs="Arial" w:eastAsia="Arial" w:hAnsi="Arial"/>
          <w:sz w:val="18"/>
          <w:szCs w:val="18"/>
          <w:b w:val="1"/>
          <w:bCs w:val="1"/>
          <w:color w:val="auto"/>
        </w:rPr>
        <w:t>.</w:t>
      </w:r>
    </w:p>
    <w:p>
      <w:pPr>
        <w:spacing w:after="0" w:line="90"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b w:val="1"/>
          <w:bCs w:val="1"/>
          <w:color w:val="auto"/>
        </w:rPr>
        <w:t xml:space="preserve">“Credit Support Provider” </w:t>
      </w:r>
      <w:r>
        <w:rPr>
          <w:rFonts w:ascii="Arial" w:cs="Arial" w:eastAsia="Arial" w:hAnsi="Arial"/>
          <w:sz w:val="18"/>
          <w:szCs w:val="18"/>
          <w:color w:val="auto"/>
        </w:rPr>
        <w:t>means in relation to Party B: Any party executing or delivering any Party B CSD.</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Governing Law; Jurisdiction. </w:t>
      </w:r>
      <w:r>
        <w:rPr>
          <w:rFonts w:ascii="Arial" w:cs="Arial" w:eastAsia="Arial" w:hAnsi="Arial"/>
          <w:sz w:val="18"/>
          <w:szCs w:val="18"/>
          <w:color w:val="auto"/>
        </w:rPr>
        <w:t>Sections 13(a) and (b) of the Agreement shall be deleted and replaced with the following:</w:t>
      </w:r>
    </w:p>
    <w:p>
      <w:pPr>
        <w:spacing w:after="0" w:line="90" w:lineRule="exact"/>
        <w:rPr>
          <w:rFonts w:ascii="Arial" w:cs="Arial" w:eastAsia="Arial" w:hAnsi="Arial"/>
          <w:sz w:val="18"/>
          <w:szCs w:val="18"/>
          <w:color w:val="auto"/>
        </w:rPr>
      </w:pPr>
    </w:p>
    <w:p>
      <w:pPr>
        <w:ind w:left="452" w:right="480"/>
        <w:spacing w:after="0" w:line="275"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Governing Law.</w:t>
      </w:r>
      <w:r>
        <w:rPr>
          <w:rFonts w:ascii="Arial" w:cs="Arial" w:eastAsia="Arial" w:hAnsi="Arial"/>
          <w:sz w:val="18"/>
          <w:szCs w:val="18"/>
          <w:color w:val="auto"/>
        </w:rPr>
        <w:t xml:space="preserve"> This Agreement will be governed by and construed in accordance with the laws of the State of New York (without reference to choice of law doctrine other than Sect. 5-1401 of the NY General Obligation Law).</w:t>
      </w:r>
    </w:p>
    <w:p>
      <w:pPr>
        <w:spacing w:after="0" w:line="38" w:lineRule="exact"/>
        <w:rPr>
          <w:rFonts w:ascii="Arial" w:cs="Arial" w:eastAsia="Arial" w:hAnsi="Arial"/>
          <w:sz w:val="18"/>
          <w:szCs w:val="18"/>
          <w:color w:val="auto"/>
        </w:rPr>
      </w:pPr>
    </w:p>
    <w:p>
      <w:pPr>
        <w:ind w:left="452" w:right="1200" w:firstLine="4"/>
        <w:spacing w:after="0" w:line="275" w:lineRule="auto"/>
        <w:tabs>
          <w:tab w:leader="none" w:pos="701" w:val="left"/>
        </w:tabs>
        <w:numPr>
          <w:ilvl w:val="1"/>
          <w:numId w:val="87"/>
        </w:numPr>
        <w:rPr>
          <w:rFonts w:ascii="Arial" w:cs="Arial" w:eastAsia="Arial" w:hAnsi="Arial"/>
          <w:sz w:val="18"/>
          <w:szCs w:val="18"/>
          <w:color w:val="auto"/>
        </w:rPr>
      </w:pPr>
      <w:r>
        <w:rPr>
          <w:rFonts w:ascii="Arial" w:cs="Arial" w:eastAsia="Arial" w:hAnsi="Arial"/>
          <w:sz w:val="18"/>
          <w:szCs w:val="18"/>
          <w:b w:val="1"/>
          <w:bCs w:val="1"/>
          <w:color w:val="auto"/>
        </w:rPr>
        <w:t>Jurisdiction</w:t>
      </w:r>
      <w:r>
        <w:rPr>
          <w:rFonts w:ascii="Arial" w:cs="Arial" w:eastAsia="Arial" w:hAnsi="Arial"/>
          <w:sz w:val="18"/>
          <w:szCs w:val="18"/>
          <w:color w:val="auto"/>
        </w:rPr>
        <w:t>. With respect to any suit, action or proceedings relating to any dispute arising out of or in connection with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each party:</w:t>
      </w:r>
    </w:p>
    <w:p>
      <w:pPr>
        <w:spacing w:after="0" w:line="44" w:lineRule="exact"/>
        <w:rPr>
          <w:rFonts w:ascii="Arial" w:cs="Arial" w:eastAsia="Arial" w:hAnsi="Arial"/>
          <w:sz w:val="18"/>
          <w:szCs w:val="18"/>
          <w:color w:val="auto"/>
        </w:rPr>
      </w:pPr>
    </w:p>
    <w:p>
      <w:pPr>
        <w:ind w:left="912" w:right="640" w:firstLine="1"/>
        <w:spacing w:after="0" w:line="268" w:lineRule="auto"/>
        <w:tabs>
          <w:tab w:leader="none" w:pos="1122" w:val="left"/>
        </w:tabs>
        <w:numPr>
          <w:ilvl w:val="2"/>
          <w:numId w:val="87"/>
        </w:numPr>
        <w:rPr>
          <w:rFonts w:ascii="Arial" w:cs="Arial" w:eastAsia="Arial" w:hAnsi="Arial"/>
          <w:sz w:val="18"/>
          <w:szCs w:val="18"/>
          <w:color w:val="auto"/>
        </w:rPr>
      </w:pPr>
      <w:r>
        <w:rPr>
          <w:rFonts w:ascii="Arial" w:cs="Arial" w:eastAsia="Arial" w:hAnsi="Arial"/>
          <w:sz w:val="18"/>
          <w:szCs w:val="18"/>
          <w:color w:val="auto"/>
        </w:rPr>
        <w:t>irrevocably submits to the exclusive jurisdiction of the courts of the State of New York and the United States District Court located in the Borough of Manhattan in New York City of the State of New York; and</w:t>
      </w:r>
    </w:p>
    <w:p>
      <w:pPr>
        <w:spacing w:after="0" w:line="50" w:lineRule="exact"/>
        <w:rPr>
          <w:rFonts w:ascii="Arial" w:cs="Arial" w:eastAsia="Arial" w:hAnsi="Arial"/>
          <w:sz w:val="18"/>
          <w:szCs w:val="18"/>
          <w:color w:val="auto"/>
        </w:rPr>
      </w:pPr>
    </w:p>
    <w:p>
      <w:pPr>
        <w:ind w:left="912" w:right="180" w:firstLine="1"/>
        <w:spacing w:after="0" w:line="259" w:lineRule="auto"/>
        <w:tabs>
          <w:tab w:leader="none" w:pos="1170" w:val="left"/>
        </w:tabs>
        <w:numPr>
          <w:ilvl w:val="2"/>
          <w:numId w:val="87"/>
        </w:numPr>
        <w:rPr>
          <w:rFonts w:ascii="Arial" w:cs="Arial" w:eastAsia="Arial" w:hAnsi="Arial"/>
          <w:sz w:val="18"/>
          <w:szCs w:val="18"/>
          <w:color w:val="auto"/>
        </w:rPr>
      </w:pPr>
      <w:r>
        <w:rPr>
          <w:rFonts w:ascii="Arial" w:cs="Arial" w:eastAsia="Arial" w:hAnsi="Arial"/>
          <w:sz w:val="18"/>
          <w:szCs w:val="18"/>
          <w:color w:val="auto"/>
        </w:rPr>
        <w:t>waives any objection which it may have at any time to the laying of venue of any Proceedings brought in any such court, waives any claim that such Proceedings have been brought in an inconvenient forum and further waives the right to object, with respect to such Proceedings, that such court does not have any jurisdiction over such party.”</w:t>
      </w:r>
    </w:p>
    <w:p>
      <w:pPr>
        <w:spacing w:after="0" w:line="53" w:lineRule="exact"/>
        <w:rPr>
          <w:rFonts w:ascii="Arial" w:cs="Arial" w:eastAsia="Arial" w:hAnsi="Arial"/>
          <w:sz w:val="18"/>
          <w:szCs w:val="18"/>
          <w:color w:val="auto"/>
        </w:rPr>
      </w:pPr>
    </w:p>
    <w:p>
      <w:pPr>
        <w:ind w:left="452" w:right="80" w:hanging="452"/>
        <w:spacing w:after="0" w:line="275" w:lineRule="auto"/>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Waiver of Jury Trial. Each party waives, to the fullest extent permitted by applicable law, any right it may have to a trial by jury in respect of any Proceedings relating to this Agreement or any Credit Support Document.</w:t>
      </w:r>
    </w:p>
    <w:p>
      <w:pPr>
        <w:spacing w:after="0" w:line="38" w:lineRule="exact"/>
        <w:rPr>
          <w:rFonts w:ascii="Arial" w:cs="Arial" w:eastAsia="Arial" w:hAnsi="Arial"/>
          <w:sz w:val="18"/>
          <w:szCs w:val="18"/>
          <w:color w:val="auto"/>
        </w:rPr>
      </w:pPr>
    </w:p>
    <w:p>
      <w:pPr>
        <w:ind w:left="452" w:hanging="452"/>
        <w:spacing w:after="0"/>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Netting of Payments. </w:t>
      </w:r>
      <w:r>
        <w:rPr>
          <w:rFonts w:ascii="Arial" w:cs="Arial" w:eastAsia="Arial" w:hAnsi="Arial"/>
          <w:sz w:val="18"/>
          <w:szCs w:val="18"/>
          <w:color w:val="auto"/>
        </w:rPr>
        <w:t>Subparagraph (ii) of Section 2(c) of this Agreement will not apply to all Transactions under this Agreement.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has the meaning specified in Section 14 of this Agreement.</w:t>
      </w:r>
    </w:p>
    <w:p>
      <w:pPr>
        <w:spacing w:after="0" w:line="90" w:lineRule="exact"/>
        <w:rPr>
          <w:rFonts w:ascii="Arial" w:cs="Arial" w:eastAsia="Arial" w:hAnsi="Arial"/>
          <w:sz w:val="18"/>
          <w:szCs w:val="18"/>
          <w:color w:val="auto"/>
        </w:rPr>
      </w:pPr>
    </w:p>
    <w:p>
      <w:pPr>
        <w:ind w:left="452" w:right="120" w:hanging="452"/>
        <w:spacing w:after="0" w:line="275" w:lineRule="auto"/>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Absence of Litigation. </w:t>
      </w:r>
      <w:r>
        <w:rPr>
          <w:rFonts w:ascii="Arial" w:cs="Arial" w:eastAsia="Arial" w:hAnsi="Arial"/>
          <w:sz w:val="18"/>
          <w:szCs w:val="18"/>
          <w:color w:val="auto"/>
        </w:rPr>
        <w:t>For the purpose of Section 3(c) of this Agreement, “Affiliates” shall mean (i) all Affiliates, in relation to Party A, and (ii) 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CineMedia, Inc. only, in relation to Party B.</w:t>
      </w:r>
    </w:p>
    <w:p>
      <w:pPr>
        <w:spacing w:after="0" w:line="38" w:lineRule="exact"/>
        <w:rPr>
          <w:rFonts w:ascii="Arial" w:cs="Arial" w:eastAsia="Arial" w:hAnsi="Arial"/>
          <w:sz w:val="18"/>
          <w:szCs w:val="18"/>
          <w:color w:val="auto"/>
        </w:rPr>
      </w:pPr>
    </w:p>
    <w:p>
      <w:pPr>
        <w:ind w:left="452" w:right="920" w:hanging="452"/>
        <w:spacing w:after="0" w:line="275" w:lineRule="auto"/>
        <w:tabs>
          <w:tab w:leader="none" w:pos="452" w:val="left"/>
        </w:tabs>
        <w:numPr>
          <w:ilvl w:val="0"/>
          <w:numId w:val="87"/>
        </w:numPr>
        <w:rPr>
          <w:rFonts w:ascii="Arial" w:cs="Arial" w:eastAsia="Arial" w:hAnsi="Arial"/>
          <w:sz w:val="18"/>
          <w:szCs w:val="18"/>
          <w:color w:val="auto"/>
        </w:rPr>
      </w:pPr>
      <w:r>
        <w:rPr>
          <w:rFonts w:ascii="Arial" w:cs="Arial" w:eastAsia="Arial" w:hAnsi="Arial"/>
          <w:sz w:val="18"/>
          <w:szCs w:val="18"/>
          <w:b w:val="1"/>
          <w:bCs w:val="1"/>
          <w:color w:val="auto"/>
        </w:rPr>
        <w:t xml:space="preserve">Additional Representation </w:t>
      </w:r>
      <w:r>
        <w:rPr>
          <w:rFonts w:ascii="Arial" w:cs="Arial" w:eastAsia="Arial" w:hAnsi="Arial"/>
          <w:sz w:val="18"/>
          <w:szCs w:val="18"/>
          <w:color w:val="auto"/>
        </w:rPr>
        <w:t>will apply. For the purpose of Section 3 of this Agreement the following Section 3(h) will constitute an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w:t>
      </w:r>
    </w:p>
    <w:p>
      <w:pPr>
        <w:spacing w:after="0" w:line="1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12"/>
          </w:cols>
          <w:pgMar w:left="248" w:top="274" w:right="239" w:bottom="1440" w:gutter="0" w:footer="0" w:header="0"/>
        </w:sectPr>
      </w:pPr>
    </w:p>
    <w:bookmarkStart w:id="63" w:name="page64"/>
    <w:bookmarkEnd w:id="63"/>
    <w:p>
      <w:pPr>
        <w:ind w:left="460" w:right="80"/>
        <w:spacing w:after="0" w:line="33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“(h) </w:t>
      </w:r>
      <w:r>
        <w:rPr>
          <w:rFonts w:ascii="Arial" w:cs="Arial" w:eastAsia="Arial" w:hAnsi="Arial"/>
          <w:sz w:val="16"/>
          <w:szCs w:val="16"/>
          <w:b w:val="1"/>
          <w:bCs w:val="1"/>
          <w:color w:val="auto"/>
        </w:rPr>
        <w:t>Relationship Between Parties.</w:t>
      </w:r>
      <w:r>
        <w:rPr>
          <w:rFonts w:ascii="Arial" w:cs="Arial" w:eastAsia="Arial" w:hAnsi="Arial"/>
          <w:sz w:val="16"/>
          <w:szCs w:val="16"/>
          <w:color w:val="auto"/>
        </w:rPr>
        <w:t xml:space="preserve"> Each party will be deemed to represent to the other party on the date on which it enters into a Transaction that (absent a written agreement between the parties that expressly imposes affirmative obligations to the contrary for that Transaction):</w:t>
      </w:r>
    </w:p>
    <w:p>
      <w:pPr>
        <w:spacing w:after="0" w:line="1" w:lineRule="exact"/>
        <w:rPr>
          <w:sz w:val="20"/>
          <w:szCs w:val="20"/>
          <w:color w:val="auto"/>
        </w:rPr>
      </w:pPr>
    </w:p>
    <w:p>
      <w:pPr>
        <w:ind w:left="920" w:firstLine="1"/>
        <w:spacing w:after="0" w:line="293" w:lineRule="auto"/>
        <w:tabs>
          <w:tab w:leader="none" w:pos="1168" w:val="left"/>
        </w:tabs>
        <w:numPr>
          <w:ilvl w:val="2"/>
          <w:numId w:val="88"/>
        </w:numPr>
        <w:rPr>
          <w:rFonts w:ascii="Arial" w:cs="Arial" w:eastAsia="Arial" w:hAnsi="Arial"/>
          <w:sz w:val="16"/>
          <w:szCs w:val="16"/>
          <w:color w:val="auto"/>
        </w:rPr>
      </w:pPr>
      <w:r>
        <w:rPr>
          <w:rFonts w:ascii="Arial" w:cs="Arial" w:eastAsia="Arial" w:hAnsi="Arial"/>
          <w:sz w:val="16"/>
          <w:szCs w:val="16"/>
          <w:b w:val="1"/>
          <w:bCs w:val="1"/>
          <w:color w:val="auto"/>
        </w:rPr>
        <w:t xml:space="preserve">Non-Reliance. </w:t>
      </w:r>
      <w:r>
        <w:rPr>
          <w:rFonts w:ascii="Arial" w:cs="Arial" w:eastAsia="Arial" w:hAnsi="Arial"/>
          <w:sz w:val="16"/>
          <w:szCs w:val="16"/>
          <w:color w:val="auto"/>
        </w:rPr>
        <w:t>It is acting for its own account, and it has made its own independent decisions to enter into that Transaction and as to whether that</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is appropriate or proper for it based upon its own judgment and upon advice from such advisers as it has deemed necessary. It is not relying on any communication (written or oral) of the other party as investment advice or as a recommendation to enter into that Transaction; it being understood that information and explanations related to the terms and conditions of a Transaction shall not be considered investment advice or a recommendation to enter into that Transaction. No communication (written or oral) received from the other party shall be deemed to be an assurance or guarantee as to the expected results of that Transaction.</w:t>
      </w:r>
    </w:p>
    <w:p>
      <w:pPr>
        <w:spacing w:after="0" w:line="29" w:lineRule="exact"/>
        <w:rPr>
          <w:rFonts w:ascii="Arial" w:cs="Arial" w:eastAsia="Arial" w:hAnsi="Arial"/>
          <w:sz w:val="16"/>
          <w:szCs w:val="16"/>
          <w:color w:val="auto"/>
        </w:rPr>
      </w:pPr>
    </w:p>
    <w:p>
      <w:pPr>
        <w:ind w:left="920" w:right="240" w:firstLine="1"/>
        <w:spacing w:after="0" w:line="262" w:lineRule="auto"/>
        <w:tabs>
          <w:tab w:leader="none" w:pos="1168" w:val="left"/>
        </w:tabs>
        <w:numPr>
          <w:ilvl w:val="2"/>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Assessment and Understanding. </w:t>
      </w:r>
      <w:r>
        <w:rPr>
          <w:rFonts w:ascii="Arial" w:cs="Arial" w:eastAsia="Arial" w:hAnsi="Arial"/>
          <w:sz w:val="18"/>
          <w:szCs w:val="18"/>
          <w:color w:val="auto"/>
        </w:rPr>
        <w:t>It is capable of assessing the merits of and understanding (on its own behalf or through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 advice), and understands and accepts, the terms, conditions and risks of that Transaction. It is also capable of assuming, and assumes, the risks of that Transaction.</w:t>
      </w:r>
    </w:p>
    <w:p>
      <w:pPr>
        <w:spacing w:after="0" w:line="51" w:lineRule="exact"/>
        <w:rPr>
          <w:rFonts w:ascii="Arial" w:cs="Arial" w:eastAsia="Arial" w:hAnsi="Arial"/>
          <w:sz w:val="18"/>
          <w:szCs w:val="18"/>
          <w:color w:val="auto"/>
        </w:rPr>
      </w:pPr>
    </w:p>
    <w:p>
      <w:pPr>
        <w:ind w:left="1160" w:hanging="239"/>
        <w:spacing w:after="0"/>
        <w:tabs>
          <w:tab w:leader="none" w:pos="1160" w:val="left"/>
        </w:tabs>
        <w:numPr>
          <w:ilvl w:val="2"/>
          <w:numId w:val="88"/>
        </w:numPr>
        <w:rPr>
          <w:rFonts w:ascii="Arial" w:cs="Arial" w:eastAsia="Arial" w:hAnsi="Arial"/>
          <w:sz w:val="18"/>
          <w:szCs w:val="18"/>
          <w:color w:val="auto"/>
        </w:rPr>
      </w:pPr>
      <w:r>
        <w:rPr>
          <w:rFonts w:ascii="Arial" w:cs="Arial" w:eastAsia="Arial" w:hAnsi="Arial"/>
          <w:sz w:val="18"/>
          <w:szCs w:val="18"/>
          <w:b w:val="1"/>
          <w:bCs w:val="1"/>
          <w:color w:val="auto"/>
        </w:rPr>
        <w:t xml:space="preserve">Status of Parties. </w:t>
      </w:r>
      <w:r>
        <w:rPr>
          <w:rFonts w:ascii="Arial" w:cs="Arial" w:eastAsia="Arial" w:hAnsi="Arial"/>
          <w:sz w:val="18"/>
          <w:szCs w:val="18"/>
          <w:color w:val="auto"/>
        </w:rPr>
        <w:t>The other party is not acting as a fiduciary for or an adviser to it in respect of that Transaction.”</w:t>
      </w:r>
    </w:p>
    <w:p>
      <w:pPr>
        <w:spacing w:after="0" w:line="90" w:lineRule="exact"/>
        <w:rPr>
          <w:rFonts w:ascii="Arial" w:cs="Arial" w:eastAsia="Arial" w:hAnsi="Arial"/>
          <w:sz w:val="18"/>
          <w:szCs w:val="18"/>
          <w:color w:val="auto"/>
        </w:rPr>
      </w:pPr>
    </w:p>
    <w:p>
      <w:pPr>
        <w:ind w:left="460" w:right="380" w:firstLine="4"/>
        <w:spacing w:after="0" w:line="334" w:lineRule="auto"/>
        <w:tabs>
          <w:tab w:leader="none" w:pos="670" w:val="left"/>
        </w:tabs>
        <w:numPr>
          <w:ilvl w:val="1"/>
          <w:numId w:val="89"/>
        </w:numPr>
        <w:rPr>
          <w:rFonts w:ascii="Arial" w:cs="Arial" w:eastAsia="Arial" w:hAnsi="Arial"/>
          <w:sz w:val="16"/>
          <w:szCs w:val="16"/>
          <w:color w:val="auto"/>
        </w:rPr>
      </w:pPr>
      <w:r>
        <w:rPr>
          <w:rFonts w:ascii="Arial" w:cs="Arial" w:eastAsia="Arial" w:hAnsi="Arial"/>
          <w:sz w:val="16"/>
          <w:szCs w:val="16"/>
          <w:b w:val="1"/>
          <w:bCs w:val="1"/>
          <w:color w:val="auto"/>
        </w:rPr>
        <w:t xml:space="preserve">Non-Agency. </w:t>
      </w:r>
      <w:r>
        <w:rPr>
          <w:rFonts w:ascii="Arial" w:cs="Arial" w:eastAsia="Arial" w:hAnsi="Arial"/>
          <w:sz w:val="16"/>
          <w:szCs w:val="16"/>
          <w:color w:val="auto"/>
        </w:rPr>
        <w:t>It is entering into this Agreement, any Credit Support Document to which it is a party, each Transaction and any other documentation</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this Agreement or any Transaction as principal (and not as agent or in any other capacity, fiduciary or otherwise).</w:t>
      </w:r>
    </w:p>
    <w:p>
      <w:pPr>
        <w:spacing w:after="0" w:line="1" w:lineRule="exact"/>
        <w:rPr>
          <w:rFonts w:ascii="Arial" w:cs="Arial" w:eastAsia="Arial" w:hAnsi="Arial"/>
          <w:sz w:val="16"/>
          <w:szCs w:val="16"/>
          <w:color w:val="auto"/>
        </w:rPr>
      </w:pPr>
    </w:p>
    <w:p>
      <w:pPr>
        <w:ind w:left="460" w:right="120" w:hanging="452"/>
        <w:spacing w:after="0" w:line="258" w:lineRule="auto"/>
        <w:tabs>
          <w:tab w:leader="none" w:pos="460" w:val="left"/>
        </w:tabs>
        <w:numPr>
          <w:ilvl w:val="0"/>
          <w:numId w:val="90"/>
        </w:numPr>
        <w:rPr>
          <w:rFonts w:ascii="Arial" w:cs="Arial" w:eastAsia="Arial" w:hAnsi="Arial"/>
          <w:sz w:val="18"/>
          <w:szCs w:val="18"/>
          <w:color w:val="auto"/>
        </w:rPr>
      </w:pPr>
      <w:r>
        <w:rPr>
          <w:rFonts w:ascii="Arial" w:cs="Arial" w:eastAsia="Arial" w:hAnsi="Arial"/>
          <w:sz w:val="18"/>
          <w:szCs w:val="18"/>
          <w:b w:val="1"/>
          <w:bCs w:val="1"/>
          <w:color w:val="auto"/>
        </w:rPr>
        <w:t>Recording of Conversations</w:t>
      </w:r>
      <w:r>
        <w:rPr>
          <w:rFonts w:ascii="Arial" w:cs="Arial" w:eastAsia="Arial" w:hAnsi="Arial"/>
          <w:sz w:val="18"/>
          <w:szCs w:val="18"/>
          <w:color w:val="auto"/>
        </w:rPr>
        <w:t>. Each party (i) consents to the recording of telephone conversations between the trading, marketing and other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personnel of the parties in connection with this Agreement or any potential Transaction, (ii) agrees to obtain any necessary consent of, and give any necessary notice of such recording to, its relevant personnel and (iii) agrees, to the extent permitted by applicable law, that recordings may be submitted in evidence in any Proceedings.</w:t>
      </w:r>
    </w:p>
    <w:p>
      <w:pPr>
        <w:spacing w:after="0" w:line="55" w:lineRule="exact"/>
        <w:rPr>
          <w:rFonts w:ascii="Arial" w:cs="Arial" w:eastAsia="Arial" w:hAnsi="Arial"/>
          <w:sz w:val="18"/>
          <w:szCs w:val="18"/>
          <w:color w:val="auto"/>
        </w:rPr>
      </w:pPr>
    </w:p>
    <w:p>
      <w:pPr>
        <w:ind w:left="460" w:right="100" w:hanging="452"/>
        <w:spacing w:after="0" w:line="339" w:lineRule="auto"/>
        <w:tabs>
          <w:tab w:leader="none" w:pos="460" w:val="left"/>
        </w:tabs>
        <w:numPr>
          <w:ilvl w:val="0"/>
          <w:numId w:val="90"/>
        </w:numPr>
        <w:rPr>
          <w:rFonts w:ascii="Arial" w:cs="Arial" w:eastAsia="Arial" w:hAnsi="Arial"/>
          <w:sz w:val="16"/>
          <w:szCs w:val="16"/>
          <w:color w:val="auto"/>
        </w:rPr>
      </w:pPr>
      <w:r>
        <w:rPr>
          <w:rFonts w:ascii="Arial" w:cs="Arial" w:eastAsia="Arial" w:hAnsi="Arial"/>
          <w:sz w:val="16"/>
          <w:szCs w:val="16"/>
          <w:b w:val="1"/>
          <w:bCs w:val="1"/>
          <w:u w:val="single" w:color="auto"/>
          <w:color w:val="auto"/>
        </w:rPr>
        <w:t>Accuracy of Specified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3(d) is hereby amended by adding in the third line thereof after the word “respect” and before the period, the</w:t>
      </w:r>
      <w:r>
        <w:rPr>
          <w:rFonts w:ascii="Arial" w:cs="Arial" w:eastAsia="Arial" w:hAnsi="Arial"/>
          <w:sz w:val="16"/>
          <w:szCs w:val="16"/>
          <w:b w:val="1"/>
          <w:bCs w:val="1"/>
          <w:color w:val="auto"/>
        </w:rPr>
        <w:t xml:space="preserve"> </w:t>
      </w:r>
      <w:r>
        <w:rPr>
          <w:rFonts w:ascii="Arial" w:cs="Arial" w:eastAsia="Arial" w:hAnsi="Arial"/>
          <w:sz w:val="16"/>
          <w:szCs w:val="16"/>
          <w:color w:val="auto"/>
        </w:rPr>
        <w:t>phrase “or, in the case of audited or unaudited financial statements, a fair presentation of the financial condition of the relevant person.”</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5. </w:t>
      </w:r>
      <w:r>
        <w:rPr>
          <w:rFonts w:ascii="Arial" w:cs="Arial" w:eastAsia="Arial" w:hAnsi="Arial"/>
          <w:sz w:val="18"/>
          <w:szCs w:val="18"/>
          <w:b w:val="1"/>
          <w:bCs w:val="1"/>
          <w:u w:val="single" w:color="auto"/>
          <w:color w:val="auto"/>
        </w:rPr>
        <w:t>Other Provisions</w:t>
      </w:r>
      <w:r>
        <w:rPr>
          <w:rFonts w:ascii="Arial" w:cs="Arial" w:eastAsia="Arial" w:hAnsi="Arial"/>
          <w:sz w:val="18"/>
          <w:szCs w:val="18"/>
          <w:b w:val="1"/>
          <w:bCs w:val="1"/>
          <w:color w:val="auto"/>
        </w:rPr>
        <w:t>.</w:t>
      </w:r>
    </w:p>
    <w:p>
      <w:pPr>
        <w:spacing w:after="0" w:line="90" w:lineRule="exact"/>
        <w:rPr>
          <w:sz w:val="20"/>
          <w:szCs w:val="20"/>
          <w:color w:val="auto"/>
        </w:rPr>
      </w:pPr>
    </w:p>
    <w:p>
      <w:pPr>
        <w:ind w:left="460" w:right="240" w:hanging="452"/>
        <w:spacing w:after="0" w:line="275" w:lineRule="auto"/>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b w:val="1"/>
          <w:bCs w:val="1"/>
          <w:color w:val="auto"/>
        </w:rPr>
        <w:t xml:space="preserve">Additional Representations. </w:t>
      </w:r>
      <w:r>
        <w:rPr>
          <w:rFonts w:ascii="Arial" w:cs="Arial" w:eastAsia="Arial" w:hAnsi="Arial"/>
          <w:sz w:val="18"/>
          <w:szCs w:val="18"/>
          <w:color w:val="auto"/>
        </w:rPr>
        <w:t>In addition to the provisions addressed above in Part 4 of the Schedule, Section 3 of this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adding at the end thereof the following sub-paragraphs:</w:t>
      </w:r>
    </w:p>
    <w:p>
      <w:pPr>
        <w:spacing w:after="0" w:line="39" w:lineRule="exact"/>
        <w:rPr>
          <w:sz w:val="20"/>
          <w:szCs w:val="20"/>
          <w:color w:val="auto"/>
        </w:rPr>
      </w:pPr>
    </w:p>
    <w:p>
      <w:pPr>
        <w:ind w:left="920" w:right="520"/>
        <w:spacing w:after="0" w:line="275"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Eligible Contract Participant.</w:t>
      </w:r>
      <w:r>
        <w:rPr>
          <w:rFonts w:ascii="Arial" w:cs="Arial" w:eastAsia="Arial" w:hAnsi="Arial"/>
          <w:sz w:val="18"/>
          <w:szCs w:val="18"/>
          <w:color w:val="auto"/>
        </w:rPr>
        <w:t xml:space="preserve"> It is an “Eligible Contract Participant” as defined in Section 1(a)(12) of the Commodity Exchange Act, as amended.</w:t>
      </w:r>
    </w:p>
    <w:p>
      <w:pPr>
        <w:spacing w:after="0" w:line="39" w:lineRule="exact"/>
        <w:rPr>
          <w:sz w:val="20"/>
          <w:szCs w:val="20"/>
          <w:color w:val="auto"/>
        </w:rPr>
      </w:pPr>
    </w:p>
    <w:p>
      <w:pPr>
        <w:ind w:left="920" w:right="40" w:firstLine="1"/>
        <w:spacing w:after="0" w:line="254" w:lineRule="auto"/>
        <w:tabs>
          <w:tab w:leader="none" w:pos="1129" w:val="left"/>
        </w:tabs>
        <w:numPr>
          <w:ilvl w:val="0"/>
          <w:numId w:val="92"/>
        </w:numPr>
        <w:rPr>
          <w:rFonts w:ascii="Arial" w:cs="Arial" w:eastAsia="Arial" w:hAnsi="Arial"/>
          <w:sz w:val="18"/>
          <w:szCs w:val="18"/>
          <w:color w:val="auto"/>
        </w:rPr>
      </w:pPr>
      <w:r>
        <w:rPr>
          <w:rFonts w:ascii="Arial" w:cs="Arial" w:eastAsia="Arial" w:hAnsi="Arial"/>
          <w:sz w:val="18"/>
          <w:szCs w:val="18"/>
          <w:b w:val="1"/>
          <w:bCs w:val="1"/>
          <w:color w:val="auto"/>
        </w:rPr>
        <w:t xml:space="preserve">Non-ERISA Representation. </w:t>
      </w:r>
      <w:r>
        <w:rPr>
          <w:rFonts w:ascii="Arial" w:cs="Arial" w:eastAsia="Arial" w:hAnsi="Arial"/>
          <w:sz w:val="18"/>
          <w:szCs w:val="18"/>
          <w:color w:val="auto"/>
        </w:rPr>
        <w:t>It continuously represents that it is not (i) an employee benefit plan (hereinafter an “ERISA Plan”), as defined in</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3(3) of the Employee Retirement Income Security Act of 1974, as amended (“ERISA”), subject to Title I of ERISA or a plan subject to Section 4975 of the Internal Revenue Code of 1986, as amended, or subject to any other statute, regulation, procedure or restriction that is materially similar to Section 406 of ERISA or Section 4975 of the Code (together with ERISA Plans, “Plans”), (ii) a person any of the assets of whom constitute assets of a Plan, or (iii) in connection with any Transaction under this Agreement, a person acting on behalf of a Plan, or using the assets of a Plan. It will provide notice to the other party in the event that it is aware that it is in breach of any aspect of this representation or is aware that with the passing</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74" w:right="239" w:bottom="1440" w:gutter="0" w:footer="0" w:header="0"/>
        </w:sectPr>
      </w:pPr>
    </w:p>
    <w:bookmarkStart w:id="64" w:name="page65"/>
    <w:bookmarkEnd w:id="64"/>
    <w:p>
      <w:pPr>
        <w:ind w:left="91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of time, giving of notice or expiry of any applicable grace period it will breach this representation.”</w:t>
      </w:r>
    </w:p>
    <w:p>
      <w:pPr>
        <w:spacing w:after="0" w:line="84" w:lineRule="exact"/>
        <w:rPr>
          <w:sz w:val="20"/>
          <w:szCs w:val="20"/>
          <w:color w:val="auto"/>
        </w:rPr>
      </w:pPr>
    </w:p>
    <w:p>
      <w:pPr>
        <w:ind w:left="452" w:right="140" w:firstLine="4"/>
        <w:spacing w:after="0" w:line="291" w:lineRule="auto"/>
        <w:tabs>
          <w:tab w:leader="none" w:pos="701" w:val="left"/>
        </w:tabs>
        <w:numPr>
          <w:ilvl w:val="0"/>
          <w:numId w:val="93"/>
        </w:numPr>
        <w:rPr>
          <w:rFonts w:ascii="Arial" w:cs="Arial" w:eastAsia="Arial" w:hAnsi="Arial"/>
          <w:sz w:val="16"/>
          <w:szCs w:val="16"/>
          <w:color w:val="auto"/>
        </w:rPr>
      </w:pPr>
      <w:r>
        <w:rPr>
          <w:rFonts w:ascii="Arial" w:cs="Arial" w:eastAsia="Arial" w:hAnsi="Arial"/>
          <w:sz w:val="16"/>
          <w:szCs w:val="16"/>
          <w:b w:val="1"/>
          <w:bCs w:val="1"/>
          <w:color w:val="auto"/>
        </w:rPr>
        <w:t xml:space="preserve">Set-Off. </w:t>
      </w:r>
      <w:r>
        <w:rPr>
          <w:rFonts w:ascii="Arial" w:cs="Arial" w:eastAsia="Arial" w:hAnsi="Arial"/>
          <w:sz w:val="16"/>
          <w:szCs w:val="16"/>
          <w:color w:val="auto"/>
        </w:rPr>
        <w:t>. (i) In addition to any rights of set-off a party may have as a matter of law or otherwise, upon the occurrence of an Event of Default with</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to Party (“X”) hereof (or a provision analogous thereto) or where there is one Affected Party in the case where either a Credit Event Upon Merger has occurred, or any Additional Termination Event where X is the sole Affected Party, the other party (“Y”) shall have the right (but shall not be obliged) without prior notice to X or any other person to set off any obligation of X owing to Y or any Affiliate of Y (whether or not arising under this Agreement, whether or not matured, whether or not contingent and regardless of the currency, place of payment or booking office of the obligation) against any obligations of Y or any Affiliate of Y owing to X (whether or not arising under this Agreement, whether or not matured, whether or not contingent and regardless of the currency, place of payment or booking office of the obligation).</w:t>
      </w:r>
    </w:p>
    <w:p>
      <w:pPr>
        <w:spacing w:after="0" w:line="38" w:lineRule="exact"/>
        <w:rPr>
          <w:sz w:val="20"/>
          <w:szCs w:val="20"/>
          <w:color w:val="auto"/>
        </w:rPr>
      </w:pPr>
    </w:p>
    <w:p>
      <w:pPr>
        <w:ind w:left="712" w:hanging="256"/>
        <w:spacing w:after="0"/>
        <w:tabs>
          <w:tab w:leader="none" w:pos="712" w:val="left"/>
        </w:tabs>
        <w:numPr>
          <w:ilvl w:val="1"/>
          <w:numId w:val="94"/>
        </w:numPr>
        <w:rPr>
          <w:rFonts w:ascii="Arial" w:cs="Arial" w:eastAsia="Arial" w:hAnsi="Arial"/>
          <w:sz w:val="18"/>
          <w:szCs w:val="18"/>
          <w:color w:val="auto"/>
        </w:rPr>
      </w:pPr>
      <w:r>
        <w:rPr>
          <w:rFonts w:ascii="Arial" w:cs="Arial" w:eastAsia="Arial" w:hAnsi="Arial"/>
          <w:sz w:val="18"/>
          <w:szCs w:val="18"/>
          <w:color w:val="auto"/>
        </w:rPr>
        <w:t>For the purpose of cross-currency set off, Y may convert any obligation to another currency at a market rate determined by Y.</w:t>
      </w:r>
    </w:p>
    <w:p>
      <w:pPr>
        <w:spacing w:after="0" w:line="90" w:lineRule="exact"/>
        <w:rPr>
          <w:rFonts w:ascii="Arial" w:cs="Arial" w:eastAsia="Arial" w:hAnsi="Arial"/>
          <w:sz w:val="18"/>
          <w:szCs w:val="18"/>
          <w:color w:val="auto"/>
        </w:rPr>
      </w:pPr>
    </w:p>
    <w:p>
      <w:pPr>
        <w:ind w:left="452" w:right="480" w:firstLine="4"/>
        <w:spacing w:after="0" w:line="268" w:lineRule="auto"/>
        <w:tabs>
          <w:tab w:leader="none" w:pos="759" w:val="left"/>
        </w:tabs>
        <w:numPr>
          <w:ilvl w:val="1"/>
          <w:numId w:val="94"/>
        </w:numPr>
        <w:rPr>
          <w:rFonts w:ascii="Arial" w:cs="Arial" w:eastAsia="Arial" w:hAnsi="Arial"/>
          <w:sz w:val="18"/>
          <w:szCs w:val="18"/>
          <w:color w:val="auto"/>
        </w:rPr>
      </w:pPr>
      <w:r>
        <w:rPr>
          <w:rFonts w:ascii="Arial" w:cs="Arial" w:eastAsia="Arial" w:hAnsi="Arial"/>
          <w:sz w:val="18"/>
          <w:szCs w:val="18"/>
          <w:color w:val="auto"/>
        </w:rPr>
        <w:t>If any obligation is unascertained, Y may in good faith estimate that obligation and set off in respect of the estimate, subject to the relevant party accounting to the other when the obligation is ascertained.</w:t>
      </w:r>
    </w:p>
    <w:p>
      <w:pPr>
        <w:spacing w:after="0" w:line="50" w:lineRule="exact"/>
        <w:rPr>
          <w:rFonts w:ascii="Arial" w:cs="Arial" w:eastAsia="Arial" w:hAnsi="Arial"/>
          <w:sz w:val="18"/>
          <w:szCs w:val="18"/>
          <w:color w:val="auto"/>
        </w:rPr>
      </w:pPr>
    </w:p>
    <w:p>
      <w:pPr>
        <w:ind w:left="452" w:right="160" w:firstLine="4"/>
        <w:spacing w:after="0" w:line="259" w:lineRule="auto"/>
        <w:tabs>
          <w:tab w:leader="none" w:pos="749" w:val="left"/>
        </w:tabs>
        <w:numPr>
          <w:ilvl w:val="1"/>
          <w:numId w:val="94"/>
        </w:numPr>
        <w:rPr>
          <w:rFonts w:ascii="Arial" w:cs="Arial" w:eastAsia="Arial" w:hAnsi="Arial"/>
          <w:sz w:val="18"/>
          <w:szCs w:val="18"/>
          <w:color w:val="auto"/>
        </w:rPr>
      </w:pPr>
      <w:r>
        <w:rPr>
          <w:rFonts w:ascii="Arial" w:cs="Arial" w:eastAsia="Arial" w:hAnsi="Arial"/>
          <w:sz w:val="18"/>
          <w:szCs w:val="18"/>
          <w:color w:val="auto"/>
        </w:rPr>
        <w:t>Nothing in this paragraph will have the effect of creating a charge or other security interest. This paragraph shall be without prejudice and in addition to any right of set-off, combination of accounts, lien or other right to which any party is at any time otherwise entitled (whether by operation of law, contract or otherwise).”</w:t>
      </w:r>
    </w:p>
    <w:p>
      <w:pPr>
        <w:spacing w:after="0" w:line="53" w:lineRule="exact"/>
        <w:rPr>
          <w:rFonts w:ascii="Arial" w:cs="Arial" w:eastAsia="Arial" w:hAnsi="Arial"/>
          <w:sz w:val="18"/>
          <w:szCs w:val="18"/>
          <w:color w:val="auto"/>
        </w:rPr>
      </w:pPr>
    </w:p>
    <w:p>
      <w:pPr>
        <w:ind w:left="452" w:hanging="452"/>
        <w:spacing w:after="0"/>
        <w:tabs>
          <w:tab w:leader="none" w:pos="452"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Procedures for Entering Into Transactions. </w:t>
      </w:r>
      <w:r>
        <w:rPr>
          <w:rFonts w:ascii="Arial" w:cs="Arial" w:eastAsia="Arial" w:hAnsi="Arial"/>
          <w:sz w:val="18"/>
          <w:szCs w:val="18"/>
          <w:color w:val="auto"/>
        </w:rPr>
        <w:t>Party A will deliver to Party B a Confirmation relating to each Transaction.</w:t>
      </w:r>
    </w:p>
    <w:p>
      <w:pPr>
        <w:spacing w:after="0" w:line="90" w:lineRule="exact"/>
        <w:rPr>
          <w:rFonts w:ascii="Arial" w:cs="Arial" w:eastAsia="Arial" w:hAnsi="Arial"/>
          <w:sz w:val="18"/>
          <w:szCs w:val="18"/>
          <w:color w:val="auto"/>
        </w:rPr>
      </w:pPr>
    </w:p>
    <w:p>
      <w:pPr>
        <w:ind w:left="452" w:right="700" w:hanging="452"/>
        <w:spacing w:after="0" w:line="275" w:lineRule="auto"/>
        <w:tabs>
          <w:tab w:leader="none" w:pos="452"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 xml:space="preserve">Form of Agreement. </w:t>
      </w:r>
      <w:r>
        <w:rPr>
          <w:rFonts w:ascii="Arial" w:cs="Arial" w:eastAsia="Arial" w:hAnsi="Arial"/>
          <w:sz w:val="18"/>
          <w:szCs w:val="18"/>
          <w:color w:val="auto"/>
        </w:rPr>
        <w:t>The parties hereby agree that the text of the body of the Agreement is intended to be the printed form of 1992 ISDA Master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published and copyrighted by the International Swaps and Derivatives Association, Inc.</w:t>
      </w:r>
    </w:p>
    <w:p>
      <w:pPr>
        <w:spacing w:after="0" w:line="38" w:lineRule="exact"/>
        <w:rPr>
          <w:rFonts w:ascii="Arial" w:cs="Arial" w:eastAsia="Arial" w:hAnsi="Arial"/>
          <w:sz w:val="18"/>
          <w:szCs w:val="18"/>
          <w:color w:val="auto"/>
        </w:rPr>
      </w:pPr>
    </w:p>
    <w:p>
      <w:pPr>
        <w:ind w:left="452" w:hanging="452"/>
        <w:spacing w:after="0"/>
        <w:tabs>
          <w:tab w:leader="none" w:pos="452" w:val="left"/>
        </w:tabs>
        <w:numPr>
          <w:ilvl w:val="0"/>
          <w:numId w:val="95"/>
        </w:numPr>
        <w:rPr>
          <w:rFonts w:ascii="Arial" w:cs="Arial" w:eastAsia="Arial" w:hAnsi="Arial"/>
          <w:sz w:val="18"/>
          <w:szCs w:val="18"/>
          <w:color w:val="auto"/>
        </w:rPr>
      </w:pPr>
      <w:r>
        <w:rPr>
          <w:rFonts w:ascii="Arial" w:cs="Arial" w:eastAsia="Arial" w:hAnsi="Arial"/>
          <w:sz w:val="18"/>
          <w:szCs w:val="18"/>
          <w:b w:val="1"/>
          <w:bCs w:val="1"/>
          <w:color w:val="auto"/>
        </w:rPr>
        <w:t>Transfers</w:t>
      </w:r>
      <w:r>
        <w:rPr>
          <w:rFonts w:ascii="Arial" w:cs="Arial" w:eastAsia="Arial" w:hAnsi="Arial"/>
          <w:sz w:val="18"/>
          <w:szCs w:val="18"/>
          <w:color w:val="auto"/>
        </w:rPr>
        <w:t>. The following provision (c) is hereby added to Section 7 of this Agreement:</w:t>
      </w:r>
    </w:p>
    <w:p>
      <w:pPr>
        <w:spacing w:after="0" w:line="96" w:lineRule="exact"/>
        <w:rPr>
          <w:sz w:val="20"/>
          <w:szCs w:val="20"/>
          <w:color w:val="auto"/>
        </w:rPr>
      </w:pPr>
    </w:p>
    <w:p>
      <w:pPr>
        <w:ind w:left="912"/>
        <w:spacing w:after="0" w:line="290" w:lineRule="auto"/>
        <w:rPr>
          <w:sz w:val="20"/>
          <w:szCs w:val="20"/>
          <w:color w:val="auto"/>
        </w:rPr>
      </w:pPr>
      <w:r>
        <w:rPr>
          <w:rFonts w:ascii="Arial" w:cs="Arial" w:eastAsia="Arial" w:hAnsi="Arial"/>
          <w:sz w:val="16"/>
          <w:szCs w:val="16"/>
          <w:color w:val="auto"/>
        </w:rPr>
        <w:t>“(c) Party A may, if it has reasonable grounds for insecurity regarding a potential default under this Agreement or any Specified Transaction by Party B, or for any legal, tax, accounting, regulatory or other reason, transfer its rights and obligations under this Agreement or any agreement for a Specified Transaction to any Affiliate of Party A, and Party B hereto agrees to such transfer; provided, however, that both Party A and the Affiliate transferee are ‘dealers in notional principal contracts’ within the meaning of U.S. Treasury Regulation Section 1.1001-4, and provided further that either (1) Party B shall have received a guarantee by Party A, in favor of Party B, of the obligations of such Affiliate, such guarantee to be substantially the same as the guarantee then in effect of the obligations of the transferor, or (2) such transferee shall have the same or higher long term senior unsecured debt rating (as determined by S&amp;P or Moody’s) as Party A at the time of such transfer.”</w:t>
      </w:r>
    </w:p>
    <w:p>
      <w:pPr>
        <w:spacing w:after="0" w:line="31" w:lineRule="exact"/>
        <w:rPr>
          <w:sz w:val="20"/>
          <w:szCs w:val="20"/>
          <w:color w:val="auto"/>
        </w:rPr>
      </w:pPr>
    </w:p>
    <w:p>
      <w:pPr>
        <w:ind w:left="452" w:right="20" w:hanging="452"/>
        <w:spacing w:after="0" w:line="255" w:lineRule="auto"/>
        <w:tabs>
          <w:tab w:leader="none" w:pos="452" w:val="left"/>
        </w:tabs>
        <w:numPr>
          <w:ilvl w:val="0"/>
          <w:numId w:val="96"/>
        </w:numPr>
        <w:rPr>
          <w:rFonts w:ascii="Arial" w:cs="Arial" w:eastAsia="Arial" w:hAnsi="Arial"/>
          <w:sz w:val="18"/>
          <w:szCs w:val="18"/>
          <w:color w:val="auto"/>
        </w:rPr>
      </w:pPr>
      <w:r>
        <w:rPr>
          <w:rFonts w:ascii="Arial" w:cs="Arial" w:eastAsia="Arial" w:hAnsi="Arial"/>
          <w:sz w:val="18"/>
          <w:szCs w:val="18"/>
          <w:b w:val="1"/>
          <w:bCs w:val="1"/>
          <w:color w:val="auto"/>
        </w:rPr>
        <w:t>Severability</w:t>
      </w:r>
      <w:r>
        <w:rPr>
          <w:rFonts w:ascii="Arial" w:cs="Arial" w:eastAsia="Arial" w:hAnsi="Arial"/>
          <w:sz w:val="18"/>
          <w:szCs w:val="18"/>
          <w:color w:val="auto"/>
        </w:rPr>
        <w:t>. Any provision of this Agreement which is prohibited or unenforceable in any jurisdiction in respect of any Transaction shall, as to such</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be ineffective to the extent of such prohibition or unenforceability without invalidating the remaining provisions of the Agreement or affecting the validity or enforceability of such provision as to any other jurisdiction or Transaction; provided, however, that nothing in this provision shall adversely affect the rights of each party under the Agreement; and provided further that this severability provision shall not be applicable if any provision of Section 1, 2, 5, 6, or 13 (or any definition or provision in Section 14 to the extent it relates to, or is used in or connection with any such Section) shall be so held to be invalid or unenforceable.</w:t>
      </w:r>
    </w:p>
    <w:p>
      <w:pPr>
        <w:spacing w:after="0" w:line="13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92"/>
          </w:cols>
          <w:pgMar w:left="248" w:top="280" w:right="259" w:bottom="1440" w:gutter="0" w:footer="0" w:header="0"/>
        </w:sectPr>
      </w:pPr>
    </w:p>
    <w:bookmarkStart w:id="65" w:name="page66"/>
    <w:bookmarkEnd w:id="65"/>
    <w:p>
      <w:pPr>
        <w:ind w:left="460"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parties hereto shall endeavor in good faith negotiations to replace the prohibited or unenforceable provision with a valid provision, the economic effect of which comes as close as possible to that of the prohibited or unenforceable provision. The remaining terms, provisions, covenants, and conditions hereof shall continue in full force and effect as if this Agreement had been executed with the invalid or unenforceable portion eliminated, so long as this Agreement as so modified continues to express, without material change, the original intentions of the parties as to the subject matter of this Agreement and the deletion of such portion of this Agreement will not substantially impair the respective benefits or expectations of the parties to this Agreement.</w:t>
      </w:r>
    </w:p>
    <w:p>
      <w:pPr>
        <w:spacing w:after="0" w:line="11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Schedule by their duly authorized officers as of the date hereof.</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CREDIT SUISSE INTERNATIONAL</w:t>
            </w:r>
          </w:p>
        </w:tc>
        <w:tc>
          <w:tcPr>
            <w:tcW w:w="6380" w:type="dxa"/>
            <w:vAlign w:val="bottom"/>
            <w:gridSpan w:val="3"/>
          </w:tcPr>
          <w:p>
            <w:pPr>
              <w:ind w:left="1220"/>
              <w:spacing w:after="0"/>
              <w:rPr>
                <w:sz w:val="20"/>
                <w:szCs w:val="20"/>
                <w:color w:val="auto"/>
              </w:rPr>
            </w:pPr>
            <w:r>
              <w:rPr>
                <w:rFonts w:ascii="Arial" w:cs="Arial" w:eastAsia="Arial" w:hAnsi="Arial"/>
                <w:sz w:val="18"/>
                <w:szCs w:val="18"/>
                <w:b w:val="1"/>
                <w:bCs w:val="1"/>
                <w:color w:val="auto"/>
              </w:rPr>
              <w:t>NATIONAL CINEMEDIA, LLC</w:t>
            </w:r>
          </w:p>
        </w:tc>
      </w:tr>
      <w:tr>
        <w:trPr>
          <w:trHeight w:val="43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Marleen Nobile</w:t>
            </w:r>
          </w:p>
        </w:tc>
        <w:tc>
          <w:tcPr>
            <w:tcW w:w="1740" w:type="dxa"/>
            <w:vAlign w:val="bottom"/>
          </w:tcPr>
          <w:p>
            <w:pPr>
              <w:ind w:left="122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W. Ferrera</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Pr>
          <w:p>
            <w:pPr>
              <w:spacing w:after="0"/>
              <w:rPr>
                <w:sz w:val="20"/>
                <w:szCs w:val="20"/>
                <w:color w:val="auto"/>
              </w:rPr>
            </w:pPr>
            <w:r>
              <w:rPr>
                <w:rFonts w:ascii="Arial" w:cs="Arial" w:eastAsia="Arial" w:hAnsi="Arial"/>
                <w:sz w:val="18"/>
                <w:szCs w:val="18"/>
                <w:color w:val="auto"/>
              </w:rPr>
              <w:t>Marleen Nobile</w:t>
            </w:r>
          </w:p>
        </w:tc>
        <w:tc>
          <w:tcPr>
            <w:tcW w:w="1740" w:type="dxa"/>
            <w:vAlign w:val="bottom"/>
          </w:tcPr>
          <w:p>
            <w:pPr>
              <w:ind w:left="1220"/>
              <w:spacing w:after="0"/>
              <w:rPr>
                <w:sz w:val="20"/>
                <w:szCs w:val="20"/>
                <w:color w:val="auto"/>
              </w:rPr>
            </w:pPr>
            <w:r>
              <w:rPr>
                <w:rFonts w:ascii="Arial" w:cs="Arial" w:eastAsia="Arial" w:hAnsi="Arial"/>
                <w:sz w:val="18"/>
                <w:szCs w:val="18"/>
                <w:color w:val="auto"/>
                <w:w w:val="94"/>
              </w:rPr>
              <w:t>Name:</w:t>
            </w:r>
          </w:p>
        </w:tc>
        <w:tc>
          <w:tcPr>
            <w:tcW w:w="4640" w:type="dxa"/>
            <w:vAlign w:val="bottom"/>
            <w:gridSpan w:val="2"/>
          </w:tcPr>
          <w:p>
            <w:pPr>
              <w:ind w:left="60"/>
              <w:spacing w:after="0"/>
              <w:rPr>
                <w:sz w:val="20"/>
                <w:szCs w:val="20"/>
                <w:color w:val="auto"/>
              </w:rPr>
            </w:pPr>
            <w:r>
              <w:rPr>
                <w:rFonts w:ascii="Arial" w:cs="Arial" w:eastAsia="Arial" w:hAnsi="Arial"/>
                <w:sz w:val="18"/>
                <w:szCs w:val="18"/>
                <w:color w:val="auto"/>
              </w:rPr>
              <w:t>Gary W. Ferrera</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spacing w:after="0"/>
              <w:rPr>
                <w:sz w:val="20"/>
                <w:szCs w:val="20"/>
                <w:color w:val="auto"/>
              </w:rPr>
            </w:pPr>
            <w:r>
              <w:rPr>
                <w:rFonts w:ascii="Arial" w:cs="Arial" w:eastAsia="Arial" w:hAnsi="Arial"/>
                <w:sz w:val="18"/>
                <w:szCs w:val="18"/>
                <w:color w:val="auto"/>
              </w:rPr>
              <w:t>Authorized Signatory</w:t>
            </w:r>
          </w:p>
        </w:tc>
        <w:tc>
          <w:tcPr>
            <w:tcW w:w="1740" w:type="dxa"/>
            <w:vAlign w:val="bottom"/>
          </w:tcPr>
          <w:p>
            <w:pPr>
              <w:ind w:left="1220"/>
              <w:spacing w:after="0"/>
              <w:rPr>
                <w:sz w:val="20"/>
                <w:szCs w:val="20"/>
                <w:color w:val="auto"/>
              </w:rPr>
            </w:pPr>
            <w:r>
              <w:rPr>
                <w:rFonts w:ascii="Arial" w:cs="Arial" w:eastAsia="Arial" w:hAnsi="Arial"/>
                <w:sz w:val="18"/>
                <w:szCs w:val="18"/>
                <w:color w:val="auto"/>
              </w:rPr>
              <w:t>Title:</w:t>
            </w:r>
          </w:p>
        </w:tc>
        <w:tc>
          <w:tcPr>
            <w:tcW w:w="4640" w:type="dxa"/>
            <w:vAlign w:val="bottom"/>
            <w:gridSpan w:val="2"/>
          </w:tcPr>
          <w:p>
            <w:pPr>
              <w:ind w:left="60"/>
              <w:spacing w:after="0"/>
              <w:rPr>
                <w:sz w:val="20"/>
                <w:szCs w:val="20"/>
                <w:color w:val="auto"/>
              </w:rPr>
            </w:pPr>
            <w:r>
              <w:rPr>
                <w:rFonts w:ascii="Arial" w:cs="Arial" w:eastAsia="Arial" w:hAnsi="Arial"/>
                <w:sz w:val="18"/>
                <w:szCs w:val="18"/>
                <w:color w:val="auto"/>
              </w:rPr>
              <w:t>CFO/EVP</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460" w:type="dxa"/>
            <w:vAlign w:val="bottom"/>
          </w:tcPr>
          <w:p>
            <w:pPr>
              <w:spacing w:after="0"/>
              <w:rPr>
                <w:sz w:val="19"/>
                <w:szCs w:val="19"/>
                <w:color w:val="auto"/>
              </w:rPr>
            </w:pPr>
          </w:p>
        </w:tc>
        <w:tc>
          <w:tcPr>
            <w:tcW w:w="1740" w:type="dxa"/>
            <w:vAlign w:val="bottom"/>
          </w:tcPr>
          <w:p>
            <w:pPr>
              <w:ind w:left="1220"/>
              <w:spacing w:after="0"/>
              <w:rPr>
                <w:sz w:val="20"/>
                <w:szCs w:val="20"/>
                <w:color w:val="auto"/>
              </w:rPr>
            </w:pPr>
            <w:r>
              <w:rPr>
                <w:rFonts w:ascii="Arial" w:cs="Arial" w:eastAsia="Arial" w:hAnsi="Arial"/>
                <w:sz w:val="18"/>
                <w:szCs w:val="18"/>
                <w:color w:val="auto"/>
              </w:rPr>
              <w:t>Date:</w:t>
            </w:r>
          </w:p>
        </w:tc>
        <w:tc>
          <w:tcPr>
            <w:tcW w:w="4640" w:type="dxa"/>
            <w:vAlign w:val="bottom"/>
            <w:gridSpan w:val="2"/>
          </w:tcPr>
          <w:p>
            <w:pPr>
              <w:ind w:left="60"/>
              <w:spacing w:after="0"/>
              <w:rPr>
                <w:sz w:val="20"/>
                <w:szCs w:val="20"/>
                <w:color w:val="auto"/>
              </w:rPr>
            </w:pPr>
            <w:r>
              <w:rPr>
                <w:rFonts w:ascii="Arial" w:cs="Arial" w:eastAsia="Arial" w:hAnsi="Arial"/>
                <w:sz w:val="18"/>
                <w:szCs w:val="18"/>
                <w:color w:val="auto"/>
              </w:rPr>
              <w:t>August 1, 2007</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Kamel Ouchikh</w:t>
            </w:r>
          </w:p>
        </w:tc>
        <w:tc>
          <w:tcPr>
            <w:tcW w:w="1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580" w:type="dxa"/>
            <w:vAlign w:val="bottom"/>
          </w:tcPr>
          <w:p>
            <w:pPr>
              <w:spacing w:after="0"/>
              <w:rPr>
                <w:sz w:val="24"/>
                <w:szCs w:val="24"/>
                <w:color w:val="auto"/>
              </w:rPr>
            </w:pP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Pr>
          <w:p>
            <w:pPr>
              <w:spacing w:after="0"/>
              <w:rPr>
                <w:sz w:val="20"/>
                <w:szCs w:val="20"/>
                <w:color w:val="auto"/>
              </w:rPr>
            </w:pPr>
            <w:r>
              <w:rPr>
                <w:rFonts w:ascii="Arial" w:cs="Arial" w:eastAsia="Arial" w:hAnsi="Arial"/>
                <w:sz w:val="18"/>
                <w:szCs w:val="18"/>
                <w:color w:val="auto"/>
              </w:rPr>
              <w:t>Kamel Ouchikh</w:t>
            </w: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spacing w:after="0"/>
              <w:rPr>
                <w:sz w:val="20"/>
                <w:szCs w:val="20"/>
                <w:color w:val="auto"/>
              </w:rPr>
            </w:pPr>
            <w:r>
              <w:rPr>
                <w:rFonts w:ascii="Arial" w:cs="Arial" w:eastAsia="Arial" w:hAnsi="Arial"/>
                <w:sz w:val="18"/>
                <w:szCs w:val="18"/>
                <w:color w:val="auto"/>
              </w:rPr>
              <w:t>Authorized Signatory</w:t>
            </w: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80" w:type="dxa"/>
            <w:vAlign w:val="bottom"/>
          </w:tcPr>
          <w:p>
            <w:pPr>
              <w:spacing w:after="0"/>
              <w:rPr>
                <w:sz w:val="18"/>
                <w:szCs w:val="18"/>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4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580" w:type="dxa"/>
            <w:vAlign w:val="bottom"/>
          </w:tcPr>
          <w:p>
            <w:pPr>
              <w:spacing w:after="0"/>
              <w:rPr>
                <w:sz w:val="19"/>
                <w:szCs w:val="19"/>
                <w:color w:val="auto"/>
              </w:rPr>
            </w:pPr>
          </w:p>
        </w:tc>
      </w:tr>
      <w:tr>
        <w:trPr>
          <w:trHeight w:val="365"/>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40" w:type="dxa"/>
            <w:vAlign w:val="bottom"/>
          </w:tcPr>
          <w:p>
            <w:pPr>
              <w:ind w:left="58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4"/>
                <w:szCs w:val="24"/>
                <w:color w:val="auto"/>
              </w:rPr>
            </w:pPr>
          </w:p>
        </w:tc>
        <w:tc>
          <w:tcPr>
            <w:tcW w:w="45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6042660</wp:posOffset>
            </wp:positionH>
            <wp:positionV relativeFrom="paragraph">
              <wp:posOffset>118110</wp:posOffset>
            </wp:positionV>
            <wp:extent cx="1209040" cy="23177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09040" cy="2317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Interest Rate Swap Transaction (REVISION)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The purpose of this letter agreement is to confirm the amendment of the terms and conditions of the Transaction entered into between: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(“JPMorgan”)</w:t>
      </w:r>
    </w:p>
    <w:p>
      <w:pPr>
        <w:spacing w:after="0" w:line="165"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and</w:t>
      </w:r>
    </w:p>
    <w:p>
      <w:pPr>
        <w:spacing w:after="0" w:line="171" w:lineRule="exact"/>
        <w:rPr>
          <w:sz w:val="20"/>
          <w:szCs w:val="20"/>
          <w:color w:val="auto"/>
        </w:rPr>
      </w:pPr>
    </w:p>
    <w:p>
      <w:pPr>
        <w:ind w:left="4560"/>
        <w:spacing w:after="0"/>
        <w:rPr>
          <w:sz w:val="20"/>
          <w:szCs w:val="20"/>
          <w:color w:val="auto"/>
        </w:rPr>
      </w:pPr>
      <w:r>
        <w:rPr>
          <w:rFonts w:ascii="Arial" w:cs="Arial" w:eastAsia="Arial" w:hAnsi="Arial"/>
          <w:sz w:val="18"/>
          <w:szCs w:val="18"/>
          <w:color w:val="auto"/>
        </w:rPr>
        <w:t>NATIONAL CINEMEDIA LLC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“Counterparty”)</w:t>
      </w:r>
    </w:p>
    <w:p>
      <w:pPr>
        <w:spacing w:after="0" w:line="165" w:lineRule="exact"/>
        <w:rPr>
          <w:sz w:val="20"/>
          <w:szCs w:val="20"/>
          <w:color w:val="auto"/>
        </w:rPr>
      </w:pPr>
    </w:p>
    <w:p>
      <w:pPr>
        <w:ind w:right="180"/>
        <w:spacing w:after="0" w:line="370" w:lineRule="auto"/>
        <w:rPr>
          <w:sz w:val="20"/>
          <w:szCs w:val="20"/>
          <w:color w:val="auto"/>
        </w:rPr>
      </w:pPr>
      <w:r>
        <w:rPr>
          <w:rFonts w:ascii="Arial" w:cs="Arial" w:eastAsia="Arial" w:hAnsi="Arial"/>
          <w:sz w:val="15"/>
          <w:szCs w:val="15"/>
          <w:color w:val="auto"/>
        </w:rPr>
        <w:t>on the Trade Date and identified by the JPMorgan Deal Number specified below (the “Transaction”). This letter agreement constitutes a “Confirmation” as referred to in the Master Agreement specified below, and supersedes any previous confirmation or other writing with respect to the transaction described below.</w:t>
      </w:r>
    </w:p>
    <w:p>
      <w:pPr>
        <w:spacing w:after="0" w:line="62"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The definitions and provisions contained in the 2000 ISDA Definitions (the “Definitions”), as published by the International Swaps and Derivatives Association, Inc. are incorporated into this Confirmation. In the event of any inconsistency between those definitions and provisions and this Confirmation, this Confirmation will govern.</w:t>
      </w:r>
    </w:p>
    <w:p>
      <w:pPr>
        <w:spacing w:after="0" w:line="14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If JPMORGAN CHASE BANK, N.A. (“JPMorgan”) and NATIONAL CINEMEDIA LLC (the “Counterparty”) are not yet parties to an ISDA Master Agreement, the parties agree that this Transaction will be documented under a master agreement to be entered into on the basis of the printed form of the </w:t>
      </w:r>
      <w:r>
        <w:rPr>
          <w:rFonts w:ascii="Arial" w:cs="Arial" w:eastAsia="Arial" w:hAnsi="Arial"/>
          <w:sz w:val="16"/>
          <w:szCs w:val="16"/>
          <w:b w:val="1"/>
          <w:bCs w:val="1"/>
          <w:color w:val="auto"/>
        </w:rPr>
        <w:t>1992</w:t>
      </w:r>
      <w:r>
        <w:rPr>
          <w:rFonts w:ascii="Arial" w:cs="Arial" w:eastAsia="Arial" w:hAnsi="Arial"/>
          <w:sz w:val="16"/>
          <w:szCs w:val="16"/>
          <w:color w:val="auto"/>
        </w:rPr>
        <w:t xml:space="preserve"> Master Agreement (the “Master Agreement”) published by the International Swap and Derivatives Association, Inc. (“ISDA”), together with such changes as shall be agreed between the parties. Upon execution and delivery by the parties of the Master Agreement, this Confirmation shall supplement, form a part of, and be subject to such Master Agreement. Until the parties execute and deliver the Master Agreement, this Confirmation, together with all other documents referring to the Master Agreement confirming the transactions entered into between the parties, shall supplement, form a part of, and be subject to the printed form of Master Agreement published by ISDA, as if the parties had executed that agreement in such form (but without any Schedule except for the election of the law of the State of New York as the governing law and US Dollars as the Termination Currency) on the Trade Date of this Transaction.</w:t>
      </w:r>
    </w:p>
    <w:p>
      <w:pPr>
        <w:sectPr>
          <w:pgSz w:w="11900" w:h="16838" w:orient="portrait"/>
          <w:cols w:equalWidth="0" w:num="1">
            <w:col w:w="11420"/>
          </w:cols>
          <w:pgMar w:left="240" w:top="125" w:right="239" w:bottom="1440" w:gutter="0" w:footer="0" w:header="0"/>
        </w:sectPr>
      </w:pPr>
    </w:p>
    <w:bookmarkStart w:id="67" w:name="page68"/>
    <w:bookmarkEnd w:id="67"/>
    <w:p>
      <w:pPr>
        <w:spacing w:after="0"/>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6195060</wp:posOffset>
            </wp:positionH>
            <wp:positionV relativeFrom="page">
              <wp:posOffset>183515</wp:posOffset>
            </wp:positionV>
            <wp:extent cx="1209040" cy="23177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1209040" cy="231775"/>
                    </a:xfrm>
                    <a:prstGeom prst="rect">
                      <a:avLst/>
                    </a:prstGeom>
                    <a:noFill/>
                  </pic:spPr>
                </pic:pic>
              </a:graphicData>
            </a:graphic>
          </wp:anchor>
        </w:drawing>
        <w:t>The terms of the particular Interest Rate Swap Transaction to which this Confirmation relates are as follows:</w:t>
      </w:r>
    </w:p>
    <w:p>
      <w:pPr>
        <w:sectPr>
          <w:pgSz w:w="11900" w:h="16838" w:orient="portrait"/>
          <w:cols w:equalWidth="0" w:num="1">
            <w:col w:w="11340"/>
          </w:cols>
          <w:pgMar w:left="240" w:top="793" w:right="319" w:bottom="1440" w:gutter="0" w:footer="0" w:header="0"/>
        </w:sectPr>
      </w:pP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TRANSACTION DETAILS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JPMorgan Deal Number(s):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Notional Amount: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Trade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Effective Date: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Termination Date: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Fixed Amounts: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Fixed Rate Payer: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Fixed Rate Payer Payment Dates: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color w:val="auto"/>
        </w:rPr>
        <w:t>Fixed Rate:</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Fixed Rate Day Count Fraction: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Business Days: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Floating Amounts: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Floating Rate Payer: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Floating Rate Payer Payment Dates: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Arial" w:cs="Arial" w:eastAsia="Arial" w:hAnsi="Arial"/>
          <w:sz w:val="16"/>
          <w:szCs w:val="16"/>
          <w:color w:val="auto"/>
        </w:rPr>
        <w:t>Floating Rate for initial Calculation Period:</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Floating Rate Option: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6900033659368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USD 137,500,000.00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02 March 2007</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13 March 2007</w:t>
      </w:r>
    </w:p>
    <w:p>
      <w:pPr>
        <w:spacing w:after="0" w:line="117"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13 February 2015 subject to adjustment in accordance with the Modified Following Business Day Convention.</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Counterparty</w:t>
      </w:r>
    </w:p>
    <w:p>
      <w:pPr>
        <w:spacing w:after="0" w:line="11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The 13 June, 13 September, 13 December and 13 March in each year, from and including 13 June 2007 </w:t>
      </w:r>
      <w:r>
        <w:rPr>
          <w:rFonts w:ascii="Arial" w:cs="Arial" w:eastAsia="Arial" w:hAnsi="Arial"/>
          <w:sz w:val="16"/>
          <w:szCs w:val="16"/>
          <w:b w:val="1"/>
          <w:bCs w:val="1"/>
          <w:color w:val="auto"/>
        </w:rPr>
        <w:t>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13 December 2014 </w:t>
      </w:r>
      <w:r>
        <w:rPr>
          <w:rFonts w:ascii="Arial" w:cs="Arial" w:eastAsia="Arial" w:hAnsi="Arial"/>
          <w:sz w:val="16"/>
          <w:szCs w:val="16"/>
          <w:color w:val="auto"/>
        </w:rPr>
        <w:t>and including the Termination Date, subject to adjustment in accordance with</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Modified Following Business Day Convention and there will be an adjustment to the Calculation Period.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color w:val="auto"/>
        </w:rPr>
        <w:t>4.98400 percent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Actual/360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New York, London</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JPMorgan</w:t>
      </w:r>
    </w:p>
    <w:p>
      <w:pPr>
        <w:spacing w:after="0" w:line="111"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The 13 June, 13 September, 13 December and 13 March in each year, from and including 13 June 2007 </w:t>
      </w:r>
      <w:r>
        <w:rPr>
          <w:rFonts w:ascii="Arial" w:cs="Arial" w:eastAsia="Arial" w:hAnsi="Arial"/>
          <w:sz w:val="16"/>
          <w:szCs w:val="16"/>
          <w:b w:val="1"/>
          <w:bCs w:val="1"/>
          <w:color w:val="auto"/>
        </w:rPr>
        <w:t>to</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13 December 2014 </w:t>
      </w:r>
      <w:r>
        <w:rPr>
          <w:rFonts w:ascii="Arial" w:cs="Arial" w:eastAsia="Arial" w:hAnsi="Arial"/>
          <w:sz w:val="16"/>
          <w:szCs w:val="16"/>
          <w:color w:val="auto"/>
        </w:rPr>
        <w:t>and including the Termination Date, subject to adjustment in accordance with</w:t>
      </w:r>
    </w:p>
    <w:p>
      <w:pPr>
        <w:spacing w:after="0" w:line="1"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the Modified Following Business Day Convention and there will be an adjustment to the Calculation Period.</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5.34000 percent</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color w:val="auto"/>
        </w:rPr>
        <w:t>USD-LIBOR-BBA</w:t>
      </w:r>
    </w:p>
    <w:p>
      <w:pPr>
        <w:spacing w:after="0" w:line="152"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5</w:t>
      </w:r>
    </w:p>
    <w:p>
      <w:pPr>
        <w:sectPr>
          <w:pgSz w:w="11900" w:h="16838" w:orient="portrait"/>
          <w:cols w:equalWidth="0" w:num="2">
            <w:col w:w="3180" w:space="720"/>
            <w:col w:w="7440"/>
          </w:cols>
          <w:pgMar w:left="240" w:top="793" w:right="319" w:bottom="1440" w:gutter="0" w:footer="0" w:header="0"/>
          <w:type w:val="continuous"/>
        </w:sectPr>
      </w:pPr>
    </w:p>
    <w:bookmarkStart w:id="68" w:name="page69"/>
    <w:bookmarkEnd w:id="68"/>
    <w:p>
      <w:pPr>
        <w:spacing w:after="0"/>
        <w:rPr>
          <w:sz w:val="20"/>
          <w:szCs w:val="20"/>
          <w:color w:val="auto"/>
        </w:rPr>
      </w:pPr>
      <w:r>
        <w:rPr>
          <w:rFonts w:ascii="Arial" w:cs="Arial" w:eastAsia="Arial" w:hAnsi="Arial"/>
          <w:sz w:val="16"/>
          <w:szCs w:val="16"/>
          <w:color w:val="auto"/>
        </w:rPr>
        <w:t>Designated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 Month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-2472690</wp:posOffset>
            </wp:positionH>
            <wp:positionV relativeFrom="paragraph">
              <wp:posOffset>-599440</wp:posOffset>
            </wp:positionV>
            <wp:extent cx="7267575" cy="279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column">
              <wp:posOffset>3566160</wp:posOffset>
            </wp:positionH>
            <wp:positionV relativeFrom="paragraph">
              <wp:posOffset>-505460</wp:posOffset>
            </wp:positionV>
            <wp:extent cx="1209040" cy="23177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09040" cy="231775"/>
                    </a:xfrm>
                    <a:prstGeom prst="rect">
                      <a:avLst/>
                    </a:prstGeom>
                    <a:noFill/>
                  </pic:spPr>
                </pic:pic>
              </a:graphicData>
            </a:graphic>
          </wp:anchor>
        </w:drawing>
      </w:r>
    </w:p>
    <w:p>
      <w:pPr>
        <w:spacing w:after="0" w:line="140" w:lineRule="exact"/>
        <w:rPr>
          <w:sz w:val="20"/>
          <w:szCs w:val="20"/>
          <w:color w:val="auto"/>
        </w:rPr>
      </w:pPr>
    </w:p>
    <w:p>
      <w:pPr>
        <w:sectPr>
          <w:pgSz w:w="11900" w:h="16838" w:orient="portrait"/>
          <w:cols w:equalWidth="0" w:num="2">
            <w:col w:w="3180" w:space="720"/>
            <w:col w:w="7520"/>
          </w:cols>
          <w:pgMar w:left="240" w:top="901" w:right="239" w:bottom="1440" w:gutter="0" w:footer="0" w:header="0"/>
        </w:sectPr>
      </w:pPr>
    </w:p>
    <w:p>
      <w:pPr>
        <w:spacing w:after="0"/>
        <w:rPr>
          <w:sz w:val="20"/>
          <w:szCs w:val="20"/>
          <w:color w:val="auto"/>
        </w:rPr>
      </w:pPr>
      <w:r>
        <w:rPr>
          <w:rFonts w:ascii="Arial" w:cs="Arial" w:eastAsia="Arial" w:hAnsi="Arial"/>
          <w:sz w:val="15"/>
          <w:szCs w:val="15"/>
          <w:color w:val="auto"/>
        </w:rPr>
        <w:t>Spread: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None</w:t>
      </w:r>
    </w:p>
    <w:p>
      <w:pPr>
        <w:spacing w:after="0" w:line="152" w:lineRule="exact"/>
        <w:rPr>
          <w:sz w:val="20"/>
          <w:szCs w:val="20"/>
          <w:color w:val="auto"/>
        </w:rPr>
      </w:pPr>
    </w:p>
    <w:p>
      <w:pPr>
        <w:sectPr>
          <w:pgSz w:w="11900" w:h="16838" w:orient="portrait"/>
          <w:cols w:equalWidth="0" w:num="2">
            <w:col w:w="3180" w:space="720"/>
            <w:col w:w="7520"/>
          </w:cols>
          <w:pgMar w:left="240" w:top="901" w:right="239" w:bottom="1440" w:gutter="0" w:footer="0" w:header="0"/>
          <w:type w:val="continuous"/>
        </w:sectPr>
      </w:pPr>
    </w:p>
    <w:p>
      <w:pPr>
        <w:spacing w:after="0"/>
        <w:rPr>
          <w:sz w:val="20"/>
          <w:szCs w:val="20"/>
          <w:color w:val="auto"/>
        </w:rPr>
      </w:pPr>
      <w:r>
        <w:rPr>
          <w:rFonts w:ascii="Arial" w:cs="Arial" w:eastAsia="Arial" w:hAnsi="Arial"/>
          <w:sz w:val="16"/>
          <w:szCs w:val="16"/>
          <w:color w:val="auto"/>
        </w:rPr>
        <w:t>Floating Rate Day Count Fraction: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Actual/360</w:t>
      </w:r>
    </w:p>
    <w:p>
      <w:pPr>
        <w:spacing w:after="0" w:line="140" w:lineRule="exact"/>
        <w:rPr>
          <w:sz w:val="20"/>
          <w:szCs w:val="20"/>
          <w:color w:val="auto"/>
        </w:rPr>
      </w:pPr>
    </w:p>
    <w:p>
      <w:pPr>
        <w:sectPr>
          <w:pgSz w:w="11900" w:h="16838" w:orient="portrait"/>
          <w:cols w:equalWidth="0" w:num="2">
            <w:col w:w="3180" w:space="720"/>
            <w:col w:w="7520"/>
          </w:cols>
          <w:pgMar w:left="240" w:top="901" w:right="239" w:bottom="1440" w:gutter="0" w:footer="0" w:header="0"/>
          <w:type w:val="continuous"/>
        </w:sectPr>
      </w:pPr>
    </w:p>
    <w:p>
      <w:pPr>
        <w:spacing w:after="0"/>
        <w:rPr>
          <w:sz w:val="20"/>
          <w:szCs w:val="20"/>
          <w:color w:val="auto"/>
        </w:rPr>
      </w:pPr>
      <w:r>
        <w:rPr>
          <w:rFonts w:ascii="Arial" w:cs="Arial" w:eastAsia="Arial" w:hAnsi="Arial"/>
          <w:sz w:val="15"/>
          <w:szCs w:val="15"/>
          <w:color w:val="auto"/>
        </w:rPr>
        <w:t>Reset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first day of each Calculation Period.</w:t>
      </w:r>
    </w:p>
    <w:p>
      <w:pPr>
        <w:spacing w:after="0" w:line="140" w:lineRule="exact"/>
        <w:rPr>
          <w:sz w:val="20"/>
          <w:szCs w:val="20"/>
          <w:color w:val="auto"/>
        </w:rPr>
      </w:pPr>
    </w:p>
    <w:p>
      <w:pPr>
        <w:sectPr>
          <w:pgSz w:w="11900" w:h="16838" w:orient="portrait"/>
          <w:cols w:equalWidth="0" w:num="2">
            <w:col w:w="3180" w:space="720"/>
            <w:col w:w="7520"/>
          </w:cols>
          <w:pgMar w:left="240" w:top="901"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Compounding: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Inapplicable</w:t>
      </w:r>
    </w:p>
    <w:p>
      <w:pPr>
        <w:spacing w:after="0" w:line="140" w:lineRule="exact"/>
        <w:rPr>
          <w:sz w:val="20"/>
          <w:szCs w:val="20"/>
          <w:color w:val="auto"/>
        </w:rPr>
      </w:pPr>
    </w:p>
    <w:p>
      <w:pPr>
        <w:sectPr>
          <w:pgSz w:w="11900" w:h="16838" w:orient="portrait"/>
          <w:cols w:equalWidth="0" w:num="2">
            <w:col w:w="3180" w:space="720"/>
            <w:col w:w="7520"/>
          </w:cols>
          <w:pgMar w:left="240" w:top="901" w:right="239" w:bottom="1440" w:gutter="0" w:footer="0" w:header="0"/>
          <w:type w:val="continuous"/>
        </w:sectPr>
      </w:pPr>
    </w:p>
    <w:p>
      <w:pPr>
        <w:spacing w:after="0"/>
        <w:rPr>
          <w:sz w:val="20"/>
          <w:szCs w:val="20"/>
          <w:color w:val="auto"/>
        </w:rPr>
      </w:pPr>
      <w:r>
        <w:rPr>
          <w:rFonts w:ascii="Arial" w:cs="Arial" w:eastAsia="Arial" w:hAnsi="Arial"/>
          <w:sz w:val="15"/>
          <w:szCs w:val="15"/>
          <w:color w:val="auto"/>
        </w:rPr>
        <w:t>Business Days: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New York, London</w:t>
      </w:r>
    </w:p>
    <w:p>
      <w:pPr>
        <w:spacing w:after="0" w:line="140" w:lineRule="exact"/>
        <w:rPr>
          <w:sz w:val="20"/>
          <w:szCs w:val="20"/>
          <w:color w:val="auto"/>
        </w:rPr>
      </w:pPr>
    </w:p>
    <w:p>
      <w:pPr>
        <w:sectPr>
          <w:pgSz w:w="11900" w:h="16838" w:orient="portrait"/>
          <w:cols w:equalWidth="0" w:num="2">
            <w:col w:w="3180" w:space="720"/>
            <w:col w:w="7520"/>
          </w:cols>
          <w:pgMar w:left="240" w:top="901" w:right="239" w:bottom="1440" w:gutter="0" w:footer="0" w:header="0"/>
          <w:type w:val="continuous"/>
        </w:sectPr>
      </w:pPr>
    </w:p>
    <w:p>
      <w:pPr>
        <w:spacing w:after="0"/>
        <w:rPr>
          <w:sz w:val="20"/>
          <w:szCs w:val="20"/>
          <w:color w:val="auto"/>
        </w:rPr>
      </w:pPr>
      <w:r>
        <w:rPr>
          <w:rFonts w:ascii="Arial" w:cs="Arial" w:eastAsia="Arial" w:hAnsi="Arial"/>
          <w:sz w:val="16"/>
          <w:szCs w:val="16"/>
          <w:color w:val="auto"/>
        </w:rPr>
        <w:t>Calculation Agent: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JPMorgan, unless otherwise stated in the Agreement.</w:t>
      </w:r>
    </w:p>
    <w:p>
      <w:pPr>
        <w:spacing w:after="0" w:line="211" w:lineRule="exact"/>
        <w:rPr>
          <w:sz w:val="20"/>
          <w:szCs w:val="20"/>
          <w:color w:val="auto"/>
        </w:rPr>
      </w:pPr>
    </w:p>
    <w:p>
      <w:pPr>
        <w:sectPr>
          <w:pgSz w:w="11900" w:h="16838" w:orient="portrait"/>
          <w:cols w:equalWidth="0" w:num="2">
            <w:col w:w="3180" w:space="720"/>
            <w:col w:w="7520"/>
          </w:cols>
          <w:pgMar w:left="240" w:top="901" w:right="23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 ACCOUNT DETAILS</w:t>
      </w:r>
    </w:p>
    <w:p>
      <w:pPr>
        <w:sectPr>
          <w:pgSz w:w="11900" w:h="16838" w:orient="portrait"/>
          <w:cols w:equalWidth="0" w:num="1">
            <w:col w:w="11420"/>
          </w:cols>
          <w:pgMar w:left="240" w:top="901" w:right="23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Payments to JPMorgan in USD:</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JPMORGAN CHASE BANK, NATIONAL ASSOCIATION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BIC: CHASUS33XXX</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AC No: 099997979</w:t>
      </w:r>
    </w:p>
    <w:p>
      <w:pPr>
        <w:spacing w:after="0" w:line="111" w:lineRule="exact"/>
        <w:rPr>
          <w:sz w:val="20"/>
          <w:szCs w:val="20"/>
          <w:color w:val="auto"/>
        </w:rPr>
      </w:pPr>
    </w:p>
    <w:p>
      <w:pPr>
        <w:sectPr>
          <w:pgSz w:w="11900" w:h="16838" w:orient="portrait"/>
          <w:cols w:equalWidth="0" w:num="2">
            <w:col w:w="3180" w:space="720"/>
            <w:col w:w="7520"/>
          </w:cols>
          <w:pgMar w:left="240" w:top="901" w:right="239" w:bottom="1440" w:gutter="0" w:footer="0" w:header="0"/>
          <w:type w:val="continuous"/>
        </w:sectPr>
      </w:pPr>
    </w:p>
    <w:p>
      <w:pPr>
        <w:spacing w:after="0"/>
        <w:rPr>
          <w:sz w:val="20"/>
          <w:szCs w:val="20"/>
          <w:color w:val="auto"/>
        </w:rPr>
      </w:pPr>
      <w:r>
        <w:rPr>
          <w:rFonts w:ascii="Arial" w:cs="Arial" w:eastAsia="Arial" w:hAnsi="Arial"/>
          <w:sz w:val="16"/>
          <w:szCs w:val="16"/>
          <w:color w:val="auto"/>
        </w:rPr>
        <w:t>Payments to Counterparty in USD: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As per your standard settlement instructions.</w:t>
      </w:r>
    </w:p>
    <w:p>
      <w:pPr>
        <w:spacing w:after="0" w:line="211" w:lineRule="exact"/>
        <w:rPr>
          <w:sz w:val="20"/>
          <w:szCs w:val="20"/>
          <w:color w:val="auto"/>
        </w:rPr>
      </w:pPr>
    </w:p>
    <w:p>
      <w:pPr>
        <w:sectPr>
          <w:pgSz w:w="11900" w:h="16838" w:orient="portrait"/>
          <w:cols w:equalWidth="0" w:num="2">
            <w:col w:w="3180" w:space="720"/>
            <w:col w:w="7520"/>
          </w:cols>
          <w:pgMar w:left="240" w:top="901" w:right="239" w:bottom="1440" w:gutter="0" w:footer="0" w:header="0"/>
          <w:type w:val="continuous"/>
        </w:sectPr>
      </w:pP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 OFFICES</w:t>
      </w:r>
    </w:p>
    <w:p>
      <w:pPr>
        <w:sectPr>
          <w:pgSz w:w="11900" w:h="16838" w:orient="portrait"/>
          <w:cols w:equalWidth="0" w:num="1">
            <w:col w:w="11420"/>
          </w:cols>
          <w:pgMar w:left="240" w:top="901" w:right="239" w:bottom="1440" w:gutter="0" w:footer="0" w:header="0"/>
          <w:type w:val="continuous"/>
        </w:sectPr>
      </w:pP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JPMorgan:</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NEW YORK</w:t>
      </w:r>
    </w:p>
    <w:p>
      <w:pPr>
        <w:spacing w:after="0" w:line="140" w:lineRule="exact"/>
        <w:rPr>
          <w:sz w:val="20"/>
          <w:szCs w:val="20"/>
          <w:color w:val="auto"/>
        </w:rPr>
      </w:pPr>
    </w:p>
    <w:p>
      <w:pPr>
        <w:sectPr>
          <w:pgSz w:w="11900" w:h="16838" w:orient="portrait"/>
          <w:cols w:equalWidth="0" w:num="2">
            <w:col w:w="3180" w:space="720"/>
            <w:col w:w="7520"/>
          </w:cols>
          <w:pgMar w:left="240" w:top="901" w:right="239" w:bottom="1440" w:gutter="0" w:footer="0" w:header="0"/>
          <w:type w:val="continuous"/>
        </w:sectPr>
      </w:pPr>
    </w:p>
    <w:p>
      <w:pPr>
        <w:spacing w:after="0"/>
        <w:rPr>
          <w:sz w:val="20"/>
          <w:szCs w:val="20"/>
          <w:color w:val="auto"/>
        </w:rPr>
      </w:pPr>
      <w:r>
        <w:rPr>
          <w:rFonts w:ascii="Arial" w:cs="Arial" w:eastAsia="Arial" w:hAnsi="Arial"/>
          <w:sz w:val="16"/>
          <w:szCs w:val="16"/>
          <w:color w:val="auto"/>
        </w:rPr>
        <w:t>Counterparty: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CENTENNIAL</w:t>
      </w:r>
    </w:p>
    <w:p>
      <w:pPr>
        <w:spacing w:after="0" w:line="200" w:lineRule="exact"/>
        <w:rPr>
          <w:sz w:val="20"/>
          <w:szCs w:val="20"/>
          <w:color w:val="auto"/>
        </w:rPr>
      </w:pPr>
    </w:p>
    <w:p>
      <w:pPr>
        <w:sectPr>
          <w:pgSz w:w="11900" w:h="16838" w:orient="portrait"/>
          <w:cols w:equalWidth="0" w:num="2">
            <w:col w:w="3180" w:space="720"/>
            <w:col w:w="7520"/>
          </w:cols>
          <w:pgMar w:left="240" w:top="901" w:right="2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 GOVERNING LAW</w:t>
      </w:r>
    </w:p>
    <w:p>
      <w:pPr>
        <w:spacing w:after="0" w:line="9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The laws of the State of New York, provided, however, that upon execution of the Master Agreement, this Confirmation shall be governed by the law governing such Master Agreement.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DOCUMENTS TO BE DELIVERED</w:t>
      </w:r>
    </w:p>
    <w:p>
      <w:pPr>
        <w:spacing w:after="0" w:line="96"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Each party shall deliver to the other, at the time of its execution of this Confirmation, evidence of the incumbency and specimen signature of the person(s) executing this Confirmation, unless such evidence has been previously supplied and remains true and in effect.</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 RELATIONSHIP BETWEEN PARTIES</w:t>
      </w:r>
    </w:p>
    <w:p>
      <w:pPr>
        <w:spacing w:after="0" w:line="9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Each party will be deemed to represent to the other party on the date on which it enters into a Transaction that (absent a written agreement between the parties that expressly imposes affirmative obligations to the contrary for that Transaction):</w:t>
      </w:r>
    </w:p>
    <w:p>
      <w:pPr>
        <w:spacing w:after="0" w:line="132" w:lineRule="exact"/>
        <w:rPr>
          <w:sz w:val="20"/>
          <w:szCs w:val="20"/>
          <w:color w:val="auto"/>
        </w:rPr>
      </w:pPr>
    </w:p>
    <w:p>
      <w:pPr>
        <w:ind w:right="140" w:firstLine="8"/>
        <w:spacing w:after="0" w:line="298" w:lineRule="auto"/>
        <w:tabs>
          <w:tab w:leader="none" w:pos="239"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 xml:space="preserve">Non-Reliance. </w:t>
      </w:r>
      <w:r>
        <w:rPr>
          <w:rFonts w:ascii="Arial" w:cs="Arial" w:eastAsia="Arial" w:hAnsi="Arial"/>
          <w:sz w:val="16"/>
          <w:szCs w:val="16"/>
          <w:color w:val="auto"/>
        </w:rPr>
        <w:t>It is acting for its own account, and it has made its own independent decisions to enter into that Transaction and as to whether that Transaction</w:t>
      </w:r>
      <w:r>
        <w:rPr>
          <w:rFonts w:ascii="Arial" w:cs="Arial" w:eastAsia="Arial" w:hAnsi="Arial"/>
          <w:sz w:val="16"/>
          <w:szCs w:val="16"/>
          <w:i w:val="1"/>
          <w:iCs w:val="1"/>
          <w:color w:val="auto"/>
        </w:rPr>
        <w:t xml:space="preserve"> </w:t>
      </w:r>
      <w:r>
        <w:rPr>
          <w:rFonts w:ascii="Arial" w:cs="Arial" w:eastAsia="Arial" w:hAnsi="Arial"/>
          <w:sz w:val="16"/>
          <w:szCs w:val="16"/>
          <w:color w:val="auto"/>
        </w:rPr>
        <w:t>is appropriate or proper for it based upon its own judgment and upon advice from such advisers as it has deemed necessary. It is not relying on any communication (written or oral) of the other party as investment advice or as a recommendation to enter into that Transaction; it being understood that information and explanations related to the terms and conditions of a Transaction shall not be considered investment advice or a recommendation to enter into</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5</w:t>
      </w:r>
    </w:p>
    <w:p>
      <w:pPr>
        <w:sectPr>
          <w:pgSz w:w="11900" w:h="16838" w:orient="portrait"/>
          <w:cols w:equalWidth="0" w:num="1">
            <w:col w:w="11420"/>
          </w:cols>
          <w:pgMar w:left="240" w:top="901" w:right="239" w:bottom="1440" w:gutter="0" w:footer="0" w:header="0"/>
          <w:type w:val="continuous"/>
        </w:sectPr>
      </w:pPr>
    </w:p>
    <w:bookmarkStart w:id="69" w:name="page70"/>
    <w:bookmarkEnd w:id="69"/>
    <w:p>
      <w:pPr>
        <w:ind w:right="1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6195060</wp:posOffset>
            </wp:positionH>
            <wp:positionV relativeFrom="page">
              <wp:posOffset>183515</wp:posOffset>
            </wp:positionV>
            <wp:extent cx="1209040" cy="23177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1209040" cy="231775"/>
                    </a:xfrm>
                    <a:prstGeom prst="rect">
                      <a:avLst/>
                    </a:prstGeom>
                    <a:noFill/>
                  </pic:spPr>
                </pic:pic>
              </a:graphicData>
            </a:graphic>
          </wp:anchor>
        </w:drawing>
        <w:t>that Transaction. No communication (written or oral) received from the other party shall be deemed to be an assurance or guarantee as to the expected results of that Transaction.</w:t>
      </w:r>
    </w:p>
    <w:p>
      <w:pPr>
        <w:spacing w:after="0" w:line="132" w:lineRule="exact"/>
        <w:rPr>
          <w:sz w:val="20"/>
          <w:szCs w:val="20"/>
          <w:color w:val="auto"/>
        </w:rPr>
      </w:pPr>
    </w:p>
    <w:p>
      <w:pPr>
        <w:ind w:firstLine="8"/>
        <w:spacing w:after="0" w:line="332" w:lineRule="auto"/>
        <w:tabs>
          <w:tab w:leader="none" w:pos="249" w:val="left"/>
        </w:tabs>
        <w:numPr>
          <w:ilvl w:val="0"/>
          <w:numId w:val="98"/>
        </w:numPr>
        <w:rPr>
          <w:rFonts w:ascii="Arial" w:cs="Arial" w:eastAsia="Arial" w:hAnsi="Arial"/>
          <w:sz w:val="16"/>
          <w:szCs w:val="16"/>
          <w:color w:val="auto"/>
        </w:rPr>
      </w:pPr>
      <w:r>
        <w:rPr>
          <w:rFonts w:ascii="Arial" w:cs="Arial" w:eastAsia="Arial" w:hAnsi="Arial"/>
          <w:sz w:val="16"/>
          <w:szCs w:val="16"/>
          <w:i w:val="1"/>
          <w:iCs w:val="1"/>
          <w:color w:val="auto"/>
        </w:rPr>
        <w:t xml:space="preserve">Assessment and Understanding. </w:t>
      </w:r>
      <w:r>
        <w:rPr>
          <w:rFonts w:ascii="Arial" w:cs="Arial" w:eastAsia="Arial" w:hAnsi="Arial"/>
          <w:sz w:val="16"/>
          <w:szCs w:val="16"/>
          <w:color w:val="auto"/>
        </w:rPr>
        <w:t>It is capable of assessing the merits of and understanding (on its own behalf or through independent professional advice), and</w:t>
      </w:r>
      <w:r>
        <w:rPr>
          <w:rFonts w:ascii="Arial" w:cs="Arial" w:eastAsia="Arial" w:hAnsi="Arial"/>
          <w:sz w:val="16"/>
          <w:szCs w:val="16"/>
          <w:i w:val="1"/>
          <w:iCs w:val="1"/>
          <w:color w:val="auto"/>
        </w:rPr>
        <w:t xml:space="preserve"> </w:t>
      </w:r>
      <w:r>
        <w:rPr>
          <w:rFonts w:ascii="Arial" w:cs="Arial" w:eastAsia="Arial" w:hAnsi="Arial"/>
          <w:sz w:val="16"/>
          <w:szCs w:val="16"/>
          <w:color w:val="auto"/>
        </w:rPr>
        <w:t>understands and accepts, the terms, conditions and risks of that Transaction. It is capable of assuming, and assumes the risks of that Transaction.</w:t>
      </w:r>
    </w:p>
    <w:p>
      <w:pPr>
        <w:spacing w:after="0" w:line="85" w:lineRule="exact"/>
        <w:rPr>
          <w:rFonts w:ascii="Arial" w:cs="Arial" w:eastAsia="Arial" w:hAnsi="Arial"/>
          <w:sz w:val="16"/>
          <w:szCs w:val="16"/>
          <w:color w:val="auto"/>
        </w:rPr>
      </w:pPr>
    </w:p>
    <w:p>
      <w:pPr>
        <w:ind w:left="240" w:hanging="232"/>
        <w:spacing w:after="0"/>
        <w:tabs>
          <w:tab w:leader="none" w:pos="240" w:val="left"/>
        </w:tabs>
        <w:numPr>
          <w:ilvl w:val="0"/>
          <w:numId w:val="98"/>
        </w:numPr>
        <w:rPr>
          <w:rFonts w:ascii="Arial" w:cs="Arial" w:eastAsia="Arial" w:hAnsi="Arial"/>
          <w:sz w:val="18"/>
          <w:szCs w:val="18"/>
          <w:color w:val="auto"/>
        </w:rPr>
      </w:pPr>
      <w:r>
        <w:rPr>
          <w:rFonts w:ascii="Arial" w:cs="Arial" w:eastAsia="Arial" w:hAnsi="Arial"/>
          <w:sz w:val="18"/>
          <w:szCs w:val="18"/>
          <w:i w:val="1"/>
          <w:iCs w:val="1"/>
          <w:color w:val="auto"/>
        </w:rPr>
        <w:t xml:space="preserve">Status of Parties. </w:t>
      </w:r>
      <w:r>
        <w:rPr>
          <w:rFonts w:ascii="Arial" w:cs="Arial" w:eastAsia="Arial" w:hAnsi="Arial"/>
          <w:sz w:val="18"/>
          <w:szCs w:val="18"/>
          <w:color w:val="auto"/>
        </w:rPr>
        <w:t>The other party is not acting as a fiduciary for or an adviser to it in respect of that Transaction.</w:t>
      </w:r>
    </w:p>
    <w:p>
      <w:pPr>
        <w:spacing w:after="0" w:line="171"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Please confirm that the foregoing correctly sets forth the terms of our agreement by executing a copy of this Confirmation and returning it to us or by sending to us a letter, telex or facsimile substantially similar to this letter, which letter, telex or facsimile sets forth the material terms of the Transaction to which this Confirmation relates and indicates agreement to those terms. When referring to this Confirmation, please indicate: JPMorgan Deal Number(s): 6900033659368</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JPMorgan Chase Bank, 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148590</wp:posOffset>
            </wp:positionV>
            <wp:extent cx="1286510" cy="4629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86510" cy="462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STARTSIGNATURE:U284298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Carmine Pilla</w:t>
      </w: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8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Name:</w:t>
            </w:r>
          </w:p>
        </w:tc>
        <w:tc>
          <w:tcPr>
            <w:tcW w:w="514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Carmine Pilla</w:t>
            </w:r>
          </w:p>
        </w:tc>
      </w:tr>
      <w:tr>
        <w:trPr>
          <w:trHeight w:val="222"/>
        </w:trPr>
        <w:tc>
          <w:tcPr>
            <w:tcW w:w="820" w:type="dxa"/>
            <w:vAlign w:val="bottom"/>
          </w:tcPr>
          <w:p>
            <w:pPr>
              <w:spacing w:after="0"/>
              <w:rPr>
                <w:sz w:val="20"/>
                <w:szCs w:val="20"/>
                <w:color w:val="auto"/>
              </w:rPr>
            </w:pPr>
            <w:r>
              <w:rPr>
                <w:rFonts w:ascii="Arial" w:cs="Arial" w:eastAsia="Arial" w:hAnsi="Arial"/>
                <w:sz w:val="18"/>
                <w:szCs w:val="18"/>
                <w:color w:val="auto"/>
              </w:rPr>
              <w:t>Title:</w:t>
            </w:r>
          </w:p>
        </w:tc>
        <w:tc>
          <w:tcPr>
            <w:tcW w:w="5140" w:type="dxa"/>
            <w:vAlign w:val="bottom"/>
          </w:tcPr>
          <w:p>
            <w:pPr>
              <w:ind w:left="340"/>
              <w:spacing w:after="0"/>
              <w:rPr>
                <w:sz w:val="20"/>
                <w:szCs w:val="20"/>
                <w:color w:val="auto"/>
              </w:rPr>
            </w:pPr>
            <w:r>
              <w:rPr>
                <w:rFonts w:ascii="Arial" w:cs="Arial" w:eastAsia="Arial" w:hAnsi="Arial"/>
                <w:sz w:val="18"/>
                <w:szCs w:val="18"/>
                <w:color w:val="auto"/>
              </w:rPr>
              <w:t>Vice President</w:t>
            </w:r>
          </w:p>
        </w:tc>
      </w:tr>
    </w:tbl>
    <w:p>
      <w:pPr>
        <w:spacing w:after="0" w:line="156" w:lineRule="exact"/>
        <w:rPr>
          <w:sz w:val="20"/>
          <w:szCs w:val="20"/>
          <w:color w:val="auto"/>
        </w:rPr>
      </w:pPr>
    </w:p>
    <w:p>
      <w:pPr>
        <w:spacing w:after="0"/>
        <w:rPr>
          <w:sz w:val="20"/>
          <w:szCs w:val="20"/>
          <w:color w:val="auto"/>
        </w:rPr>
      </w:pPr>
      <w:r>
        <w:rPr>
          <w:rFonts w:ascii="Arial" w:cs="Arial" w:eastAsia="Arial" w:hAnsi="Arial"/>
          <w:sz w:val="18"/>
          <w:szCs w:val="18"/>
          <w:color w:val="auto"/>
        </w:rPr>
        <w:t>Accepted and confirmed as of the date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first written: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CINEMEDIA LLC</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2898775"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Gary W. Ferrera</w:t>
      </w:r>
    </w:p>
    <w:p>
      <w:pPr>
        <w:spacing w:after="0" w:line="1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CFO/EVP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Your reference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1402715</wp:posOffset>
            </wp:positionH>
            <wp:positionV relativeFrom="paragraph">
              <wp:posOffset>-635</wp:posOffset>
            </wp:positionV>
            <wp:extent cx="15005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500505" cy="8890"/>
                    </a:xfrm>
                    <a:prstGeom prst="rect">
                      <a:avLst/>
                    </a:prstGeom>
                    <a:noFill/>
                  </pic:spPr>
                </pic:pic>
              </a:graphicData>
            </a:graphic>
          </wp:anchor>
        </w:drawing>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5</w:t>
      </w:r>
    </w:p>
    <w:p>
      <w:pPr>
        <w:sectPr>
          <w:pgSz w:w="11900" w:h="16838" w:orient="portrait"/>
          <w:cols w:equalWidth="0" w:num="1">
            <w:col w:w="11360"/>
          </w:cols>
          <w:pgMar w:left="240" w:top="793" w:right="29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7575" cy="27940"/>
                    </a:xfrm>
                    <a:prstGeom prst="rect">
                      <a:avLst/>
                    </a:prstGeom>
                    <a:noFill/>
                  </pic:spPr>
                </pic:pic>
              </a:graphicData>
            </a:graphic>
          </wp:anchor>
        </w:drawing>
        <w:drawing>
          <wp:anchor simplePos="0" relativeHeight="251657728" behindDoc="1" locked="0" layoutInCell="0" allowOverlap="1">
            <wp:simplePos x="0" y="0"/>
            <wp:positionH relativeFrom="page">
              <wp:posOffset>6195060</wp:posOffset>
            </wp:positionH>
            <wp:positionV relativeFrom="page">
              <wp:posOffset>183515</wp:posOffset>
            </wp:positionV>
            <wp:extent cx="1209040" cy="23177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1209040" cy="231775"/>
                    </a:xfrm>
                    <a:prstGeom prst="rect">
                      <a:avLst/>
                    </a:prstGeom>
                    <a:noFill/>
                  </pic:spPr>
                </pic:pic>
              </a:graphicData>
            </a:graphic>
          </wp:anchor>
        </w:drawing>
        <w:t>Client Service Group</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queries regarding confirmations should be sent to:</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JPMorgan Chase Bank, N.A.</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5"/>
              </w:rPr>
              <w:t>Contacts</w:t>
            </w:r>
          </w:p>
        </w:tc>
        <w:tc>
          <w:tcPr>
            <w:tcW w:w="1360" w:type="dxa"/>
            <w:vAlign w:val="bottom"/>
          </w:tcPr>
          <w:p>
            <w:pPr>
              <w:spacing w:after="0"/>
              <w:rPr>
                <w:sz w:val="17"/>
                <w:szCs w:val="17"/>
                <w:color w:val="auto"/>
              </w:rPr>
            </w:pPr>
          </w:p>
        </w:tc>
        <w:tc>
          <w:tcPr>
            <w:tcW w:w="1740" w:type="dxa"/>
            <w:vAlign w:val="bottom"/>
          </w:tcPr>
          <w:p>
            <w:pPr>
              <w:spacing w:after="0"/>
              <w:rPr>
                <w:sz w:val="17"/>
                <w:szCs w:val="17"/>
                <w:color w:val="auto"/>
              </w:rPr>
            </w:pPr>
          </w:p>
        </w:tc>
      </w:tr>
      <w:tr>
        <w:trPr>
          <w:trHeight w:val="235"/>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JPMorgan Contact</w:t>
            </w:r>
          </w:p>
        </w:tc>
        <w:tc>
          <w:tcPr>
            <w:tcW w:w="1740" w:type="dxa"/>
            <w:vAlign w:val="bottom"/>
          </w:tcPr>
          <w:p>
            <w:pPr>
              <w:ind w:left="300"/>
              <w:spacing w:after="0"/>
              <w:rPr>
                <w:sz w:val="20"/>
                <w:szCs w:val="20"/>
                <w:color w:val="auto"/>
              </w:rPr>
            </w:pPr>
            <w:r>
              <w:rPr>
                <w:rFonts w:ascii="Arial" w:cs="Arial" w:eastAsia="Arial" w:hAnsi="Arial"/>
                <w:sz w:val="18"/>
                <w:szCs w:val="18"/>
                <w:b w:val="1"/>
                <w:bCs w:val="1"/>
                <w:color w:val="auto"/>
                <w:w w:val="87"/>
              </w:rPr>
              <w:t>Telephone Number</w:t>
            </w:r>
          </w:p>
        </w:tc>
      </w:tr>
      <w:tr>
        <w:trPr>
          <w:trHeight w:val="324"/>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Client Service Group</w:t>
            </w:r>
          </w:p>
        </w:tc>
        <w:tc>
          <w:tcPr>
            <w:tcW w:w="1740" w:type="dxa"/>
            <w:vAlign w:val="bottom"/>
          </w:tcPr>
          <w:p>
            <w:pPr>
              <w:ind w:left="300"/>
              <w:spacing w:after="0"/>
              <w:rPr>
                <w:sz w:val="20"/>
                <w:szCs w:val="20"/>
                <w:color w:val="auto"/>
              </w:rPr>
            </w:pPr>
            <w:r>
              <w:rPr>
                <w:rFonts w:ascii="Arial" w:cs="Arial" w:eastAsia="Arial" w:hAnsi="Arial"/>
                <w:sz w:val="18"/>
                <w:szCs w:val="18"/>
                <w:b w:val="1"/>
                <w:bCs w:val="1"/>
                <w:color w:val="auto"/>
                <w:w w:val="93"/>
              </w:rPr>
              <w:t>(001 ) 3026344960</w:t>
            </w:r>
          </w:p>
        </w:tc>
      </w:tr>
      <w:tr>
        <w:trPr>
          <w:trHeight w:val="312"/>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Group E-mail address:</w:t>
            </w:r>
          </w:p>
        </w:tc>
        <w:tc>
          <w:tcPr>
            <w:tcW w:w="1740" w:type="dxa"/>
            <w:vAlign w:val="bottom"/>
          </w:tcPr>
          <w:p>
            <w:pPr>
              <w:spacing w:after="0"/>
              <w:rPr>
                <w:sz w:val="24"/>
                <w:szCs w:val="24"/>
                <w:color w:val="auto"/>
              </w:rPr>
            </w:pP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Facsimile:</w:t>
            </w:r>
          </w:p>
        </w:tc>
        <w:tc>
          <w:tcPr>
            <w:tcW w:w="1740" w:type="dxa"/>
            <w:vAlign w:val="bottom"/>
          </w:tcPr>
          <w:p>
            <w:pPr>
              <w:ind w:left="300"/>
              <w:spacing w:after="0"/>
              <w:rPr>
                <w:sz w:val="20"/>
                <w:szCs w:val="20"/>
                <w:color w:val="auto"/>
              </w:rPr>
            </w:pPr>
            <w:r>
              <w:rPr>
                <w:rFonts w:ascii="Arial" w:cs="Arial" w:eastAsia="Arial" w:hAnsi="Arial"/>
                <w:sz w:val="18"/>
                <w:szCs w:val="18"/>
                <w:b w:val="1"/>
                <w:bCs w:val="1"/>
                <w:color w:val="auto"/>
                <w:w w:val="87"/>
              </w:rPr>
              <w:t>(001 ) 888 803 3606</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Telex:</w:t>
            </w:r>
          </w:p>
        </w:tc>
        <w:tc>
          <w:tcPr>
            <w:tcW w:w="1740" w:type="dxa"/>
            <w:vAlign w:val="bottom"/>
          </w:tcPr>
          <w:p>
            <w:pPr>
              <w:spacing w:after="0"/>
              <w:rPr>
                <w:sz w:val="18"/>
                <w:szCs w:val="18"/>
                <w:color w:val="auto"/>
              </w:rPr>
            </w:pPr>
          </w:p>
        </w:tc>
      </w:tr>
      <w:tr>
        <w:trPr>
          <w:trHeight w:val="228"/>
        </w:trPr>
        <w:tc>
          <w:tcPr>
            <w:tcW w:w="2040" w:type="dxa"/>
            <w:vAlign w:val="bottom"/>
            <w:gridSpan w:val="2"/>
          </w:tcPr>
          <w:p>
            <w:pPr>
              <w:spacing w:after="0"/>
              <w:rPr>
                <w:sz w:val="20"/>
                <w:szCs w:val="20"/>
                <w:color w:val="auto"/>
              </w:rPr>
            </w:pPr>
            <w:r>
              <w:rPr>
                <w:rFonts w:ascii="Arial" w:cs="Arial" w:eastAsia="Arial" w:hAnsi="Arial"/>
                <w:sz w:val="18"/>
                <w:szCs w:val="18"/>
                <w:b w:val="1"/>
                <w:bCs w:val="1"/>
                <w:color w:val="auto"/>
              </w:rPr>
              <w:t>Cable:</w:t>
            </w:r>
          </w:p>
        </w:tc>
        <w:tc>
          <w:tcPr>
            <w:tcW w:w="1740" w:type="dxa"/>
            <w:vAlign w:val="bottom"/>
          </w:tcPr>
          <w:p>
            <w:pPr>
              <w:spacing w:after="0"/>
              <w:rPr>
                <w:sz w:val="19"/>
                <w:szCs w:val="19"/>
                <w:color w:val="auto"/>
              </w:rPr>
            </w:pPr>
          </w:p>
        </w:tc>
      </w:tr>
    </w:tbl>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quote the JPMorgan deal number(s): 6900033659368.</w:t>
      </w:r>
    </w:p>
    <w:p>
      <w:pPr>
        <w:spacing w:after="0" w:line="158" w:lineRule="exact"/>
        <w:rPr>
          <w:sz w:val="20"/>
          <w:szCs w:val="20"/>
          <w:color w:val="auto"/>
        </w:rPr>
      </w:pPr>
    </w:p>
    <w:p>
      <w:pPr>
        <w:jc w:val="right"/>
        <w:ind w:right="4099"/>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5</w:t>
      </w:r>
    </w:p>
    <w:p>
      <w:pPr>
        <w:sectPr>
          <w:pgSz w:w="11900" w:h="16838" w:orient="portrait"/>
          <w:cols w:equalWidth="0" w:num="1">
            <w:col w:w="10219"/>
          </w:cols>
          <w:pgMar w:left="240" w:top="787" w:right="1440" w:bottom="1440" w:gutter="0" w:footer="0" w:header="0"/>
        </w:sectPr>
      </w:pPr>
    </w:p>
    <w:bookmarkStart w:id="71" w:name="page72"/>
    <w:bookmarkEnd w:id="71"/>
    <w:p>
      <w:pPr>
        <w:jc w:val="right"/>
        <w:spacing w:after="0"/>
        <w:rPr>
          <w:sz w:val="20"/>
          <w:szCs w:val="20"/>
          <w:color w:val="auto"/>
        </w:rPr>
      </w:pPr>
      <w:r>
        <w:rPr>
          <w:rFonts w:ascii="Arial" w:cs="Arial" w:eastAsia="Arial" w:hAnsi="Arial"/>
          <w:sz w:val="18"/>
          <w:szCs w:val="18"/>
          <w:b w:val="1"/>
          <w:bCs w:val="1"/>
          <w:color w:val="auto"/>
        </w:rPr>
        <w:t>Exhibit 10.4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(Multicurrency-Cross Border)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118110</wp:posOffset>
            </wp:positionV>
            <wp:extent cx="1629410" cy="44577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294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International Swaps and Derivatives Association,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6, 2007</w:t>
      </w:r>
    </w:p>
    <w:p>
      <w:pPr>
        <w:spacing w:after="0" w:line="206" w:lineRule="exact"/>
        <w:rPr>
          <w:sz w:val="20"/>
          <w:szCs w:val="20"/>
          <w:color w:val="auto"/>
        </w:rPr>
      </w:pPr>
    </w:p>
    <w:p>
      <w:pPr>
        <w:ind w:left="1540"/>
        <w:spacing w:after="0"/>
        <w:tabs>
          <w:tab w:leader="none" w:pos="7360" w:val="left"/>
        </w:tabs>
        <w:rPr>
          <w:sz w:val="20"/>
          <w:szCs w:val="20"/>
          <w:color w:val="auto"/>
        </w:rPr>
      </w:pPr>
      <w:r>
        <w:rPr>
          <w:rFonts w:ascii="Arial" w:cs="Arial" w:eastAsia="Arial" w:hAnsi="Arial"/>
          <w:sz w:val="18"/>
          <w:szCs w:val="18"/>
          <w:b w:val="1"/>
          <w:bCs w:val="1"/>
          <w:color w:val="auto"/>
        </w:rPr>
        <w:t>JPMORGAN CHASE BANK, N.A.</w:t>
      </w:r>
      <w:r>
        <w:rPr>
          <w:sz w:val="20"/>
          <w:szCs w:val="20"/>
          <w:color w:val="auto"/>
        </w:rPr>
        <w:tab/>
      </w:r>
      <w:r>
        <w:rPr>
          <w:rFonts w:ascii="Arial" w:cs="Arial" w:eastAsia="Arial" w:hAnsi="Arial"/>
          <w:sz w:val="18"/>
          <w:szCs w:val="18"/>
          <w:b w:val="1"/>
          <w:bCs w:val="1"/>
          <w:color w:val="auto"/>
        </w:rPr>
        <w:t>NATIONAL CINEMEDIA, LLC</w:t>
      </w:r>
    </w:p>
    <w:p>
      <w:pPr>
        <w:spacing w:after="0" w:line="177"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have entered and/or anticipate entering into one or more transactions (each a “Transaction”) that are or will be governed by this Master Agreement, which includes the schedule (the “Schedule”), and the documents and other confirming evidence (each a “Confirmation”) exchanged between the parties confirming those Transactions.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parties agree as follows:—</w:t>
      </w:r>
    </w:p>
    <w:p>
      <w:pPr>
        <w:spacing w:after="0" w:line="84" w:lineRule="exact"/>
        <w:rPr>
          <w:sz w:val="20"/>
          <w:szCs w:val="20"/>
          <w:color w:val="auto"/>
        </w:rPr>
      </w:pPr>
    </w:p>
    <w:p>
      <w:pPr>
        <w:ind w:left="460" w:hanging="452"/>
        <w:spacing w:after="0"/>
        <w:tabs>
          <w:tab w:leader="none" w:pos="460"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96" w:lineRule="exact"/>
        <w:rPr>
          <w:sz w:val="20"/>
          <w:szCs w:val="20"/>
          <w:color w:val="auto"/>
        </w:rPr>
      </w:pPr>
    </w:p>
    <w:p>
      <w:pPr>
        <w:ind w:left="240" w:hanging="232"/>
        <w:spacing w:after="0"/>
        <w:tabs>
          <w:tab w:leader="none" w:pos="240" w:val="left"/>
        </w:tabs>
        <w:numPr>
          <w:ilvl w:val="0"/>
          <w:numId w:val="10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The terms defined in Section 14 and in the Schedule will have the meanings therein specified for the purpose of this Master Agreement.</w:t>
      </w:r>
    </w:p>
    <w:p>
      <w:pPr>
        <w:spacing w:after="0" w:line="194" w:lineRule="exact"/>
        <w:rPr>
          <w:rFonts w:ascii="Arial" w:cs="Arial" w:eastAsia="Arial" w:hAnsi="Arial"/>
          <w:sz w:val="16"/>
          <w:szCs w:val="16"/>
          <w:color w:val="auto"/>
        </w:rPr>
      </w:pPr>
    </w:p>
    <w:p>
      <w:pPr>
        <w:ind w:right="80" w:firstLine="8"/>
        <w:spacing w:after="0" w:line="259" w:lineRule="auto"/>
        <w:tabs>
          <w:tab w:leader="none" w:pos="249" w:val="left"/>
        </w:tabs>
        <w:numPr>
          <w:ilvl w:val="0"/>
          <w:numId w:val="10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Inconsistency. </w:t>
      </w:r>
      <w:r>
        <w:rPr>
          <w:rFonts w:ascii="Arial" w:cs="Arial" w:eastAsia="Arial" w:hAnsi="Arial"/>
          <w:sz w:val="18"/>
          <w:szCs w:val="18"/>
          <w:color w:val="auto"/>
        </w:rPr>
        <w:t>In the event of any inconsistency between the provisions of the Schedule and the other provisions of this Master Agreement, the Schedule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prevail. In the event of any inconsistency between the provisions of any Confirmation and this Master Agreement (including the Schedule), such Confirmation will prevail for the purpose of the relevant Transaction.</w:t>
      </w:r>
    </w:p>
    <w:p>
      <w:pPr>
        <w:spacing w:after="0" w:line="140" w:lineRule="exact"/>
        <w:rPr>
          <w:rFonts w:ascii="Arial" w:cs="Arial" w:eastAsia="Arial" w:hAnsi="Arial"/>
          <w:sz w:val="18"/>
          <w:szCs w:val="18"/>
          <w:color w:val="auto"/>
        </w:rPr>
      </w:pPr>
    </w:p>
    <w:p>
      <w:pPr>
        <w:ind w:right="20" w:firstLine="8"/>
        <w:spacing w:after="0" w:line="268" w:lineRule="auto"/>
        <w:tabs>
          <w:tab w:leader="none" w:pos="239" w:val="left"/>
        </w:tabs>
        <w:numPr>
          <w:ilvl w:val="0"/>
          <w:numId w:val="10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Single Agreement. </w:t>
      </w:r>
      <w:r>
        <w:rPr>
          <w:rFonts w:ascii="Arial" w:cs="Arial" w:eastAsia="Arial" w:hAnsi="Arial"/>
          <w:sz w:val="18"/>
          <w:szCs w:val="18"/>
          <w:color w:val="auto"/>
        </w:rPr>
        <w:t>All Transactions are entered into in reliance on the fact that this Master Agreement and all Confirmations form a single agreement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parties (collectively referred to as this “Agreement”), and the parties would not otherwise enter into any Transactions.</w:t>
      </w:r>
    </w:p>
    <w:p>
      <w:pPr>
        <w:spacing w:after="0" w:line="248" w:lineRule="exact"/>
        <w:rPr>
          <w:sz w:val="20"/>
          <w:szCs w:val="20"/>
          <w:color w:val="auto"/>
        </w:rPr>
      </w:pPr>
    </w:p>
    <w:p>
      <w:pPr>
        <w:ind w:left="460" w:hanging="452"/>
        <w:spacing w:after="0"/>
        <w:tabs>
          <w:tab w:leader="none" w:pos="460"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Obligations</w:t>
      </w:r>
    </w:p>
    <w:p>
      <w:pPr>
        <w:spacing w:after="0" w:line="96" w:lineRule="exact"/>
        <w:rPr>
          <w:sz w:val="20"/>
          <w:szCs w:val="20"/>
          <w:color w:val="auto"/>
        </w:rPr>
      </w:pPr>
    </w:p>
    <w:p>
      <w:pPr>
        <w:ind w:left="240" w:hanging="232"/>
        <w:spacing w:after="0"/>
        <w:tabs>
          <w:tab w:leader="none" w:pos="240" w:val="left"/>
        </w:tabs>
        <w:numPr>
          <w:ilvl w:val="0"/>
          <w:numId w:val="102"/>
        </w:numPr>
        <w:rPr>
          <w:rFonts w:ascii="Arial" w:cs="Arial" w:eastAsia="Arial" w:hAnsi="Arial"/>
          <w:sz w:val="18"/>
          <w:szCs w:val="18"/>
          <w:color w:val="auto"/>
        </w:rPr>
      </w:pPr>
      <w:r>
        <w:rPr>
          <w:rFonts w:ascii="Arial" w:cs="Arial" w:eastAsia="Arial" w:hAnsi="Arial"/>
          <w:sz w:val="18"/>
          <w:szCs w:val="18"/>
          <w:b w:val="1"/>
          <w:bCs w:val="1"/>
          <w:i w:val="1"/>
          <w:iCs w:val="1"/>
          <w:color w:val="auto"/>
        </w:rPr>
        <w:t>General Conditions.</w:t>
      </w:r>
    </w:p>
    <w:p>
      <w:pPr>
        <w:spacing w:after="0" w:line="90" w:lineRule="exact"/>
        <w:rPr>
          <w:rFonts w:ascii="Arial" w:cs="Arial" w:eastAsia="Arial" w:hAnsi="Arial"/>
          <w:sz w:val="18"/>
          <w:szCs w:val="18"/>
          <w:color w:val="auto"/>
        </w:rPr>
      </w:pPr>
    </w:p>
    <w:p>
      <w:pPr>
        <w:ind w:left="680" w:hanging="216"/>
        <w:spacing w:after="0"/>
        <w:tabs>
          <w:tab w:leader="none" w:pos="680"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Each party will make each payment or delivery specified in each Confirmation to be made by it, subject to the other provisions of this Agreement.</w:t>
      </w:r>
    </w:p>
    <w:p>
      <w:pPr>
        <w:spacing w:after="0" w:line="113" w:lineRule="exact"/>
        <w:rPr>
          <w:rFonts w:ascii="Arial" w:cs="Arial" w:eastAsia="Arial" w:hAnsi="Arial"/>
          <w:sz w:val="16"/>
          <w:szCs w:val="16"/>
          <w:color w:val="auto"/>
        </w:rPr>
      </w:pPr>
    </w:p>
    <w:p>
      <w:pPr>
        <w:ind w:left="460" w:right="60" w:firstLine="4"/>
        <w:spacing w:after="0" w:line="298" w:lineRule="auto"/>
        <w:tabs>
          <w:tab w:leader="none" w:pos="719" w:val="left"/>
        </w:tabs>
        <w:numPr>
          <w:ilvl w:val="1"/>
          <w:numId w:val="102"/>
        </w:numPr>
        <w:rPr>
          <w:rFonts w:ascii="Arial" w:cs="Arial" w:eastAsia="Arial" w:hAnsi="Arial"/>
          <w:sz w:val="16"/>
          <w:szCs w:val="16"/>
          <w:color w:val="auto"/>
        </w:rPr>
      </w:pPr>
      <w:r>
        <w:rPr>
          <w:rFonts w:ascii="Arial" w:cs="Arial" w:eastAsia="Arial" w:hAnsi="Arial"/>
          <w:sz w:val="16"/>
          <w:szCs w:val="16"/>
          <w:color w:val="auto"/>
        </w:rPr>
        <w:t>Payments under this Agreement will be made on the due date for value on that date in the place of the account specified in the relevant Confirmation or otherwise pursuant to this Agreement, in freely transferable funds and in the manner customary for payments in the required currency. Where settlement is by delivery (that is, other than by payment), such delivery will be made for receipt on the due date in the manner customary for the relevant obligation unless otherwise specified in the relevant Confirmation or elsewhere in this Agreement.</w:t>
      </w:r>
    </w:p>
    <w:p>
      <w:pPr>
        <w:spacing w:after="0" w:line="31" w:lineRule="exact"/>
        <w:rPr>
          <w:rFonts w:ascii="Arial" w:cs="Arial" w:eastAsia="Arial" w:hAnsi="Arial"/>
          <w:sz w:val="16"/>
          <w:szCs w:val="16"/>
          <w:color w:val="auto"/>
        </w:rPr>
      </w:pPr>
    </w:p>
    <w:p>
      <w:pPr>
        <w:ind w:left="460" w:right="80" w:firstLine="4"/>
        <w:spacing w:after="0" w:line="286" w:lineRule="auto"/>
        <w:tabs>
          <w:tab w:leader="none" w:pos="767" w:val="left"/>
        </w:tabs>
        <w:numPr>
          <w:ilvl w:val="1"/>
          <w:numId w:val="102"/>
        </w:numPr>
        <w:rPr>
          <w:rFonts w:ascii="Arial" w:cs="Arial" w:eastAsia="Arial" w:hAnsi="Arial"/>
          <w:sz w:val="16"/>
          <w:szCs w:val="16"/>
          <w:color w:val="auto"/>
        </w:rPr>
      </w:pPr>
      <w:r>
        <w:rPr>
          <w:rFonts w:ascii="Arial" w:cs="Arial" w:eastAsia="Arial" w:hAnsi="Arial"/>
          <w:sz w:val="16"/>
          <w:szCs w:val="16"/>
          <w:color w:val="auto"/>
        </w:rPr>
        <w:t>Each obligation of each party under Section 2(a)(i) is subject to (1) the condition precedent that no Event of Default or Potential Event of Default with respect to the other party has occurred and is continuing, (2) the condition precedent that no Early Termination Date in respect of the</w:t>
      </w:r>
    </w:p>
    <w:p>
      <w:pPr>
        <w:ind w:left="460"/>
        <w:spacing w:after="0"/>
        <w:rPr>
          <w:rFonts w:ascii="Arial" w:cs="Arial" w:eastAsia="Arial" w:hAnsi="Arial"/>
          <w:sz w:val="16"/>
          <w:szCs w:val="16"/>
          <w:color w:val="auto"/>
        </w:rPr>
      </w:pPr>
      <w:r>
        <w:rPr>
          <w:rFonts w:ascii="Arial" w:cs="Arial" w:eastAsia="Arial" w:hAnsi="Arial"/>
          <w:sz w:val="16"/>
          <w:szCs w:val="16"/>
          <w:color w:val="auto"/>
        </w:rPr>
        <w:t>relevant Transaction has occurred or been effectively designated and (3) each other applicable condition precedent specified in this Agreement.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Copyright </w:t>
      </w:r>
      <w:r>
        <w:rPr>
          <w:rFonts w:ascii="Arial" w:cs="Arial" w:eastAsia="Arial" w:hAnsi="Arial"/>
          <w:sz w:val="22"/>
          <w:szCs w:val="22"/>
          <w:color w:val="auto"/>
          <w:vertAlign w:val="superscript"/>
        </w:rPr>
        <w:t>©</w:t>
      </w:r>
      <w:r>
        <w:rPr>
          <w:rFonts w:ascii="Arial" w:cs="Arial" w:eastAsia="Arial" w:hAnsi="Arial"/>
          <w:sz w:val="18"/>
          <w:szCs w:val="18"/>
          <w:color w:val="auto"/>
        </w:rPr>
        <w:t xml:space="preserve"> 1992 by International Swaps and Derivatives Association, Inc.</w:t>
      </w:r>
    </w:p>
    <w:p>
      <w:pPr>
        <w:sectPr>
          <w:pgSz w:w="11900" w:h="16838" w:orient="portrait"/>
          <w:cols w:equalWidth="0" w:num="1">
            <w:col w:w="11420"/>
          </w:cols>
          <w:pgMar w:left="240" w:top="125" w:right="239" w:bottom="1440" w:gutter="0" w:footer="0" w:header="0"/>
        </w:sectPr>
      </w:pPr>
    </w:p>
    <w:bookmarkStart w:id="72" w:name="page73"/>
    <w:bookmarkEnd w:id="72"/>
    <w:p>
      <w:pPr>
        <w:jc w:val="both"/>
        <w:ind w:right="220" w:firstLine="8"/>
        <w:spacing w:after="0" w:line="259" w:lineRule="auto"/>
        <w:tabs>
          <w:tab w:leader="none" w:pos="249"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Change of Account. </w:t>
      </w:r>
      <w:r>
        <w:rPr>
          <w:rFonts w:ascii="Arial" w:cs="Arial" w:eastAsia="Arial" w:hAnsi="Arial"/>
          <w:sz w:val="18"/>
          <w:szCs w:val="18"/>
          <w:color w:val="auto"/>
        </w:rPr>
        <w:t>Either party may change its account for receiving a payment or delivery by giving notice to the other party at least five Local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Days prior to the scheduled date for the payment or delivery to which such change applies unless such other party gives timely notice of a reasonable objection to such change.</w:t>
      </w:r>
    </w:p>
    <w:p>
      <w:pPr>
        <w:spacing w:after="0" w:line="140" w:lineRule="exact"/>
        <w:rPr>
          <w:rFonts w:ascii="Arial" w:cs="Arial" w:eastAsia="Arial" w:hAnsi="Arial"/>
          <w:sz w:val="18"/>
          <w:szCs w:val="18"/>
          <w:color w:val="auto"/>
        </w:rPr>
      </w:pPr>
    </w:p>
    <w:p>
      <w:pPr>
        <w:ind w:left="240" w:hanging="232"/>
        <w:spacing w:after="0"/>
        <w:tabs>
          <w:tab w:leader="none" w:pos="240" w:val="left"/>
        </w:tabs>
        <w:numPr>
          <w:ilvl w:val="0"/>
          <w:numId w:val="10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Netting. </w:t>
      </w:r>
      <w:r>
        <w:rPr>
          <w:rFonts w:ascii="Arial" w:cs="Arial" w:eastAsia="Arial" w:hAnsi="Arial"/>
          <w:sz w:val="18"/>
          <w:szCs w:val="18"/>
          <w:color w:val="auto"/>
        </w:rPr>
        <w:t>If on any date amounts would otherwise be payable:—</w:t>
      </w:r>
    </w:p>
    <w:p>
      <w:pPr>
        <w:spacing w:after="0" w:line="90" w:lineRule="exact"/>
        <w:rPr>
          <w:rFonts w:ascii="Arial" w:cs="Arial" w:eastAsia="Arial" w:hAnsi="Arial"/>
          <w:sz w:val="18"/>
          <w:szCs w:val="18"/>
          <w:color w:val="auto"/>
        </w:rPr>
      </w:pPr>
    </w:p>
    <w:p>
      <w:pPr>
        <w:ind w:left="680" w:hanging="216"/>
        <w:spacing w:after="0"/>
        <w:tabs>
          <w:tab w:leader="none" w:pos="68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 the same currency;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103"/>
        </w:numPr>
        <w:rPr>
          <w:rFonts w:ascii="Arial" w:cs="Arial" w:eastAsia="Arial" w:hAnsi="Arial"/>
          <w:sz w:val="18"/>
          <w:szCs w:val="18"/>
          <w:color w:val="auto"/>
        </w:rPr>
      </w:pPr>
      <w:r>
        <w:rPr>
          <w:rFonts w:ascii="Arial" w:cs="Arial" w:eastAsia="Arial" w:hAnsi="Arial"/>
          <w:sz w:val="18"/>
          <w:szCs w:val="18"/>
          <w:color w:val="auto"/>
        </w:rPr>
        <w:t>in respect of the same Transaction,</w:t>
      </w:r>
    </w:p>
    <w:p>
      <w:pPr>
        <w:spacing w:after="0" w:line="90"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by each party to the other, then, on such date, each party’s obligation to make payment of any such amount will be automatically satisfied and discharged and, if the aggregate amount that would otherwise have been payable by one party exceeds the aggregate amount that would otherwise have been payable by the other party, replaced by an obligation upon the party by whom the larger aggregate amount would have been payable to pay to the other party the excess of the larger aggregate amount over the smaller aggregate amount.</w:t>
      </w:r>
    </w:p>
    <w:p>
      <w:pPr>
        <w:spacing w:after="0" w:line="14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parties may elect in respect of two or more Transactions that a net amount will be determined in respect of all amounts payable on the same date in the same currency in respect of such Transactions, regardless of whether such amounts are payable in respect of the same Transaction. The election may be made in the Schedule or a Confirmation by specifying that subparagraph (ii) above will not apply to the Transactions identified as being subject to the election, together with the starting date (in which case subparagraph (ii) above will not, or will cease to, apply to such Transactions from such date). This election may be made separately for different groups of Transactions and will apply separately to each pairing of Offices through which the parties make and receive payments or deliveries.</w:t>
      </w:r>
    </w:p>
    <w:p>
      <w:pPr>
        <w:spacing w:after="0" w:line="144" w:lineRule="exact"/>
        <w:rPr>
          <w:sz w:val="20"/>
          <w:szCs w:val="20"/>
          <w:color w:val="auto"/>
        </w:rPr>
      </w:pPr>
    </w:p>
    <w:p>
      <w:pPr>
        <w:ind w:left="260" w:hanging="252"/>
        <w:spacing w:after="0"/>
        <w:tabs>
          <w:tab w:leader="none" w:pos="260" w:val="left"/>
        </w:tabs>
        <w:numPr>
          <w:ilvl w:val="0"/>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Deduction or Withholding for Tax.</w:t>
      </w:r>
    </w:p>
    <w:p>
      <w:pPr>
        <w:spacing w:after="0" w:line="90" w:lineRule="exact"/>
        <w:rPr>
          <w:rFonts w:ascii="Arial" w:cs="Arial" w:eastAsia="Arial" w:hAnsi="Arial"/>
          <w:sz w:val="18"/>
          <w:szCs w:val="18"/>
          <w:color w:val="auto"/>
        </w:rPr>
      </w:pPr>
    </w:p>
    <w:p>
      <w:pPr>
        <w:ind w:left="460" w:firstLine="4"/>
        <w:spacing w:after="0" w:line="259" w:lineRule="auto"/>
        <w:tabs>
          <w:tab w:leader="none" w:pos="670" w:val="left"/>
        </w:tabs>
        <w:numPr>
          <w:ilvl w:val="1"/>
          <w:numId w:val="10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Gross-Up. </w:t>
      </w:r>
      <w:r>
        <w:rPr>
          <w:rFonts w:ascii="Arial" w:cs="Arial" w:eastAsia="Arial" w:hAnsi="Arial"/>
          <w:sz w:val="18"/>
          <w:szCs w:val="18"/>
          <w:color w:val="auto"/>
        </w:rPr>
        <w:t>All payments under this Agreement will be made without any deduction or withholding for or on account of any Tax unless such deduction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withholding is required by any applicable law, as modified by the practice of any relevant governmental revenue authority, then in effect. If a party is so required to deduct or withhold, then that party (“X”) will:—</w:t>
      </w:r>
    </w:p>
    <w:p>
      <w:pPr>
        <w:spacing w:after="0" w:line="59" w:lineRule="exact"/>
        <w:rPr>
          <w:rFonts w:ascii="Arial" w:cs="Arial" w:eastAsia="Arial" w:hAnsi="Arial"/>
          <w:sz w:val="18"/>
          <w:szCs w:val="18"/>
          <w:color w:val="auto"/>
        </w:rPr>
      </w:pPr>
    </w:p>
    <w:p>
      <w:pPr>
        <w:ind w:left="1160" w:hanging="239"/>
        <w:spacing w:after="0"/>
        <w:tabs>
          <w:tab w:leader="none" w:pos="1160" w:val="left"/>
        </w:tabs>
        <w:numPr>
          <w:ilvl w:val="2"/>
          <w:numId w:val="104"/>
        </w:numPr>
        <w:rPr>
          <w:rFonts w:ascii="Arial" w:cs="Arial" w:eastAsia="Arial" w:hAnsi="Arial"/>
          <w:sz w:val="18"/>
          <w:szCs w:val="18"/>
          <w:color w:val="auto"/>
        </w:rPr>
      </w:pPr>
      <w:r>
        <w:rPr>
          <w:rFonts w:ascii="Arial" w:cs="Arial" w:eastAsia="Arial" w:hAnsi="Arial"/>
          <w:sz w:val="18"/>
          <w:szCs w:val="18"/>
          <w:color w:val="auto"/>
        </w:rPr>
        <w:t>promptly notify the other party (“Y”) of such requirement;</w:t>
      </w:r>
    </w:p>
    <w:p>
      <w:pPr>
        <w:spacing w:after="0" w:line="90" w:lineRule="exact"/>
        <w:rPr>
          <w:rFonts w:ascii="Arial" w:cs="Arial" w:eastAsia="Arial" w:hAnsi="Arial"/>
          <w:sz w:val="18"/>
          <w:szCs w:val="18"/>
          <w:color w:val="auto"/>
        </w:rPr>
      </w:pPr>
    </w:p>
    <w:p>
      <w:pPr>
        <w:ind w:left="920" w:right="80" w:firstLine="1"/>
        <w:spacing w:after="0" w:line="259" w:lineRule="auto"/>
        <w:tabs>
          <w:tab w:leader="none" w:pos="1169" w:val="left"/>
        </w:tabs>
        <w:numPr>
          <w:ilvl w:val="2"/>
          <w:numId w:val="104"/>
        </w:numPr>
        <w:rPr>
          <w:rFonts w:ascii="Arial" w:cs="Arial" w:eastAsia="Arial" w:hAnsi="Arial"/>
          <w:sz w:val="18"/>
          <w:szCs w:val="18"/>
          <w:color w:val="auto"/>
        </w:rPr>
      </w:pPr>
      <w:r>
        <w:rPr>
          <w:rFonts w:ascii="Arial" w:cs="Arial" w:eastAsia="Arial" w:hAnsi="Arial"/>
          <w:sz w:val="18"/>
          <w:szCs w:val="18"/>
          <w:color w:val="auto"/>
        </w:rPr>
        <w:t>pay to the relevant authorities the full amount required to be deducted or withheld (including the full amount required to be deducted or withheld from any additional amount paid by X to Y under this Section 2(d)) promptly upon the earlier of determining that such deduction or withholding is required or receiving notice that such amount has been assessed against Y;</w:t>
      </w:r>
    </w:p>
    <w:p>
      <w:pPr>
        <w:spacing w:after="0" w:line="59" w:lineRule="exact"/>
        <w:rPr>
          <w:rFonts w:ascii="Arial" w:cs="Arial" w:eastAsia="Arial" w:hAnsi="Arial"/>
          <w:sz w:val="18"/>
          <w:szCs w:val="18"/>
          <w:color w:val="auto"/>
        </w:rPr>
      </w:pPr>
    </w:p>
    <w:p>
      <w:pPr>
        <w:ind w:left="920" w:right="240" w:firstLine="1"/>
        <w:spacing w:after="0" w:line="268" w:lineRule="auto"/>
        <w:tabs>
          <w:tab w:leader="none" w:pos="1169" w:val="left"/>
        </w:tabs>
        <w:numPr>
          <w:ilvl w:val="2"/>
          <w:numId w:val="104"/>
        </w:numPr>
        <w:rPr>
          <w:rFonts w:ascii="Arial" w:cs="Arial" w:eastAsia="Arial" w:hAnsi="Arial"/>
          <w:sz w:val="18"/>
          <w:szCs w:val="18"/>
          <w:color w:val="auto"/>
        </w:rPr>
      </w:pPr>
      <w:r>
        <w:rPr>
          <w:rFonts w:ascii="Arial" w:cs="Arial" w:eastAsia="Arial" w:hAnsi="Arial"/>
          <w:sz w:val="18"/>
          <w:szCs w:val="18"/>
          <w:color w:val="auto"/>
        </w:rPr>
        <w:t>promptly forward to Y an official receipt (or a certified copy), or other documentation reasonably acceptable to Y, evidencing such payment to such authorities; and</w:t>
      </w:r>
    </w:p>
    <w:p>
      <w:pPr>
        <w:spacing w:after="0" w:line="50" w:lineRule="exact"/>
        <w:rPr>
          <w:rFonts w:ascii="Arial" w:cs="Arial" w:eastAsia="Arial" w:hAnsi="Arial"/>
          <w:sz w:val="18"/>
          <w:szCs w:val="18"/>
          <w:color w:val="auto"/>
        </w:rPr>
      </w:pPr>
    </w:p>
    <w:p>
      <w:pPr>
        <w:ind w:left="920" w:right="40" w:firstLine="1"/>
        <w:spacing w:after="0" w:line="298" w:lineRule="auto"/>
        <w:tabs>
          <w:tab w:leader="none" w:pos="1169" w:val="left"/>
        </w:tabs>
        <w:numPr>
          <w:ilvl w:val="2"/>
          <w:numId w:val="104"/>
        </w:numPr>
        <w:rPr>
          <w:rFonts w:ascii="Arial" w:cs="Arial" w:eastAsia="Arial" w:hAnsi="Arial"/>
          <w:sz w:val="16"/>
          <w:szCs w:val="16"/>
          <w:color w:val="auto"/>
        </w:rPr>
      </w:pPr>
      <w:r>
        <w:rPr>
          <w:rFonts w:ascii="Arial" w:cs="Arial" w:eastAsia="Arial" w:hAnsi="Arial"/>
          <w:sz w:val="16"/>
          <w:szCs w:val="16"/>
          <w:color w:val="auto"/>
        </w:rPr>
        <w:t>if such Tax is an Indemnifiable Tax, pay to Y, in addition to the payment to which Y is otherwise entitled under this Agreement, such additional amount as is necessary to ensure that the net amount actually received by Y (free and clear of Indemnifiable Taxes, whether assessed against X or Y) will equal the full amount Y would have received had no such deduction or withholding been required. However, X will not be required to pay any additional amount to Y to the extent that it would not be required to be paid but for:—</w:t>
      </w:r>
    </w:p>
    <w:p>
      <w:pPr>
        <w:spacing w:after="0" w:line="31" w:lineRule="exact"/>
        <w:rPr>
          <w:rFonts w:ascii="Arial" w:cs="Arial" w:eastAsia="Arial" w:hAnsi="Arial"/>
          <w:sz w:val="16"/>
          <w:szCs w:val="16"/>
          <w:color w:val="auto"/>
        </w:rPr>
      </w:pPr>
    </w:p>
    <w:p>
      <w:pPr>
        <w:ind w:left="1780" w:hanging="288"/>
        <w:spacing w:after="0"/>
        <w:tabs>
          <w:tab w:leader="none" w:pos="1780" w:val="left"/>
        </w:tabs>
        <w:numPr>
          <w:ilvl w:val="3"/>
          <w:numId w:val="104"/>
        </w:numPr>
        <w:rPr>
          <w:rFonts w:ascii="Arial" w:cs="Arial" w:eastAsia="Arial" w:hAnsi="Arial"/>
          <w:sz w:val="18"/>
          <w:szCs w:val="18"/>
          <w:color w:val="auto"/>
        </w:rPr>
      </w:pPr>
      <w:r>
        <w:rPr>
          <w:rFonts w:ascii="Arial" w:cs="Arial" w:eastAsia="Arial" w:hAnsi="Arial"/>
          <w:sz w:val="18"/>
          <w:szCs w:val="18"/>
          <w:color w:val="auto"/>
        </w:rPr>
        <w:t>the failure by Y to comply with or perform any agreement contained in Section 4(a)(i), 4(a)(iii) or 4(d); or</w:t>
      </w:r>
    </w:p>
    <w:p>
      <w:pPr>
        <w:spacing w:after="0" w:line="90" w:lineRule="exact"/>
        <w:rPr>
          <w:rFonts w:ascii="Arial" w:cs="Arial" w:eastAsia="Arial" w:hAnsi="Arial"/>
          <w:sz w:val="18"/>
          <w:szCs w:val="18"/>
          <w:color w:val="auto"/>
        </w:rPr>
      </w:pPr>
    </w:p>
    <w:p>
      <w:pPr>
        <w:ind w:left="1500" w:right="20" w:hanging="8"/>
        <w:spacing w:after="0" w:line="286" w:lineRule="auto"/>
        <w:tabs>
          <w:tab w:leader="none" w:pos="1778" w:val="left"/>
        </w:tabs>
        <w:numPr>
          <w:ilvl w:val="3"/>
          <w:numId w:val="104"/>
        </w:numPr>
        <w:rPr>
          <w:rFonts w:ascii="Arial" w:cs="Arial" w:eastAsia="Arial" w:hAnsi="Arial"/>
          <w:sz w:val="16"/>
          <w:szCs w:val="16"/>
          <w:color w:val="auto"/>
        </w:rPr>
      </w:pPr>
      <w:r>
        <w:rPr>
          <w:rFonts w:ascii="Arial" w:cs="Arial" w:eastAsia="Arial" w:hAnsi="Arial"/>
          <w:sz w:val="16"/>
          <w:szCs w:val="16"/>
          <w:color w:val="auto"/>
        </w:rPr>
        <w:t>the failure of a representation made by Y pursuant to Section 3(f) to be accurate and true unless such failure would not have occurred but for (I) any action taken by a taxing authority, or brought in a court of competent jurisdiction, on or after the date on which a</w:t>
      </w:r>
    </w:p>
    <w:p>
      <w:pPr>
        <w:ind w:left="1500" w:right="120"/>
        <w:spacing w:after="0" w:line="261" w:lineRule="auto"/>
        <w:rPr>
          <w:rFonts w:ascii="Arial" w:cs="Arial" w:eastAsia="Arial" w:hAnsi="Arial"/>
          <w:sz w:val="16"/>
          <w:szCs w:val="16"/>
          <w:color w:val="auto"/>
        </w:rPr>
      </w:pPr>
      <w:r>
        <w:rPr>
          <w:rFonts w:ascii="Arial" w:cs="Arial" w:eastAsia="Arial" w:hAnsi="Arial"/>
          <w:sz w:val="18"/>
          <w:szCs w:val="18"/>
          <w:color w:val="auto"/>
        </w:rPr>
        <w:t>Transaction is entered into (regardless of whether such action is taken or brought with respect to a party to this Agreement) or (II) a Change in Tax Law.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73" w:name="page74"/>
    <w:bookmarkEnd w:id="73"/>
    <w:p>
      <w:pPr>
        <w:ind w:left="720" w:hanging="256"/>
        <w:spacing w:after="0"/>
        <w:tabs>
          <w:tab w:leader="none" w:pos="720" w:val="left"/>
        </w:tabs>
        <w:numPr>
          <w:ilvl w:val="0"/>
          <w:numId w:val="105"/>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Liability. </w:t>
      </w:r>
      <w:r>
        <w:rPr>
          <w:rFonts w:ascii="Arial" w:cs="Arial" w:eastAsia="Arial" w:hAnsi="Arial"/>
          <w:sz w:val="18"/>
          <w:szCs w:val="18"/>
          <w:color w:val="auto"/>
        </w:rPr>
        <w:t>If:—</w:t>
      </w:r>
    </w:p>
    <w:p>
      <w:pPr>
        <w:spacing w:after="0" w:line="90" w:lineRule="exact"/>
        <w:rPr>
          <w:rFonts w:ascii="Arial" w:cs="Arial" w:eastAsia="Arial" w:hAnsi="Arial"/>
          <w:sz w:val="18"/>
          <w:szCs w:val="18"/>
          <w:color w:val="auto"/>
        </w:rPr>
      </w:pPr>
    </w:p>
    <w:p>
      <w:pPr>
        <w:ind w:left="920" w:right="520" w:firstLine="1"/>
        <w:spacing w:after="0" w:line="332" w:lineRule="auto"/>
        <w:tabs>
          <w:tab w:leader="none" w:pos="1169" w:val="left"/>
        </w:tabs>
        <w:numPr>
          <w:ilvl w:val="1"/>
          <w:numId w:val="105"/>
        </w:numPr>
        <w:rPr>
          <w:rFonts w:ascii="Arial" w:cs="Arial" w:eastAsia="Arial" w:hAnsi="Arial"/>
          <w:sz w:val="16"/>
          <w:szCs w:val="16"/>
          <w:color w:val="auto"/>
        </w:rPr>
      </w:pPr>
      <w:r>
        <w:rPr>
          <w:rFonts w:ascii="Arial" w:cs="Arial" w:eastAsia="Arial" w:hAnsi="Arial"/>
          <w:sz w:val="16"/>
          <w:szCs w:val="16"/>
          <w:color w:val="auto"/>
        </w:rPr>
        <w:t>X is required by any applicable law, as modified by the practice of any relevant governmental revenue authority, to make any deduction or withholding in respect of which X would not be required to pay an additional amount to Y under Section 2(d)(i)(4);</w:t>
      </w:r>
    </w:p>
    <w:p>
      <w:pPr>
        <w:spacing w:after="0" w:line="4" w:lineRule="exact"/>
        <w:rPr>
          <w:rFonts w:ascii="Arial" w:cs="Arial" w:eastAsia="Arial" w:hAnsi="Arial"/>
          <w:sz w:val="16"/>
          <w:szCs w:val="16"/>
          <w:color w:val="auto"/>
        </w:rPr>
      </w:pPr>
    </w:p>
    <w:p>
      <w:pPr>
        <w:ind w:left="1160" w:hanging="239"/>
        <w:spacing w:after="0"/>
        <w:tabs>
          <w:tab w:leader="none" w:pos="11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X does not so deduct or withhold; and</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105"/>
        </w:numPr>
        <w:rPr>
          <w:rFonts w:ascii="Arial" w:cs="Arial" w:eastAsia="Arial" w:hAnsi="Arial"/>
          <w:sz w:val="18"/>
          <w:szCs w:val="18"/>
          <w:color w:val="auto"/>
        </w:rPr>
      </w:pPr>
      <w:r>
        <w:rPr>
          <w:rFonts w:ascii="Arial" w:cs="Arial" w:eastAsia="Arial" w:hAnsi="Arial"/>
          <w:sz w:val="18"/>
          <w:szCs w:val="18"/>
          <w:color w:val="auto"/>
        </w:rPr>
        <w:t>a liability resulting from such Tax is assessed directly against X,</w:t>
      </w:r>
    </w:p>
    <w:p>
      <w:pPr>
        <w:spacing w:after="0" w:line="90" w:lineRule="exact"/>
        <w:rPr>
          <w:sz w:val="20"/>
          <w:szCs w:val="20"/>
          <w:color w:val="auto"/>
        </w:rPr>
      </w:pPr>
    </w:p>
    <w:p>
      <w:pPr>
        <w:ind w:left="460" w:right="560"/>
        <w:spacing w:after="0" w:line="259" w:lineRule="auto"/>
        <w:rPr>
          <w:sz w:val="20"/>
          <w:szCs w:val="20"/>
          <w:color w:val="auto"/>
        </w:rPr>
      </w:pPr>
      <w:r>
        <w:rPr>
          <w:rFonts w:ascii="Arial" w:cs="Arial" w:eastAsia="Arial" w:hAnsi="Arial"/>
          <w:sz w:val="18"/>
          <w:szCs w:val="18"/>
          <w:color w:val="auto"/>
        </w:rPr>
        <w:t>then, except to the extent Y has satisfied or then satisfies the liability resulting from such Tax, Y will promptly pay to X the amount of such liability (including any related liability for interest, but including any related liability for penalties only if Y has failed to comply with or perform any agreement contained in Section 4(a)(i), 4(a)(iii) or 4(d)).</w:t>
      </w:r>
    </w:p>
    <w:p>
      <w:pPr>
        <w:spacing w:after="0" w:line="140" w:lineRule="exact"/>
        <w:rPr>
          <w:sz w:val="20"/>
          <w:szCs w:val="20"/>
          <w:color w:val="auto"/>
        </w:rPr>
      </w:pPr>
    </w:p>
    <w:p>
      <w:pPr>
        <w:ind w:right="80" w:firstLine="8"/>
        <w:spacing w:after="0" w:line="286" w:lineRule="auto"/>
        <w:tabs>
          <w:tab w:leader="none" w:pos="239" w:val="left"/>
        </w:tabs>
        <w:numPr>
          <w:ilvl w:val="0"/>
          <w:numId w:val="10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Default Interest; Other Amounts. </w:t>
      </w:r>
      <w:r>
        <w:rPr>
          <w:rFonts w:ascii="Arial" w:cs="Arial" w:eastAsia="Arial" w:hAnsi="Arial"/>
          <w:sz w:val="16"/>
          <w:szCs w:val="16"/>
          <w:color w:val="auto"/>
        </w:rPr>
        <w:t>Prior to the occurrence or effective designation of an Early Termination Date in respect of the relevant Transaction, a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defaults in the performance of any payment obligation will, to the extent permitted by law and subject to Section 6(c), be required to pay interest</w:t>
      </w:r>
    </w:p>
    <w:p>
      <w:pPr>
        <w:ind w:right="280"/>
        <w:spacing w:after="0" w:line="292" w:lineRule="auto"/>
        <w:rPr>
          <w:rFonts w:ascii="Arial" w:cs="Arial" w:eastAsia="Arial" w:hAnsi="Arial"/>
          <w:sz w:val="16"/>
          <w:szCs w:val="16"/>
          <w:color w:val="auto"/>
        </w:rPr>
      </w:pPr>
      <w:r>
        <w:rPr>
          <w:rFonts w:ascii="Arial" w:cs="Arial" w:eastAsia="Arial" w:hAnsi="Arial"/>
          <w:sz w:val="16"/>
          <w:szCs w:val="16"/>
          <w:color w:val="auto"/>
        </w:rPr>
        <w:t>(before as well as after judgment) on the overdue amount to the other party on demand in the same currency as such overdue amount, for the period from (and including) the original due date for payment to (but excluding) the date of actual payment, at the Default Rate. Such interest will be calculated on the basis of daily compounding and the actual number of days elapsed. If, prior to the occurrence or effective designation of an Early Termination Date in respect of the relevant Transaction, a party defaults in the performance of any obligation required to be settled by delivery, it will compensate the other party on demand if and to the extent provided for in the relevant Confirmation or elsewhere in this Agreement.</w:t>
      </w:r>
    </w:p>
    <w:p>
      <w:pPr>
        <w:spacing w:after="0" w:line="232" w:lineRule="exact"/>
        <w:rPr>
          <w:sz w:val="20"/>
          <w:szCs w:val="20"/>
          <w:color w:val="auto"/>
        </w:rPr>
      </w:pPr>
    </w:p>
    <w:p>
      <w:pPr>
        <w:ind w:left="460" w:hanging="452"/>
        <w:spacing w:after="0"/>
        <w:tabs>
          <w:tab w:leader="none" w:pos="460"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Each party represents to the other party (which representations will be deemed to be repeated by each party on each date on which a Transaction is entered into and, in the case of the representations in Section 3(f), at all times until the termination of this Agreement) that:—</w:t>
      </w:r>
    </w:p>
    <w:p>
      <w:pPr>
        <w:spacing w:after="0" w:line="51" w:lineRule="exact"/>
        <w:rPr>
          <w:sz w:val="20"/>
          <w:szCs w:val="20"/>
          <w:color w:val="auto"/>
        </w:rPr>
      </w:pPr>
    </w:p>
    <w:p>
      <w:pPr>
        <w:ind w:left="240" w:hanging="232"/>
        <w:spacing w:after="0"/>
        <w:tabs>
          <w:tab w:leader="none" w:pos="240" w:val="left"/>
        </w:tabs>
        <w:numPr>
          <w:ilvl w:val="0"/>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Basic Representations.</w:t>
      </w:r>
    </w:p>
    <w:p>
      <w:pPr>
        <w:spacing w:after="0" w:line="90" w:lineRule="exact"/>
        <w:rPr>
          <w:rFonts w:ascii="Arial" w:cs="Arial" w:eastAsia="Arial" w:hAnsi="Arial"/>
          <w:sz w:val="18"/>
          <w:szCs w:val="18"/>
          <w:color w:val="auto"/>
        </w:rPr>
      </w:pPr>
    </w:p>
    <w:p>
      <w:pPr>
        <w:ind w:left="460" w:right="60" w:firstLine="4"/>
        <w:spacing w:after="0" w:line="268" w:lineRule="auto"/>
        <w:tabs>
          <w:tab w:leader="none" w:pos="670" w:val="left"/>
        </w:tabs>
        <w:numPr>
          <w:ilvl w:val="1"/>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Status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is duly organised and validly existing under the laws of the jurisdiction of its organisation or incorporation and, if relevant under such laws,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 standing;</w:t>
      </w:r>
    </w:p>
    <w:p>
      <w:pPr>
        <w:spacing w:after="0" w:line="50" w:lineRule="exact"/>
        <w:rPr>
          <w:rFonts w:ascii="Arial" w:cs="Arial" w:eastAsia="Arial" w:hAnsi="Arial"/>
          <w:sz w:val="18"/>
          <w:szCs w:val="18"/>
          <w:color w:val="auto"/>
        </w:rPr>
      </w:pPr>
    </w:p>
    <w:p>
      <w:pPr>
        <w:ind w:left="460" w:right="40" w:firstLine="4"/>
        <w:spacing w:after="0" w:line="256" w:lineRule="auto"/>
        <w:tabs>
          <w:tab w:leader="none" w:pos="718" w:val="left"/>
        </w:tabs>
        <w:numPr>
          <w:ilvl w:val="1"/>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Powers. </w:t>
      </w:r>
      <w:r>
        <w:rPr>
          <w:rFonts w:ascii="Arial" w:cs="Arial" w:eastAsia="Arial" w:hAnsi="Arial"/>
          <w:sz w:val="18"/>
          <w:szCs w:val="18"/>
          <w:color w:val="auto"/>
        </w:rPr>
        <w:t>It has the power to execute this Agreement and any other documentation relating to this Agreement to which it is a party, to deliver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and any other documentation relating to this Agreement that it is required by this Agreement to deliver and to perform its obligations under this Agreement and any obligations it has under any Credit Support Document to which it is a party and has taken all necessary action to authorise such execution, delivery and performance;</w:t>
      </w:r>
    </w:p>
    <w:p>
      <w:pPr>
        <w:spacing w:after="0" w:line="62" w:lineRule="exact"/>
        <w:rPr>
          <w:rFonts w:ascii="Arial" w:cs="Arial" w:eastAsia="Arial" w:hAnsi="Arial"/>
          <w:sz w:val="18"/>
          <w:szCs w:val="18"/>
          <w:color w:val="auto"/>
        </w:rPr>
      </w:pPr>
    </w:p>
    <w:p>
      <w:pPr>
        <w:ind w:left="460" w:right="560" w:firstLine="4"/>
        <w:spacing w:after="0" w:line="259" w:lineRule="auto"/>
        <w:tabs>
          <w:tab w:leader="none" w:pos="767" w:val="left"/>
        </w:tabs>
        <w:numPr>
          <w:ilvl w:val="1"/>
          <w:numId w:val="108"/>
        </w:numPr>
        <w:rPr>
          <w:rFonts w:ascii="Arial" w:cs="Arial" w:eastAsia="Arial" w:hAnsi="Arial"/>
          <w:sz w:val="18"/>
          <w:szCs w:val="18"/>
          <w:color w:val="auto"/>
        </w:rPr>
      </w:pPr>
      <w:r>
        <w:rPr>
          <w:rFonts w:ascii="Arial" w:cs="Arial" w:eastAsia="Arial" w:hAnsi="Arial"/>
          <w:sz w:val="18"/>
          <w:szCs w:val="18"/>
          <w:b w:val="1"/>
          <w:bCs w:val="1"/>
          <w:i w:val="1"/>
          <w:iCs w:val="1"/>
          <w:color w:val="auto"/>
        </w:rPr>
        <w:t>No Violation or Conflict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execution, delivery and performance do not violate or conflict with any law applicable to it, any provision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constitutional documents, any order or judgment of any court or other agency of government applicable to it or any of its assets or any contractual restriction binding on or affecting it or any of its assets;</w:t>
      </w:r>
    </w:p>
    <w:p>
      <w:pPr>
        <w:spacing w:after="0" w:line="59" w:lineRule="exact"/>
        <w:rPr>
          <w:rFonts w:ascii="Arial" w:cs="Arial" w:eastAsia="Arial" w:hAnsi="Arial"/>
          <w:sz w:val="18"/>
          <w:szCs w:val="18"/>
          <w:color w:val="auto"/>
        </w:rPr>
      </w:pPr>
    </w:p>
    <w:p>
      <w:pPr>
        <w:ind w:left="460" w:right="220" w:firstLine="4"/>
        <w:spacing w:after="0" w:line="357" w:lineRule="auto"/>
        <w:tabs>
          <w:tab w:leader="none" w:pos="757" w:val="left"/>
        </w:tabs>
        <w:numPr>
          <w:ilvl w:val="1"/>
          <w:numId w:val="108"/>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Consents. </w:t>
      </w:r>
      <w:r>
        <w:rPr>
          <w:rFonts w:ascii="Arial" w:cs="Arial" w:eastAsia="Arial" w:hAnsi="Arial"/>
          <w:sz w:val="15"/>
          <w:szCs w:val="15"/>
          <w:color w:val="auto"/>
        </w:rPr>
        <w:t>All governmental and other consents that are required to have been obtained by it with respect to this Agreement or any Credit Support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Document to which it is a party have been obtained and are in full force and effect and all conditions of any such consents have been complied with; and</w:t>
      </w:r>
    </w:p>
    <w:p>
      <w:pPr>
        <w:jc w:val="both"/>
        <w:ind w:left="460" w:firstLine="4"/>
        <w:spacing w:after="0" w:line="284" w:lineRule="auto"/>
        <w:tabs>
          <w:tab w:leader="none" w:pos="709" w:val="left"/>
        </w:tabs>
        <w:numPr>
          <w:ilvl w:val="1"/>
          <w:numId w:val="10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Obligations Binding. </w:t>
      </w:r>
      <w:r>
        <w:rPr>
          <w:rFonts w:ascii="Arial" w:cs="Arial" w:eastAsia="Arial" w:hAnsi="Arial"/>
          <w:sz w:val="16"/>
          <w:szCs w:val="16"/>
          <w:color w:val="auto"/>
        </w:rPr>
        <w:t>Its obligations under this Agreement and any Credit Support Document to which it is a party constitute its legal, valid and binding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enforceable in accordance with their respective terms (subject to applicable bankruptcy, reorganisation, insolvency, moratorium or similar laws affecting creditors’ rights generally and subject, as to enforceability, to equitable principles of general application (regardless of whether enforcement</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is sought in a proceeding in equity or at law)).</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74" w:name="page75"/>
    <w:bookmarkEnd w:id="74"/>
    <w:p>
      <w:pPr>
        <w:ind w:firstLine="8"/>
        <w:spacing w:after="0" w:line="259" w:lineRule="auto"/>
        <w:tabs>
          <w:tab w:leader="none" w:pos="249"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Absence of Certain Events. </w:t>
      </w:r>
      <w:r>
        <w:rPr>
          <w:rFonts w:ascii="Arial" w:cs="Arial" w:eastAsia="Arial" w:hAnsi="Arial"/>
          <w:sz w:val="18"/>
          <w:szCs w:val="18"/>
          <w:color w:val="auto"/>
        </w:rPr>
        <w:t>No Event of Default or Potential Event of Default or, to its knowledge, Termination Event with respect to it has occurred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continuing and no such event or circumstance would occur as a result of its entering into or performing its obligations under this Agreement or any Credit Support Document to which it is a party.</w:t>
      </w:r>
    </w:p>
    <w:p>
      <w:pPr>
        <w:spacing w:after="0" w:line="140" w:lineRule="exact"/>
        <w:rPr>
          <w:rFonts w:ascii="Arial" w:cs="Arial" w:eastAsia="Arial" w:hAnsi="Arial"/>
          <w:sz w:val="18"/>
          <w:szCs w:val="18"/>
          <w:color w:val="auto"/>
        </w:rPr>
      </w:pPr>
    </w:p>
    <w:p>
      <w:pPr>
        <w:ind w:right="120" w:firstLine="8"/>
        <w:spacing w:after="0" w:line="256" w:lineRule="auto"/>
        <w:tabs>
          <w:tab w:leader="none" w:pos="239" w:val="left"/>
        </w:tabs>
        <w:numPr>
          <w:ilvl w:val="0"/>
          <w:numId w:val="10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Absence of Litigation. </w:t>
      </w:r>
      <w:r>
        <w:rPr>
          <w:rFonts w:ascii="Arial" w:cs="Arial" w:eastAsia="Arial" w:hAnsi="Arial"/>
          <w:sz w:val="18"/>
          <w:szCs w:val="18"/>
          <w:color w:val="auto"/>
        </w:rPr>
        <w:t>There is not pending or, to its knowledge, threatened against it or any of its Affiliates any action, suit or proceeding at law or in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before any court, tribunal, governmental body, agency or official or any arbitrator that is likely to affect the legality, validity or enforceability against it of this Agreement or any Credit Support Document to which it is a party or its ability to perform its obligations under this Agreement or such Credit Support Document.</w:t>
      </w:r>
    </w:p>
    <w:p>
      <w:pPr>
        <w:spacing w:after="0" w:line="143" w:lineRule="exact"/>
        <w:rPr>
          <w:rFonts w:ascii="Arial" w:cs="Arial" w:eastAsia="Arial" w:hAnsi="Arial"/>
          <w:sz w:val="18"/>
          <w:szCs w:val="18"/>
          <w:color w:val="auto"/>
        </w:rPr>
      </w:pPr>
    </w:p>
    <w:p>
      <w:pPr>
        <w:ind w:right="420" w:firstLine="8"/>
        <w:spacing w:after="0" w:line="332" w:lineRule="auto"/>
        <w:tabs>
          <w:tab w:leader="none" w:pos="249"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Accuracy of Specified Information. </w:t>
      </w:r>
      <w:r>
        <w:rPr>
          <w:rFonts w:ascii="Arial" w:cs="Arial" w:eastAsia="Arial" w:hAnsi="Arial"/>
          <w:sz w:val="16"/>
          <w:szCs w:val="16"/>
          <w:color w:val="auto"/>
        </w:rPr>
        <w:t>All applicable information that is furnished in writing by or on behalf of it to the other party and is identified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of this Section 3(d) in the Schedule is, as of the date of the information, true, accurate and complete in every material respect.</w:t>
      </w:r>
    </w:p>
    <w:p>
      <w:pPr>
        <w:spacing w:after="0" w:line="85" w:lineRule="exact"/>
        <w:rPr>
          <w:rFonts w:ascii="Arial" w:cs="Arial" w:eastAsia="Arial" w:hAnsi="Arial"/>
          <w:sz w:val="16"/>
          <w:szCs w:val="16"/>
          <w:color w:val="auto"/>
        </w:rPr>
      </w:pPr>
    </w:p>
    <w:p>
      <w:pPr>
        <w:ind w:left="240" w:hanging="232"/>
        <w:spacing w:after="0"/>
        <w:tabs>
          <w:tab w:leader="none" w:pos="240"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Payer Tax Representation. </w:t>
      </w:r>
      <w:r>
        <w:rPr>
          <w:rFonts w:ascii="Arial" w:cs="Arial" w:eastAsia="Arial" w:hAnsi="Arial"/>
          <w:sz w:val="16"/>
          <w:szCs w:val="16"/>
          <w:color w:val="auto"/>
        </w:rPr>
        <w:t>Each representation specified in the Schedule as being made by it for the purpose of this Section 3(e) is accurate and true.</w:t>
      </w:r>
    </w:p>
    <w:p>
      <w:pPr>
        <w:spacing w:after="0" w:line="194" w:lineRule="exact"/>
        <w:rPr>
          <w:rFonts w:ascii="Arial" w:cs="Arial" w:eastAsia="Arial" w:hAnsi="Arial"/>
          <w:sz w:val="16"/>
          <w:szCs w:val="16"/>
          <w:color w:val="auto"/>
        </w:rPr>
      </w:pPr>
    </w:p>
    <w:p>
      <w:pPr>
        <w:ind w:left="220" w:hanging="212"/>
        <w:spacing w:after="0"/>
        <w:tabs>
          <w:tab w:leader="none" w:pos="220" w:val="left"/>
        </w:tabs>
        <w:numPr>
          <w:ilvl w:val="0"/>
          <w:numId w:val="1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 Tax Representations. </w:t>
      </w:r>
      <w:r>
        <w:rPr>
          <w:rFonts w:ascii="Arial" w:cs="Arial" w:eastAsia="Arial" w:hAnsi="Arial"/>
          <w:sz w:val="16"/>
          <w:szCs w:val="16"/>
          <w:color w:val="auto"/>
        </w:rPr>
        <w:t>Each representation specified in the Schedule as being made by it for the purpose of this Section 3(f) is accurate and true.</w:t>
      </w:r>
    </w:p>
    <w:p>
      <w:pPr>
        <w:spacing w:after="0" w:line="310" w:lineRule="exact"/>
        <w:rPr>
          <w:sz w:val="20"/>
          <w:szCs w:val="20"/>
          <w:color w:val="auto"/>
        </w:rPr>
      </w:pPr>
    </w:p>
    <w:p>
      <w:pPr>
        <w:ind w:left="460" w:hanging="452"/>
        <w:spacing w:after="0"/>
        <w:tabs>
          <w:tab w:leader="none" w:pos="460" w:val="left"/>
        </w:tabs>
        <w:numPr>
          <w:ilvl w:val="0"/>
          <w:numId w:val="110"/>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Each party agrees with the other that, so long as either party has or may have any obligation under this Agreement or under any Credit Support Document to which it is a party:—</w:t>
      </w:r>
    </w:p>
    <w:p>
      <w:pPr>
        <w:spacing w:after="0" w:line="132" w:lineRule="exact"/>
        <w:rPr>
          <w:sz w:val="20"/>
          <w:szCs w:val="20"/>
          <w:color w:val="auto"/>
        </w:rPr>
      </w:pPr>
    </w:p>
    <w:p>
      <w:pPr>
        <w:ind w:right="80" w:firstLine="8"/>
        <w:spacing w:after="0" w:line="268" w:lineRule="auto"/>
        <w:tabs>
          <w:tab w:leader="none" w:pos="239" w:val="left"/>
        </w:tabs>
        <w:numPr>
          <w:ilvl w:val="0"/>
          <w:numId w:val="11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Furnish Specified Information. </w:t>
      </w:r>
      <w:r>
        <w:rPr>
          <w:rFonts w:ascii="Arial" w:cs="Arial" w:eastAsia="Arial" w:hAnsi="Arial"/>
          <w:sz w:val="18"/>
          <w:szCs w:val="18"/>
          <w:color w:val="auto"/>
        </w:rPr>
        <w:t>It will deliver to the other party or, in certain cases under subparagraph (iii) below, to such government or taxing authority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other party reasonably directs:—</w:t>
      </w:r>
    </w:p>
    <w:p>
      <w:pPr>
        <w:spacing w:after="0" w:line="50" w:lineRule="exact"/>
        <w:rPr>
          <w:rFonts w:ascii="Arial" w:cs="Arial" w:eastAsia="Arial" w:hAnsi="Arial"/>
          <w:sz w:val="18"/>
          <w:szCs w:val="18"/>
          <w:color w:val="auto"/>
        </w:rPr>
      </w:pPr>
    </w:p>
    <w:p>
      <w:pPr>
        <w:ind w:left="680" w:hanging="216"/>
        <w:spacing w:after="0"/>
        <w:tabs>
          <w:tab w:leader="none" w:pos="68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forms, documents or certificates relating to taxation specified in the Schedule or any Confirmation;</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111"/>
        </w:numPr>
        <w:rPr>
          <w:rFonts w:ascii="Arial" w:cs="Arial" w:eastAsia="Arial" w:hAnsi="Arial"/>
          <w:sz w:val="18"/>
          <w:szCs w:val="18"/>
          <w:color w:val="auto"/>
        </w:rPr>
      </w:pPr>
      <w:r>
        <w:rPr>
          <w:rFonts w:ascii="Arial" w:cs="Arial" w:eastAsia="Arial" w:hAnsi="Arial"/>
          <w:sz w:val="18"/>
          <w:szCs w:val="18"/>
          <w:color w:val="auto"/>
        </w:rPr>
        <w:t>any other documents specified in the Schedule or any Confirmation; and</w:t>
      </w:r>
    </w:p>
    <w:p>
      <w:pPr>
        <w:spacing w:after="0" w:line="90" w:lineRule="exact"/>
        <w:rPr>
          <w:rFonts w:ascii="Arial" w:cs="Arial" w:eastAsia="Arial" w:hAnsi="Arial"/>
          <w:sz w:val="18"/>
          <w:szCs w:val="18"/>
          <w:color w:val="auto"/>
        </w:rPr>
      </w:pPr>
    </w:p>
    <w:p>
      <w:pPr>
        <w:ind w:left="460" w:right="360" w:firstLine="4"/>
        <w:spacing w:after="0" w:line="283" w:lineRule="auto"/>
        <w:tabs>
          <w:tab w:leader="none" w:pos="767" w:val="left"/>
        </w:tabs>
        <w:numPr>
          <w:ilvl w:val="1"/>
          <w:numId w:val="111"/>
        </w:numPr>
        <w:rPr>
          <w:rFonts w:ascii="Arial" w:cs="Arial" w:eastAsia="Arial" w:hAnsi="Arial"/>
          <w:sz w:val="16"/>
          <w:szCs w:val="16"/>
          <w:color w:val="auto"/>
        </w:rPr>
      </w:pPr>
      <w:r>
        <w:rPr>
          <w:rFonts w:ascii="Arial" w:cs="Arial" w:eastAsia="Arial" w:hAnsi="Arial"/>
          <w:sz w:val="16"/>
          <w:szCs w:val="16"/>
          <w:color w:val="auto"/>
        </w:rPr>
        <w:t>upon reasonable demand by such other party, any form or document that may be required or reasonably requested in writing in order to allow such other party or its Credit Support Provider to make a payment under this Agreement or any applicable Credit Support Document without any deduction or withholding for or on account of any Tax or with such deduction or withholding at a reduced rate (so long as the completion, execution or submission of such form or document would not materially prejudice the legal or commercial position of the party in receipt of such demand),</w:t>
      </w:r>
    </w:p>
    <w:p>
      <w:pPr>
        <w:spacing w:after="0" w:line="2" w:lineRule="exact"/>
        <w:rPr>
          <w:rFonts w:ascii="Arial" w:cs="Arial" w:eastAsia="Arial" w:hAnsi="Arial"/>
          <w:sz w:val="16"/>
          <w:szCs w:val="16"/>
          <w:color w:val="auto"/>
        </w:rPr>
      </w:pPr>
    </w:p>
    <w:p>
      <w:pPr>
        <w:ind w:left="460" w:right="640"/>
        <w:spacing w:after="0" w:line="261" w:lineRule="auto"/>
        <w:rPr>
          <w:rFonts w:ascii="Arial" w:cs="Arial" w:eastAsia="Arial" w:hAnsi="Arial"/>
          <w:sz w:val="16"/>
          <w:szCs w:val="16"/>
          <w:color w:val="auto"/>
        </w:rPr>
      </w:pPr>
      <w:r>
        <w:rPr>
          <w:rFonts w:ascii="Arial" w:cs="Arial" w:eastAsia="Arial" w:hAnsi="Arial"/>
          <w:sz w:val="18"/>
          <w:szCs w:val="18"/>
          <w:color w:val="auto"/>
        </w:rPr>
        <w:t>with any such form or document to be accurate and completed in a manner reasonably satisfactory to such other party and to be executed and to be delivered with any reasonably required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 each case by the date specified in the Schedule or such Confirmation or, if none is specified, as soon as reasonably practicable.</w:t>
      </w:r>
    </w:p>
    <w:p>
      <w:pPr>
        <w:spacing w:after="0" w:line="171" w:lineRule="exact"/>
        <w:rPr>
          <w:sz w:val="20"/>
          <w:szCs w:val="20"/>
          <w:color w:val="auto"/>
        </w:rPr>
      </w:pPr>
    </w:p>
    <w:p>
      <w:pPr>
        <w:ind w:right="340" w:firstLine="8"/>
        <w:spacing w:after="0" w:line="259" w:lineRule="auto"/>
        <w:tabs>
          <w:tab w:leader="none" w:pos="249"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 Authorisations. </w:t>
      </w:r>
      <w:r>
        <w:rPr>
          <w:rFonts w:ascii="Arial" w:cs="Arial" w:eastAsia="Arial" w:hAnsi="Arial"/>
          <w:sz w:val="18"/>
          <w:szCs w:val="18"/>
          <w:color w:val="auto"/>
        </w:rPr>
        <w:t>It will use all reasonable efforts to maintain in full force and effect all consents of any governmental or other authority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to be obtained by it with respect to this Agreement or any Credit Support Document to which it is a party and will use all reasonable efforts to obtain any that may become necessary in the future.</w:t>
      </w:r>
    </w:p>
    <w:p>
      <w:pPr>
        <w:spacing w:after="0" w:line="140" w:lineRule="exact"/>
        <w:rPr>
          <w:rFonts w:ascii="Arial" w:cs="Arial" w:eastAsia="Arial" w:hAnsi="Arial"/>
          <w:sz w:val="18"/>
          <w:szCs w:val="18"/>
          <w:color w:val="auto"/>
        </w:rPr>
      </w:pPr>
    </w:p>
    <w:p>
      <w:pPr>
        <w:ind w:right="660" w:firstLine="8"/>
        <w:spacing w:after="0" w:line="332" w:lineRule="auto"/>
        <w:tabs>
          <w:tab w:leader="none" w:pos="239" w:val="left"/>
        </w:tabs>
        <w:numPr>
          <w:ilvl w:val="0"/>
          <w:numId w:val="11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Comply with Laws. </w:t>
      </w:r>
      <w:r>
        <w:rPr>
          <w:rFonts w:ascii="Arial" w:cs="Arial" w:eastAsia="Arial" w:hAnsi="Arial"/>
          <w:sz w:val="16"/>
          <w:szCs w:val="16"/>
          <w:color w:val="auto"/>
        </w:rPr>
        <w:t>It will comply in all material respects with all applicable laws and orders to which it may be subject if failure so to comply would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materially impair its ability to perform its obligations under this Agreement or any Credit Support Document to which it is a party.</w:t>
      </w:r>
    </w:p>
    <w:p>
      <w:pPr>
        <w:spacing w:after="0" w:line="85" w:lineRule="exact"/>
        <w:rPr>
          <w:rFonts w:ascii="Arial" w:cs="Arial" w:eastAsia="Arial" w:hAnsi="Arial"/>
          <w:sz w:val="16"/>
          <w:szCs w:val="16"/>
          <w:color w:val="auto"/>
        </w:rPr>
      </w:pPr>
    </w:p>
    <w:p>
      <w:pPr>
        <w:ind w:right="400" w:firstLine="8"/>
        <w:spacing w:after="0" w:line="268" w:lineRule="auto"/>
        <w:tabs>
          <w:tab w:leader="none" w:pos="249"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Agreement. </w:t>
      </w:r>
      <w:r>
        <w:rPr>
          <w:rFonts w:ascii="Arial" w:cs="Arial" w:eastAsia="Arial" w:hAnsi="Arial"/>
          <w:sz w:val="18"/>
          <w:szCs w:val="18"/>
          <w:color w:val="auto"/>
        </w:rPr>
        <w:t>It will give notice of any failure of a representation made by it under Section 3(f) to be accurate and true promptly upon learning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failure.</w:t>
      </w:r>
    </w:p>
    <w:p>
      <w:pPr>
        <w:spacing w:after="0" w:line="131" w:lineRule="exact"/>
        <w:rPr>
          <w:rFonts w:ascii="Arial" w:cs="Arial" w:eastAsia="Arial" w:hAnsi="Arial"/>
          <w:sz w:val="18"/>
          <w:szCs w:val="18"/>
          <w:color w:val="auto"/>
        </w:rPr>
      </w:pPr>
    </w:p>
    <w:p>
      <w:pPr>
        <w:ind w:right="580" w:firstLine="8"/>
        <w:spacing w:after="0" w:line="268" w:lineRule="auto"/>
        <w:tabs>
          <w:tab w:leader="none" w:pos="239" w:val="left"/>
        </w:tabs>
        <w:numPr>
          <w:ilvl w:val="0"/>
          <w:numId w:val="11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of Stamp Tax. </w:t>
      </w:r>
      <w:r>
        <w:rPr>
          <w:rFonts w:ascii="Arial" w:cs="Arial" w:eastAsia="Arial" w:hAnsi="Arial"/>
          <w:sz w:val="18"/>
          <w:szCs w:val="18"/>
          <w:color w:val="auto"/>
        </w:rPr>
        <w:t>Subject to Section 11, it will pay any Stamp Tax levied or imposed upon it or in respect of its execution or performance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by a jurisdiction in which it is incorporated,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75" w:name="page76"/>
    <w:bookmarkEnd w:id="75"/>
    <w:p>
      <w:pPr>
        <w:ind w:right="24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organised, managed and controlled, or considered to have its seat, or in which a branch or office through which it is acting for the purpose of this Agreement is located (“Stamp Tax Jurisdiction”) and will indemnify the other party against any Stamp Tax levied or imposed upon the other party or in respect of</w:t>
      </w:r>
    </w:p>
    <w:p>
      <w:pPr>
        <w:ind w:right="220"/>
        <w:spacing w:after="0" w:line="261" w:lineRule="auto"/>
        <w:rPr>
          <w:sz w:val="20"/>
          <w:szCs w:val="20"/>
          <w:color w:val="auto"/>
        </w:rPr>
      </w:pPr>
      <w:r>
        <w:rPr>
          <w:rFonts w:ascii="Arial" w:cs="Arial" w:eastAsia="Arial" w:hAnsi="Arial"/>
          <w:sz w:val="18"/>
          <w:szCs w:val="18"/>
          <w:color w:val="auto"/>
        </w:rPr>
        <w:t>the other party’s execution or performance of this Agreement by any such Stamp Tax Jurisdiction which is not also a Stamp Tax Jurisdiction with respect to the other party.</w:t>
      </w:r>
    </w:p>
    <w:p>
      <w:pPr>
        <w:spacing w:after="0" w:line="253" w:lineRule="exact"/>
        <w:rPr>
          <w:sz w:val="20"/>
          <w:szCs w:val="20"/>
          <w:color w:val="auto"/>
        </w:rPr>
      </w:pPr>
    </w:p>
    <w:p>
      <w:pPr>
        <w:ind w:left="460" w:hanging="452"/>
        <w:spacing w:after="0"/>
        <w:tabs>
          <w:tab w:leader="none" w:pos="460" w:val="left"/>
        </w:tabs>
        <w:numPr>
          <w:ilvl w:val="0"/>
          <w:numId w:val="113"/>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 and Termination Events</w:t>
      </w:r>
    </w:p>
    <w:p>
      <w:pPr>
        <w:spacing w:after="0" w:line="96" w:lineRule="exact"/>
        <w:rPr>
          <w:sz w:val="20"/>
          <w:szCs w:val="20"/>
          <w:color w:val="auto"/>
        </w:rPr>
      </w:pPr>
    </w:p>
    <w:p>
      <w:pPr>
        <w:ind w:right="260" w:firstLine="8"/>
        <w:spacing w:after="0" w:line="332" w:lineRule="auto"/>
        <w:tabs>
          <w:tab w:leader="none" w:pos="239" w:val="left"/>
        </w:tabs>
        <w:numPr>
          <w:ilvl w:val="0"/>
          <w:numId w:val="1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Events of Default. </w:t>
      </w:r>
      <w:r>
        <w:rPr>
          <w:rFonts w:ascii="Arial" w:cs="Arial" w:eastAsia="Arial" w:hAnsi="Arial"/>
          <w:sz w:val="16"/>
          <w:szCs w:val="16"/>
          <w:color w:val="auto"/>
        </w:rPr>
        <w:t>The occurrence at any time with respect to a party or, if applicable, any Credit Support Provider of such party or any Specified Entity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party of any of the following events constitutes an event of default (an “Event of Default”) with respect to such party:—</w:t>
      </w:r>
    </w:p>
    <w:p>
      <w:pPr>
        <w:spacing w:after="0" w:line="4" w:lineRule="exact"/>
        <w:rPr>
          <w:rFonts w:ascii="Arial" w:cs="Arial" w:eastAsia="Arial" w:hAnsi="Arial"/>
          <w:sz w:val="16"/>
          <w:szCs w:val="16"/>
          <w:color w:val="auto"/>
        </w:rPr>
      </w:pPr>
    </w:p>
    <w:p>
      <w:pPr>
        <w:ind w:left="460" w:right="80" w:firstLine="4"/>
        <w:spacing w:after="0" w:line="332" w:lineRule="auto"/>
        <w:tabs>
          <w:tab w:leader="none" w:pos="670" w:val="left"/>
        </w:tabs>
        <w:numPr>
          <w:ilvl w:val="1"/>
          <w:numId w:val="1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Failure to Pay or Deliver. </w:t>
      </w:r>
      <w:r>
        <w:rPr>
          <w:rFonts w:ascii="Arial" w:cs="Arial" w:eastAsia="Arial" w:hAnsi="Arial"/>
          <w:sz w:val="16"/>
          <w:szCs w:val="16"/>
          <w:color w:val="auto"/>
        </w:rPr>
        <w:t>Failure by the party to make, when due, any payment under this Agreement or delivery under Section 2(a)(i) or 2(e) required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made by it if such failure is not remedied on or before the third Local Business Day after notice of such failure is given to the party;</w:t>
      </w:r>
    </w:p>
    <w:p>
      <w:pPr>
        <w:spacing w:after="0" w:line="4" w:lineRule="exact"/>
        <w:rPr>
          <w:rFonts w:ascii="Arial" w:cs="Arial" w:eastAsia="Arial" w:hAnsi="Arial"/>
          <w:sz w:val="16"/>
          <w:szCs w:val="16"/>
          <w:color w:val="auto"/>
        </w:rPr>
      </w:pPr>
    </w:p>
    <w:p>
      <w:pPr>
        <w:ind w:left="460" w:right="200" w:firstLine="4"/>
        <w:spacing w:after="0" w:line="256" w:lineRule="auto"/>
        <w:tabs>
          <w:tab w:leader="none" w:pos="718" w:val="left"/>
        </w:tabs>
        <w:numPr>
          <w:ilvl w:val="1"/>
          <w:numId w:val="1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Breach of Agreement. </w:t>
      </w:r>
      <w:r>
        <w:rPr>
          <w:rFonts w:ascii="Arial" w:cs="Arial" w:eastAsia="Arial" w:hAnsi="Arial"/>
          <w:sz w:val="18"/>
          <w:szCs w:val="18"/>
          <w:color w:val="auto"/>
        </w:rPr>
        <w:t>Failure by the party to comply with or perform any agreement or obligation (other than an obligation to make any payment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this Agreement or delivery under Section 2(a)(i) or 2(e) or to give notice of a Termination Event or any agreement or obligation under Section 4(a) (i), 4(a)(iii) or 4(d)) to be complied with or performed by the party in accordance with this Agreement if such failure is not remedied on or before the thirtieth day after notice of such failure is given to the party;</w:t>
      </w:r>
    </w:p>
    <w:p>
      <w:pPr>
        <w:spacing w:after="0" w:line="62" w:lineRule="exact"/>
        <w:rPr>
          <w:rFonts w:ascii="Arial" w:cs="Arial" w:eastAsia="Arial" w:hAnsi="Arial"/>
          <w:sz w:val="18"/>
          <w:szCs w:val="18"/>
          <w:color w:val="auto"/>
        </w:rPr>
      </w:pPr>
    </w:p>
    <w:p>
      <w:pPr>
        <w:ind w:left="780" w:hanging="316"/>
        <w:spacing w:after="0"/>
        <w:tabs>
          <w:tab w:leader="none" w:pos="780" w:val="left"/>
        </w:tabs>
        <w:numPr>
          <w:ilvl w:val="1"/>
          <w:numId w:val="114"/>
        </w:numPr>
        <w:rPr>
          <w:rFonts w:ascii="Arial" w:cs="Arial" w:eastAsia="Arial" w:hAnsi="Arial"/>
          <w:sz w:val="18"/>
          <w:szCs w:val="18"/>
          <w:color w:val="auto"/>
        </w:rPr>
      </w:pPr>
      <w:r>
        <w:rPr>
          <w:rFonts w:ascii="Arial" w:cs="Arial" w:eastAsia="Arial" w:hAnsi="Arial"/>
          <w:sz w:val="18"/>
          <w:szCs w:val="18"/>
          <w:b w:val="1"/>
          <w:bCs w:val="1"/>
          <w:i w:val="1"/>
          <w:iCs w:val="1"/>
          <w:color w:val="auto"/>
        </w:rPr>
        <w:t>Credit Support Default.</w:t>
      </w:r>
    </w:p>
    <w:p>
      <w:pPr>
        <w:spacing w:after="0" w:line="90" w:lineRule="exact"/>
        <w:rPr>
          <w:rFonts w:ascii="Arial" w:cs="Arial" w:eastAsia="Arial" w:hAnsi="Arial"/>
          <w:sz w:val="18"/>
          <w:szCs w:val="18"/>
          <w:color w:val="auto"/>
        </w:rPr>
      </w:pPr>
    </w:p>
    <w:p>
      <w:pPr>
        <w:ind w:left="920" w:right="140" w:firstLine="1"/>
        <w:spacing w:after="0" w:line="332" w:lineRule="auto"/>
        <w:tabs>
          <w:tab w:leader="none" w:pos="1169" w:val="left"/>
        </w:tabs>
        <w:numPr>
          <w:ilvl w:val="2"/>
          <w:numId w:val="114"/>
        </w:numPr>
        <w:rPr>
          <w:rFonts w:ascii="Arial" w:cs="Arial" w:eastAsia="Arial" w:hAnsi="Arial"/>
          <w:sz w:val="16"/>
          <w:szCs w:val="16"/>
          <w:color w:val="auto"/>
        </w:rPr>
      </w:pPr>
      <w:r>
        <w:rPr>
          <w:rFonts w:ascii="Arial" w:cs="Arial" w:eastAsia="Arial" w:hAnsi="Arial"/>
          <w:sz w:val="16"/>
          <w:szCs w:val="16"/>
          <w:color w:val="auto"/>
        </w:rPr>
        <w:t>Failure by the party or any Credit Support Provider of such party to comply with or perform any agreement or obligation to be complied with or performed by it in accordance with any Credit Support Document if such failure is continuing after any applicable grace period has elapsed;</w:t>
      </w:r>
    </w:p>
    <w:p>
      <w:pPr>
        <w:spacing w:after="0" w:line="4" w:lineRule="exact"/>
        <w:rPr>
          <w:rFonts w:ascii="Arial" w:cs="Arial" w:eastAsia="Arial" w:hAnsi="Arial"/>
          <w:sz w:val="16"/>
          <w:szCs w:val="16"/>
          <w:color w:val="auto"/>
        </w:rPr>
      </w:pPr>
    </w:p>
    <w:p>
      <w:pPr>
        <w:ind w:left="920" w:right="140" w:firstLine="1"/>
        <w:spacing w:after="0" w:line="286" w:lineRule="auto"/>
        <w:tabs>
          <w:tab w:leader="none" w:pos="1169" w:val="left"/>
        </w:tabs>
        <w:numPr>
          <w:ilvl w:val="2"/>
          <w:numId w:val="114"/>
        </w:numPr>
        <w:rPr>
          <w:rFonts w:ascii="Arial" w:cs="Arial" w:eastAsia="Arial" w:hAnsi="Arial"/>
          <w:sz w:val="16"/>
          <w:szCs w:val="16"/>
          <w:color w:val="auto"/>
        </w:rPr>
      </w:pPr>
      <w:r>
        <w:rPr>
          <w:rFonts w:ascii="Arial" w:cs="Arial" w:eastAsia="Arial" w:hAnsi="Arial"/>
          <w:sz w:val="16"/>
          <w:szCs w:val="16"/>
          <w:color w:val="auto"/>
        </w:rPr>
        <w:t>the expiration or termination of such Credit Support Document or the failing or ceasing of such Credit Support Document to be in full force and effect for the purpose of this Agreement (in either case other than in accordance with its terms) prior to the satisfaction of all obligations</w:t>
      </w:r>
    </w:p>
    <w:p>
      <w:pPr>
        <w:ind w:left="920"/>
        <w:spacing w:after="0"/>
        <w:rPr>
          <w:rFonts w:ascii="Arial" w:cs="Arial" w:eastAsia="Arial" w:hAnsi="Arial"/>
          <w:sz w:val="16"/>
          <w:szCs w:val="16"/>
          <w:color w:val="auto"/>
        </w:rPr>
      </w:pPr>
      <w:r>
        <w:rPr>
          <w:rFonts w:ascii="Arial" w:cs="Arial" w:eastAsia="Arial" w:hAnsi="Arial"/>
          <w:sz w:val="16"/>
          <w:szCs w:val="16"/>
          <w:color w:val="auto"/>
        </w:rPr>
        <w:t>of such party under each Transaction to which such Credit Support Document relates without the written consent of the other party; or</w:t>
      </w:r>
    </w:p>
    <w:p>
      <w:pPr>
        <w:spacing w:after="0" w:line="106" w:lineRule="exact"/>
        <w:rPr>
          <w:rFonts w:ascii="Arial" w:cs="Arial" w:eastAsia="Arial" w:hAnsi="Arial"/>
          <w:sz w:val="16"/>
          <w:szCs w:val="16"/>
          <w:color w:val="auto"/>
        </w:rPr>
      </w:pPr>
    </w:p>
    <w:p>
      <w:pPr>
        <w:ind w:left="920" w:right="20" w:firstLine="1"/>
        <w:spacing w:after="0" w:line="268" w:lineRule="auto"/>
        <w:tabs>
          <w:tab w:leader="none" w:pos="1169" w:val="left"/>
        </w:tabs>
        <w:numPr>
          <w:ilvl w:val="2"/>
          <w:numId w:val="114"/>
        </w:numPr>
        <w:rPr>
          <w:rFonts w:ascii="Arial" w:cs="Arial" w:eastAsia="Arial" w:hAnsi="Arial"/>
          <w:sz w:val="18"/>
          <w:szCs w:val="18"/>
          <w:color w:val="auto"/>
        </w:rPr>
      </w:pPr>
      <w:r>
        <w:rPr>
          <w:rFonts w:ascii="Arial" w:cs="Arial" w:eastAsia="Arial" w:hAnsi="Arial"/>
          <w:sz w:val="18"/>
          <w:szCs w:val="18"/>
          <w:color w:val="auto"/>
        </w:rPr>
        <w:t>the party or such Credit Support Provider disaffirms, disclaims, repudiates or rejects, in whole or in part, or challenges the validity of, such Credit Support Document;</w:t>
      </w:r>
    </w:p>
    <w:p>
      <w:pPr>
        <w:spacing w:after="0" w:line="50" w:lineRule="exact"/>
        <w:rPr>
          <w:rFonts w:ascii="Arial" w:cs="Arial" w:eastAsia="Arial" w:hAnsi="Arial"/>
          <w:sz w:val="18"/>
          <w:szCs w:val="18"/>
          <w:color w:val="auto"/>
        </w:rPr>
      </w:pPr>
    </w:p>
    <w:p>
      <w:pPr>
        <w:ind w:left="460" w:right="100" w:firstLine="4"/>
        <w:spacing w:after="0" w:line="259" w:lineRule="auto"/>
        <w:tabs>
          <w:tab w:leader="none" w:pos="757" w:val="left"/>
        </w:tabs>
        <w:numPr>
          <w:ilvl w:val="1"/>
          <w:numId w:val="1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Misrepresentation. </w:t>
      </w:r>
      <w:r>
        <w:rPr>
          <w:rFonts w:ascii="Arial" w:cs="Arial" w:eastAsia="Arial" w:hAnsi="Arial"/>
          <w:sz w:val="18"/>
          <w:szCs w:val="18"/>
          <w:color w:val="auto"/>
        </w:rPr>
        <w:t>A representation (other than a representation under Section 3(e) or (f)) made or repeated or deemed to have been made or repeated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party or any Credit Support Provider of such party in this Agreement or any Credit Support Document proves to have been incorrect or misleading in any material respect when made or repeated or deemed to have been made or repeated;</w:t>
      </w:r>
    </w:p>
    <w:p>
      <w:pPr>
        <w:spacing w:after="0" w:line="59" w:lineRule="exact"/>
        <w:rPr>
          <w:rFonts w:ascii="Arial" w:cs="Arial" w:eastAsia="Arial" w:hAnsi="Arial"/>
          <w:sz w:val="18"/>
          <w:szCs w:val="18"/>
          <w:color w:val="auto"/>
        </w:rPr>
      </w:pPr>
    </w:p>
    <w:p>
      <w:pPr>
        <w:ind w:left="460" w:right="40" w:firstLine="4"/>
        <w:spacing w:after="0" w:line="286" w:lineRule="auto"/>
        <w:tabs>
          <w:tab w:leader="none" w:pos="709" w:val="left"/>
        </w:tabs>
        <w:numPr>
          <w:ilvl w:val="1"/>
          <w:numId w:val="11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Default under Specified Transaction. </w:t>
      </w:r>
      <w:r>
        <w:rPr>
          <w:rFonts w:ascii="Arial" w:cs="Arial" w:eastAsia="Arial" w:hAnsi="Arial"/>
          <w:sz w:val="16"/>
          <w:szCs w:val="16"/>
          <w:color w:val="auto"/>
        </w:rPr>
        <w:t>The party, any Credit Support Provider of such party or any applicable Specified Entity of such party (1) defaults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a Specified Transaction and, after giving effect to any applicable notice requirement or grace period, there occurs a liquidation of, an</w:t>
      </w:r>
    </w:p>
    <w:p>
      <w:pPr>
        <w:ind w:left="460"/>
        <w:spacing w:after="0" w:line="281" w:lineRule="auto"/>
        <w:rPr>
          <w:rFonts w:ascii="Arial" w:cs="Arial" w:eastAsia="Arial" w:hAnsi="Arial"/>
          <w:sz w:val="16"/>
          <w:szCs w:val="16"/>
          <w:color w:val="auto"/>
        </w:rPr>
      </w:pPr>
      <w:r>
        <w:rPr>
          <w:rFonts w:ascii="Arial" w:cs="Arial" w:eastAsia="Arial" w:hAnsi="Arial"/>
          <w:sz w:val="16"/>
          <w:szCs w:val="16"/>
          <w:color w:val="auto"/>
        </w:rPr>
        <w:t>acceleration of obligations under, or an early termination of, that Specified Transaction, (2) defaults, after giving effect to any applicable notice requirement or grace period, in making any payment or delivery due on the last payment, delivery or exchange date of, or any payment on early termination</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of, a Specified Transaction (or such default continues for at least three Local Business Days if there is no applicable notice requirement or grace period) or</w:t>
      </w:r>
    </w:p>
    <w:p>
      <w:pPr>
        <w:spacing w:after="0" w:line="32" w:lineRule="exact"/>
        <w:rPr>
          <w:rFonts w:ascii="Arial" w:cs="Arial" w:eastAsia="Arial" w:hAnsi="Arial"/>
          <w:sz w:val="16"/>
          <w:szCs w:val="16"/>
          <w:color w:val="auto"/>
        </w:rPr>
      </w:pPr>
    </w:p>
    <w:p>
      <w:pPr>
        <w:ind w:left="460" w:right="1280"/>
        <w:spacing w:after="0" w:line="261" w:lineRule="auto"/>
        <w:rPr>
          <w:rFonts w:ascii="Arial" w:cs="Arial" w:eastAsia="Arial" w:hAnsi="Arial"/>
          <w:sz w:val="16"/>
          <w:szCs w:val="16"/>
          <w:color w:val="auto"/>
        </w:rPr>
      </w:pPr>
      <w:r>
        <w:rPr>
          <w:rFonts w:ascii="Arial" w:cs="Arial" w:eastAsia="Arial" w:hAnsi="Arial"/>
          <w:sz w:val="18"/>
          <w:szCs w:val="18"/>
          <w:color w:val="auto"/>
        </w:rPr>
        <w:t>(3) disaffirms, disclaims, repudiates or rejects, in whole or in part, a Specified Transaction (or such action is taken by any person or entity appointed or empowered to operate it or act on its behalf);</w:t>
      </w:r>
    </w:p>
    <w:p>
      <w:pPr>
        <w:spacing w:after="0" w:line="56" w:lineRule="exact"/>
        <w:rPr>
          <w:rFonts w:ascii="Arial" w:cs="Arial" w:eastAsia="Arial" w:hAnsi="Arial"/>
          <w:sz w:val="16"/>
          <w:szCs w:val="16"/>
          <w:color w:val="auto"/>
        </w:rPr>
      </w:pPr>
    </w:p>
    <w:p>
      <w:pPr>
        <w:ind w:left="460" w:right="160" w:firstLine="4"/>
        <w:spacing w:after="0" w:line="268" w:lineRule="auto"/>
        <w:tabs>
          <w:tab w:leader="none" w:pos="757" w:val="left"/>
        </w:tabs>
        <w:numPr>
          <w:ilvl w:val="1"/>
          <w:numId w:val="11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Cross Default. </w:t>
      </w:r>
      <w:r>
        <w:rPr>
          <w:rFonts w:ascii="Arial" w:cs="Arial" w:eastAsia="Arial" w:hAnsi="Arial"/>
          <w:sz w:val="18"/>
          <w:szCs w:val="18"/>
          <w:color w:val="auto"/>
        </w:rPr>
        <w:t>If “Cross Default” is specified in the Schedule as applying to the party, the occurrence or existence of (1) a default, event of default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similar condition or event (however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280" w:right="239" w:bottom="1440" w:gutter="0" w:footer="0" w:header="0"/>
        </w:sectPr>
      </w:pPr>
    </w:p>
    <w:bookmarkStart w:id="76" w:name="page77"/>
    <w:bookmarkEnd w:id="76"/>
    <w:p>
      <w:pPr>
        <w:ind w:left="452" w:right="7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described) in respect of such party, any Credit Support Provider of such party or any applicable Specified Entity of such party under one or more agreements or instruments relating to Specified Indebtedness of any of them (individually or collectively) in an aggregate amount of not less than</w:t>
      </w:r>
    </w:p>
    <w:p>
      <w:pPr>
        <w:ind w:left="452" w:right="60"/>
        <w:spacing w:after="0" w:line="300" w:lineRule="auto"/>
        <w:rPr>
          <w:sz w:val="20"/>
          <w:szCs w:val="20"/>
          <w:color w:val="auto"/>
        </w:rPr>
      </w:pPr>
      <w:r>
        <w:rPr>
          <w:rFonts w:ascii="Arial" w:cs="Arial" w:eastAsia="Arial" w:hAnsi="Arial"/>
          <w:sz w:val="15"/>
          <w:szCs w:val="15"/>
          <w:color w:val="auto"/>
        </w:rPr>
        <w:t>the applicable Threshold Amount (as specified in the Schedule) which has resulted in such Specified Indebtedness becoming, or becoming capable at such time of being declared, due and payable under such agreements or instruments, before it would otherwise have been due and payable or (2) a default</w:t>
      </w:r>
    </w:p>
    <w:p>
      <w:pPr>
        <w:spacing w:after="0" w:line="1" w:lineRule="exact"/>
        <w:rPr>
          <w:sz w:val="20"/>
          <w:szCs w:val="20"/>
          <w:color w:val="auto"/>
        </w:rPr>
      </w:pPr>
    </w:p>
    <w:p>
      <w:pPr>
        <w:ind w:left="452" w:right="20"/>
        <w:spacing w:after="0" w:line="255" w:lineRule="auto"/>
        <w:rPr>
          <w:sz w:val="20"/>
          <w:szCs w:val="20"/>
          <w:color w:val="auto"/>
        </w:rPr>
      </w:pPr>
      <w:r>
        <w:rPr>
          <w:rFonts w:ascii="Arial" w:cs="Arial" w:eastAsia="Arial" w:hAnsi="Arial"/>
          <w:sz w:val="18"/>
          <w:szCs w:val="18"/>
          <w:color w:val="auto"/>
        </w:rPr>
        <w:t>by such party, such Credit Support Provider or such Specified Entity (individually or collectively) in making one or more payments on the due date thereof in an aggregate amount of not less than the applicable Threshold Amount under such agreements or instruments (after giving effect to any applicable notice requirement or grace period);</w:t>
      </w:r>
    </w:p>
    <w:p>
      <w:pPr>
        <w:spacing w:after="0" w:line="63" w:lineRule="exact"/>
        <w:rPr>
          <w:sz w:val="20"/>
          <w:szCs w:val="20"/>
          <w:color w:val="auto"/>
        </w:rPr>
      </w:pPr>
    </w:p>
    <w:p>
      <w:pPr>
        <w:ind w:left="812" w:hanging="356"/>
        <w:spacing w:after="0"/>
        <w:tabs>
          <w:tab w:leader="none" w:pos="812" w:val="left"/>
        </w:tabs>
        <w:numPr>
          <w:ilvl w:val="1"/>
          <w:numId w:val="11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Bankruptcy. </w:t>
      </w:r>
      <w:r>
        <w:rPr>
          <w:rFonts w:ascii="Arial" w:cs="Arial" w:eastAsia="Arial" w:hAnsi="Arial"/>
          <w:sz w:val="18"/>
          <w:szCs w:val="18"/>
          <w:color w:val="auto"/>
        </w:rPr>
        <w:t>The party, any Credit Support Provider of such party or any applicable Specified Entity of such party:—</w:t>
      </w:r>
    </w:p>
    <w:p>
      <w:pPr>
        <w:spacing w:after="0" w:line="90" w:lineRule="exact"/>
        <w:rPr>
          <w:rFonts w:ascii="Arial" w:cs="Arial" w:eastAsia="Arial" w:hAnsi="Arial"/>
          <w:sz w:val="18"/>
          <w:szCs w:val="18"/>
          <w:color w:val="auto"/>
        </w:rPr>
      </w:pPr>
    </w:p>
    <w:p>
      <w:pPr>
        <w:ind w:left="912" w:right="20" w:firstLine="1"/>
        <w:spacing w:after="0" w:line="283" w:lineRule="auto"/>
        <w:tabs>
          <w:tab w:leader="none" w:pos="1161" w:val="left"/>
        </w:tabs>
        <w:numPr>
          <w:ilvl w:val="2"/>
          <w:numId w:val="115"/>
        </w:numPr>
        <w:rPr>
          <w:rFonts w:ascii="Arial" w:cs="Arial" w:eastAsia="Arial" w:hAnsi="Arial"/>
          <w:sz w:val="16"/>
          <w:szCs w:val="16"/>
          <w:color w:val="auto"/>
        </w:rPr>
      </w:pPr>
      <w:r>
        <w:rPr>
          <w:rFonts w:ascii="Arial" w:cs="Arial" w:eastAsia="Arial" w:hAnsi="Arial"/>
          <w:sz w:val="16"/>
          <w:szCs w:val="16"/>
          <w:color w:val="auto"/>
        </w:rPr>
        <w:t>is dissolved (other than pursuant to a consolidation, amalgamation or merger); (2) becomes insolvent or is unable to pay its debts or fails or admits in writing its inability generally to pay its debts as they become due; (3) makes a general assignment, arrangement or composition with or for the benefit of its creditors; (4) institutes or 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(A) results in a judgment</w:t>
      </w:r>
    </w:p>
    <w:p>
      <w:pPr>
        <w:spacing w:after="0" w:line="2" w:lineRule="exact"/>
        <w:rPr>
          <w:rFonts w:ascii="Arial" w:cs="Arial" w:eastAsia="Arial" w:hAnsi="Arial"/>
          <w:sz w:val="16"/>
          <w:szCs w:val="16"/>
          <w:color w:val="auto"/>
        </w:rPr>
      </w:pPr>
    </w:p>
    <w:p>
      <w:pPr>
        <w:ind w:left="912" w:right="340"/>
        <w:spacing w:after="0" w:line="281" w:lineRule="auto"/>
        <w:rPr>
          <w:rFonts w:ascii="Arial" w:cs="Arial" w:eastAsia="Arial" w:hAnsi="Arial"/>
          <w:sz w:val="16"/>
          <w:szCs w:val="16"/>
          <w:color w:val="auto"/>
        </w:rPr>
      </w:pPr>
      <w:r>
        <w:rPr>
          <w:rFonts w:ascii="Arial" w:cs="Arial" w:eastAsia="Arial" w:hAnsi="Arial"/>
          <w:sz w:val="16"/>
          <w:szCs w:val="16"/>
          <w:color w:val="auto"/>
        </w:rPr>
        <w:t>of insolvency or bankruptcy or the entry of an order for relief or the making of an order for its winding-up or liquidation or (B) is not dismissed, discharged, stayed or restrained in each case within 30 days of the institution or presentation thereof; (5) has a resolution passed for its winding-up, official management or liquidation (other than pursuant to a consolidation, amalgamation or merger); (6) seeks or becomes subject to the appointment of an administrator, provisional liquidator, conservator, receiver, trustee, custodian or other similar official for it or for</w:t>
      </w:r>
    </w:p>
    <w:p>
      <w:pPr>
        <w:spacing w:after="0" w:line="2" w:lineRule="exact"/>
        <w:rPr>
          <w:rFonts w:ascii="Arial" w:cs="Arial" w:eastAsia="Arial" w:hAnsi="Arial"/>
          <w:sz w:val="16"/>
          <w:szCs w:val="16"/>
          <w:color w:val="auto"/>
        </w:rPr>
      </w:pPr>
    </w:p>
    <w:p>
      <w:pPr>
        <w:ind w:left="912" w:right="220"/>
        <w:spacing w:after="0" w:line="281" w:lineRule="auto"/>
        <w:rPr>
          <w:rFonts w:ascii="Arial" w:cs="Arial" w:eastAsia="Arial" w:hAnsi="Arial"/>
          <w:sz w:val="16"/>
          <w:szCs w:val="16"/>
          <w:color w:val="auto"/>
        </w:rPr>
      </w:pPr>
      <w:r>
        <w:rPr>
          <w:rFonts w:ascii="Arial" w:cs="Arial" w:eastAsia="Arial" w:hAnsi="Arial"/>
          <w:sz w:val="16"/>
          <w:szCs w:val="16"/>
          <w:color w:val="auto"/>
        </w:rPr>
        <w:t>all or substantially all its assets; (7) has a secured party take possession of all or substantially all its assets or has a distress, execution, attachment, sequestration or other legal process levied, enforced or sued on or against all or substantially all its assets and such secured party</w:t>
      </w:r>
    </w:p>
    <w:p>
      <w:pPr>
        <w:spacing w:after="0" w:line="1" w:lineRule="exact"/>
        <w:rPr>
          <w:rFonts w:ascii="Arial" w:cs="Arial" w:eastAsia="Arial" w:hAnsi="Arial"/>
          <w:sz w:val="16"/>
          <w:szCs w:val="16"/>
          <w:color w:val="auto"/>
        </w:rPr>
      </w:pPr>
    </w:p>
    <w:p>
      <w:pPr>
        <w:ind w:left="912" w:right="160"/>
        <w:spacing w:after="0" w:line="254" w:lineRule="auto"/>
        <w:rPr>
          <w:rFonts w:ascii="Arial" w:cs="Arial" w:eastAsia="Arial" w:hAnsi="Arial"/>
          <w:sz w:val="16"/>
          <w:szCs w:val="16"/>
          <w:color w:val="auto"/>
        </w:rPr>
      </w:pPr>
      <w:r>
        <w:rPr>
          <w:rFonts w:ascii="Arial" w:cs="Arial" w:eastAsia="Arial" w:hAnsi="Arial"/>
          <w:sz w:val="18"/>
          <w:szCs w:val="18"/>
          <w:color w:val="auto"/>
        </w:rPr>
        <w:t>maintains possession, or any such process is not dismissed, discharged, stayed or restrained, in each case within 30 days thereafter; (8) causes or is subject to any event with respect to it which, under the applicable laws of any jurisdiction, has an analogous effect to any of the events specified in clauses (1) to (7) (inclusive); or (9) takes any action in furtherance of, or indicating its consent to, approval of, or acquiescence in, any of the foregoing acts; or</w:t>
      </w:r>
    </w:p>
    <w:p>
      <w:pPr>
        <w:spacing w:after="0" w:line="62" w:lineRule="exact"/>
        <w:rPr>
          <w:rFonts w:ascii="Arial" w:cs="Arial" w:eastAsia="Arial" w:hAnsi="Arial"/>
          <w:sz w:val="16"/>
          <w:szCs w:val="16"/>
          <w:color w:val="auto"/>
        </w:rPr>
      </w:pPr>
    </w:p>
    <w:p>
      <w:pPr>
        <w:ind w:left="452" w:right="220" w:firstLine="4"/>
        <w:spacing w:after="0" w:line="332" w:lineRule="auto"/>
        <w:tabs>
          <w:tab w:leader="none" w:pos="847" w:val="left"/>
        </w:tabs>
        <w:numPr>
          <w:ilvl w:val="1"/>
          <w:numId w:val="11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Merger Without Assumption. </w:t>
      </w:r>
      <w:r>
        <w:rPr>
          <w:rFonts w:ascii="Arial" w:cs="Arial" w:eastAsia="Arial" w:hAnsi="Arial"/>
          <w:sz w:val="16"/>
          <w:szCs w:val="16"/>
          <w:color w:val="auto"/>
        </w:rPr>
        <w:t>The party or any Credit Support Provider of such party consolidates or amalgamates with, or merges with or into,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transfers all or substantially all its assets to, another entity and, at the time of such consolidation, amalgamation, merger or transfer:—</w:t>
      </w:r>
    </w:p>
    <w:p>
      <w:pPr>
        <w:spacing w:after="0" w:line="4" w:lineRule="exact"/>
        <w:rPr>
          <w:rFonts w:ascii="Arial" w:cs="Arial" w:eastAsia="Arial" w:hAnsi="Arial"/>
          <w:sz w:val="16"/>
          <w:szCs w:val="16"/>
          <w:color w:val="auto"/>
        </w:rPr>
      </w:pPr>
    </w:p>
    <w:p>
      <w:pPr>
        <w:jc w:val="both"/>
        <w:ind w:left="912" w:firstLine="1"/>
        <w:spacing w:after="0" w:line="259" w:lineRule="auto"/>
        <w:tabs>
          <w:tab w:leader="none" w:pos="1161"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the resulting, surviving or transferee entity fails to assume all the obligations of such party or such Credit Support Provider under this Agreement or any Credit Support Document to which it or its predecessor was a party by operation of law or pursuant to an agreement reasonably satisfactory to the other party to this Agreement; or</w:t>
      </w:r>
    </w:p>
    <w:p>
      <w:pPr>
        <w:spacing w:after="0" w:line="59" w:lineRule="exact"/>
        <w:rPr>
          <w:rFonts w:ascii="Arial" w:cs="Arial" w:eastAsia="Arial" w:hAnsi="Arial"/>
          <w:sz w:val="18"/>
          <w:szCs w:val="18"/>
          <w:color w:val="auto"/>
        </w:rPr>
      </w:pPr>
    </w:p>
    <w:p>
      <w:pPr>
        <w:ind w:left="912" w:right="620" w:firstLine="1"/>
        <w:spacing w:after="0" w:line="268" w:lineRule="auto"/>
        <w:tabs>
          <w:tab w:leader="none" w:pos="1161" w:val="left"/>
        </w:tabs>
        <w:numPr>
          <w:ilvl w:val="2"/>
          <w:numId w:val="115"/>
        </w:numPr>
        <w:rPr>
          <w:rFonts w:ascii="Arial" w:cs="Arial" w:eastAsia="Arial" w:hAnsi="Arial"/>
          <w:sz w:val="18"/>
          <w:szCs w:val="18"/>
          <w:color w:val="auto"/>
        </w:rPr>
      </w:pPr>
      <w:r>
        <w:rPr>
          <w:rFonts w:ascii="Arial" w:cs="Arial" w:eastAsia="Arial" w:hAnsi="Arial"/>
          <w:sz w:val="18"/>
          <w:szCs w:val="18"/>
          <w:color w:val="auto"/>
        </w:rPr>
        <w:t>the benefits of any Credit Support Document fail to extend (without the consent of the other party) to the performance by such resulting, surviving or transferee entity of its obligations under this Agreement.</w:t>
      </w:r>
    </w:p>
    <w:p>
      <w:pPr>
        <w:spacing w:after="0" w:line="131" w:lineRule="exact"/>
        <w:rPr>
          <w:rFonts w:ascii="Arial" w:cs="Arial" w:eastAsia="Arial" w:hAnsi="Arial"/>
          <w:sz w:val="18"/>
          <w:szCs w:val="18"/>
          <w:color w:val="auto"/>
        </w:rPr>
      </w:pPr>
    </w:p>
    <w:p>
      <w:pPr>
        <w:ind w:left="-8" w:right="60" w:firstLine="8"/>
        <w:spacing w:after="0" w:line="259" w:lineRule="auto"/>
        <w:tabs>
          <w:tab w:leader="none" w:pos="241" w:val="left"/>
        </w:tabs>
        <w:numPr>
          <w:ilvl w:val="0"/>
          <w:numId w:val="11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Termination Events. </w:t>
      </w:r>
      <w:r>
        <w:rPr>
          <w:rFonts w:ascii="Arial" w:cs="Arial" w:eastAsia="Arial" w:hAnsi="Arial"/>
          <w:sz w:val="18"/>
          <w:szCs w:val="18"/>
          <w:color w:val="auto"/>
        </w:rPr>
        <w:t>The occurrence at any time with respect to a party or, if applicable, any Credit Support Provider of such party or any Specified Entity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party of any event specified below constitutes an Illegality if the event is specified in (i) below, a Tax Event if the event is specified in (ii) below or a Tax Event Upon Merger if the event is specified in (iii) below, and, if specified to be applicable, a Credit Event</w:t>
      </w:r>
    </w:p>
    <w:p>
      <w:pPr>
        <w:spacing w:after="0" w:line="127"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72"/>
          </w:cols>
          <w:pgMar w:left="248" w:top="280" w:right="279" w:bottom="1440" w:gutter="0" w:footer="0" w:header="0"/>
        </w:sectPr>
      </w:pPr>
    </w:p>
    <w:bookmarkStart w:id="77" w:name="page78"/>
    <w:bookmarkEnd w:id="7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Merger if the event is specified pursuant to (iv) below or an Additional Termination Event if the event is specified pursuant to (v) below:—</w:t>
      </w:r>
    </w:p>
    <w:p>
      <w:pPr>
        <w:spacing w:after="0" w:line="90" w:lineRule="exact"/>
        <w:rPr>
          <w:sz w:val="20"/>
          <w:szCs w:val="20"/>
          <w:color w:val="auto"/>
        </w:rPr>
      </w:pPr>
    </w:p>
    <w:p>
      <w:pPr>
        <w:ind w:left="460" w:right="140" w:firstLine="4"/>
        <w:spacing w:after="0" w:line="286" w:lineRule="auto"/>
        <w:tabs>
          <w:tab w:leader="none" w:pos="670" w:val="left"/>
        </w:tabs>
        <w:numPr>
          <w:ilvl w:val="0"/>
          <w:numId w:val="1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Illegality. </w:t>
      </w:r>
      <w:r>
        <w:rPr>
          <w:rFonts w:ascii="Arial" w:cs="Arial" w:eastAsia="Arial" w:hAnsi="Arial"/>
          <w:sz w:val="16"/>
          <w:szCs w:val="16"/>
          <w:color w:val="auto"/>
        </w:rPr>
        <w:t>Due to the adoption of, or any change in, any applicable law after the date on which a Transaction is entered into, or due to the promulgation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or any change in, the interpretation by any court, tribunal or regulatory authority with competent jurisdiction of any applicable law after</w:t>
      </w:r>
    </w:p>
    <w:p>
      <w:pPr>
        <w:ind w:left="460"/>
        <w:spacing w:after="0"/>
        <w:rPr>
          <w:rFonts w:ascii="Arial" w:cs="Arial" w:eastAsia="Arial" w:hAnsi="Arial"/>
          <w:sz w:val="16"/>
          <w:szCs w:val="16"/>
          <w:color w:val="auto"/>
        </w:rPr>
      </w:pPr>
      <w:r>
        <w:rPr>
          <w:rFonts w:ascii="Arial" w:cs="Arial" w:eastAsia="Arial" w:hAnsi="Arial"/>
          <w:sz w:val="16"/>
          <w:szCs w:val="16"/>
          <w:color w:val="auto"/>
        </w:rPr>
        <w:t>such date, it becomes unlawful (other than as a result of a breach by the party of Section 4(b)) for such party (which will be the Affected Party):—</w:t>
      </w:r>
    </w:p>
    <w:p>
      <w:pPr>
        <w:spacing w:after="0" w:line="106" w:lineRule="exact"/>
        <w:rPr>
          <w:rFonts w:ascii="Arial" w:cs="Arial" w:eastAsia="Arial" w:hAnsi="Arial"/>
          <w:sz w:val="16"/>
          <w:szCs w:val="16"/>
          <w:color w:val="auto"/>
        </w:rPr>
      </w:pPr>
    </w:p>
    <w:p>
      <w:pPr>
        <w:ind w:left="920" w:right="20" w:firstLine="1"/>
        <w:spacing w:after="0" w:line="268" w:lineRule="auto"/>
        <w:tabs>
          <w:tab w:leader="none" w:pos="1169"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to perform any absolute or contingent obligation to make a payment or delivery or to receive a payment or delivery in respect of such Transaction or to comply with any other material provision of this Agreement relating to such Transaction; or</w:t>
      </w:r>
    </w:p>
    <w:p>
      <w:pPr>
        <w:spacing w:after="0" w:line="50" w:lineRule="exact"/>
        <w:rPr>
          <w:rFonts w:ascii="Arial" w:cs="Arial" w:eastAsia="Arial" w:hAnsi="Arial"/>
          <w:sz w:val="18"/>
          <w:szCs w:val="18"/>
          <w:color w:val="auto"/>
        </w:rPr>
      </w:pPr>
    </w:p>
    <w:p>
      <w:pPr>
        <w:ind w:left="920" w:right="540" w:firstLine="1"/>
        <w:spacing w:after="0" w:line="268" w:lineRule="auto"/>
        <w:tabs>
          <w:tab w:leader="none" w:pos="1169" w:val="left"/>
        </w:tabs>
        <w:numPr>
          <w:ilvl w:val="1"/>
          <w:numId w:val="117"/>
        </w:numPr>
        <w:rPr>
          <w:rFonts w:ascii="Arial" w:cs="Arial" w:eastAsia="Arial" w:hAnsi="Arial"/>
          <w:sz w:val="18"/>
          <w:szCs w:val="18"/>
          <w:color w:val="auto"/>
        </w:rPr>
      </w:pPr>
      <w:r>
        <w:rPr>
          <w:rFonts w:ascii="Arial" w:cs="Arial" w:eastAsia="Arial" w:hAnsi="Arial"/>
          <w:sz w:val="18"/>
          <w:szCs w:val="18"/>
          <w:color w:val="auto"/>
        </w:rPr>
        <w:t>to perform, or for any Credit Support Provider of such party to perform, any contingent or other obligation which the party (or such Credit Support Provider) has under any Credit Support Document relating to such Transaction;</w:t>
      </w:r>
    </w:p>
    <w:p>
      <w:pPr>
        <w:spacing w:after="0" w:line="50" w:lineRule="exact"/>
        <w:rPr>
          <w:rFonts w:ascii="Arial" w:cs="Arial" w:eastAsia="Arial" w:hAnsi="Arial"/>
          <w:sz w:val="18"/>
          <w:szCs w:val="18"/>
          <w:color w:val="auto"/>
        </w:rPr>
      </w:pPr>
    </w:p>
    <w:p>
      <w:pPr>
        <w:ind w:left="460" w:right="40" w:firstLine="4"/>
        <w:spacing w:after="0" w:line="286" w:lineRule="auto"/>
        <w:tabs>
          <w:tab w:leader="none" w:pos="718" w:val="left"/>
        </w:tabs>
        <w:numPr>
          <w:ilvl w:val="0"/>
          <w:numId w:val="1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 Event. </w:t>
      </w:r>
      <w:r>
        <w:rPr>
          <w:rFonts w:ascii="Arial" w:cs="Arial" w:eastAsia="Arial" w:hAnsi="Arial"/>
          <w:sz w:val="16"/>
          <w:szCs w:val="16"/>
          <w:color w:val="auto"/>
        </w:rPr>
        <w:t>Due to (x) any action taken by a taxing authority, or brought in a court of competent jurisdiction, on or after the date on which a Transaction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entered into (regardless of whether such action is taken or brought with respect to a party to this Agreement) or (y) a Change in Tax Law,</w:t>
      </w:r>
    </w:p>
    <w:p>
      <w:pPr>
        <w:ind w:left="460"/>
        <w:spacing w:after="0" w:line="281" w:lineRule="auto"/>
        <w:rPr>
          <w:rFonts w:ascii="Arial" w:cs="Arial" w:eastAsia="Arial" w:hAnsi="Arial"/>
          <w:sz w:val="16"/>
          <w:szCs w:val="16"/>
          <w:color w:val="auto"/>
        </w:rPr>
      </w:pPr>
      <w:r>
        <w:rPr>
          <w:rFonts w:ascii="Arial" w:cs="Arial" w:eastAsia="Arial" w:hAnsi="Arial"/>
          <w:sz w:val="16"/>
          <w:szCs w:val="16"/>
          <w:color w:val="auto"/>
        </w:rPr>
        <w:t>the party (which will be the Affected Party) will, or there is a substantial likelihood that it will, on the next succeeding Scheduled Payment Date (1) be required to pay to the other party an additional amount in respect of an Indemnifiable Tax under Section 2(d)(i)(4) (except in respect of interest under Section 2(e), 6(d)(ii) or 6(e)) or (2) receive a payment from which an amount is required to be deducted or withheld for or on account of a Tax (except in respect of interest under Section 2(e), 6(d)(ii) or 6(e)) and no additional amount is required to be paid in respect of such Tax under Section 2(d)(i)</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(4) (other than by reason of Section 2(d)(i)(4)(A) or (B));</w:t>
      </w:r>
    </w:p>
    <w:p>
      <w:pPr>
        <w:spacing w:after="0" w:line="83" w:lineRule="exact"/>
        <w:rPr>
          <w:rFonts w:ascii="Arial" w:cs="Arial" w:eastAsia="Arial" w:hAnsi="Arial"/>
          <w:sz w:val="16"/>
          <w:szCs w:val="16"/>
          <w:color w:val="auto"/>
        </w:rPr>
      </w:pPr>
    </w:p>
    <w:p>
      <w:pPr>
        <w:ind w:left="460" w:right="480" w:firstLine="4"/>
        <w:spacing w:after="0" w:line="286" w:lineRule="auto"/>
        <w:tabs>
          <w:tab w:leader="none" w:pos="767" w:val="left"/>
        </w:tabs>
        <w:numPr>
          <w:ilvl w:val="0"/>
          <w:numId w:val="1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 Event Upon Merger. </w:t>
      </w:r>
      <w:r>
        <w:rPr>
          <w:rFonts w:ascii="Arial" w:cs="Arial" w:eastAsia="Arial" w:hAnsi="Arial"/>
          <w:sz w:val="16"/>
          <w:szCs w:val="16"/>
          <w:color w:val="auto"/>
        </w:rPr>
        <w:t>The party (the “Burdened Party”) on the next succeeding Scheduled Payment Date will either (1) be required to pay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amount in respect of an Indemnifiable Tax under Section 2(d)(i)(4) (except in respect of interest under Section 2(e), 6(d)(ii) or 6(e)) or</w:t>
      </w:r>
    </w:p>
    <w:p>
      <w:pPr>
        <w:ind w:left="460" w:right="100"/>
        <w:spacing w:after="0" w:line="281" w:lineRule="auto"/>
        <w:rPr>
          <w:rFonts w:ascii="Arial" w:cs="Arial" w:eastAsia="Arial" w:hAnsi="Arial"/>
          <w:sz w:val="16"/>
          <w:szCs w:val="16"/>
          <w:color w:val="auto"/>
        </w:rPr>
      </w:pPr>
      <w:r>
        <w:rPr>
          <w:rFonts w:ascii="Arial" w:cs="Arial" w:eastAsia="Arial" w:hAnsi="Arial"/>
          <w:sz w:val="16"/>
          <w:szCs w:val="16"/>
          <w:color w:val="auto"/>
        </w:rPr>
        <w:t>(2) receive a payment from which an amount has been deducted or withheld for or on account of any Indemnifiable Tax in respect of which the other party is not required to pay an additional amount (other than by reason of Section 2(d)(i)(4)(A) or (B)), in either case as a result of a party</w:t>
      </w:r>
    </w:p>
    <w:p>
      <w:pPr>
        <w:spacing w:after="0" w:line="1" w:lineRule="exact"/>
        <w:rPr>
          <w:rFonts w:ascii="Arial" w:cs="Arial" w:eastAsia="Arial" w:hAnsi="Arial"/>
          <w:sz w:val="16"/>
          <w:szCs w:val="16"/>
          <w:color w:val="auto"/>
        </w:rPr>
      </w:pPr>
    </w:p>
    <w:p>
      <w:pPr>
        <w:ind w:left="460" w:right="180"/>
        <w:spacing w:after="0" w:line="261" w:lineRule="auto"/>
        <w:rPr>
          <w:rFonts w:ascii="Arial" w:cs="Arial" w:eastAsia="Arial" w:hAnsi="Arial"/>
          <w:sz w:val="16"/>
          <w:szCs w:val="16"/>
          <w:color w:val="auto"/>
        </w:rPr>
      </w:pPr>
      <w:r>
        <w:rPr>
          <w:rFonts w:ascii="Arial" w:cs="Arial" w:eastAsia="Arial" w:hAnsi="Arial"/>
          <w:sz w:val="18"/>
          <w:szCs w:val="18"/>
          <w:color w:val="auto"/>
        </w:rPr>
        <w:t>consolidating or amalgamating with, or merging with or into, or transferring all or substantially all its assets to, another entity (which will be the Affected Party) where such action does not constitute an event described in Section 5(a)(viii);</w:t>
      </w:r>
    </w:p>
    <w:p>
      <w:pPr>
        <w:spacing w:after="0" w:line="56" w:lineRule="exact"/>
        <w:rPr>
          <w:rFonts w:ascii="Arial" w:cs="Arial" w:eastAsia="Arial" w:hAnsi="Arial"/>
          <w:sz w:val="16"/>
          <w:szCs w:val="16"/>
          <w:color w:val="auto"/>
        </w:rPr>
      </w:pPr>
    </w:p>
    <w:p>
      <w:pPr>
        <w:ind w:left="460" w:right="20" w:firstLine="4"/>
        <w:spacing w:after="0" w:line="283" w:lineRule="auto"/>
        <w:tabs>
          <w:tab w:leader="none" w:pos="757" w:val="left"/>
        </w:tabs>
        <w:numPr>
          <w:ilvl w:val="0"/>
          <w:numId w:val="1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Credit Event Upon Merger. </w:t>
      </w:r>
      <w:r>
        <w:rPr>
          <w:rFonts w:ascii="Arial" w:cs="Arial" w:eastAsia="Arial" w:hAnsi="Arial"/>
          <w:sz w:val="16"/>
          <w:szCs w:val="16"/>
          <w:color w:val="auto"/>
        </w:rPr>
        <w:t>If “Credit Event Upon Merger” is specified in the Schedule as applying to the party, such party (“X”), any Credit Support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Provider of X or any applicable Specified Entity of X consolidates or amalgamates with, or merges with or into, or transfers all or substantially all its assets to, another entity and such action does not constitute an event described in Section 5(a)(viii) but the creditworthiness of the resulting, surviving or transferee entity is materially weaker than that of X, such Credit Support Provider or such Specified Entity, as the case may be, immediately prior</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to such action (and, in such event, X or its successor or transferee, as appropriate, will be the Affected Party); or</w:t>
      </w:r>
    </w:p>
    <w:p>
      <w:pPr>
        <w:spacing w:after="0" w:line="83" w:lineRule="exact"/>
        <w:rPr>
          <w:rFonts w:ascii="Arial" w:cs="Arial" w:eastAsia="Arial" w:hAnsi="Arial"/>
          <w:sz w:val="16"/>
          <w:szCs w:val="16"/>
          <w:color w:val="auto"/>
        </w:rPr>
      </w:pPr>
    </w:p>
    <w:p>
      <w:pPr>
        <w:jc w:val="both"/>
        <w:ind w:left="460" w:right="140" w:firstLine="4"/>
        <w:spacing w:after="0" w:line="259" w:lineRule="auto"/>
        <w:tabs>
          <w:tab w:leader="none" w:pos="709" w:val="left"/>
        </w:tabs>
        <w:numPr>
          <w:ilvl w:val="0"/>
          <w:numId w:val="1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Termination Event. </w:t>
      </w:r>
      <w:r>
        <w:rPr>
          <w:rFonts w:ascii="Arial" w:cs="Arial" w:eastAsia="Arial" w:hAnsi="Arial"/>
          <w:sz w:val="18"/>
          <w:szCs w:val="18"/>
          <w:color w:val="auto"/>
        </w:rPr>
        <w:t>If any “Additional Termination Event” is specified in the Schedule or any Confirmation as applying, the occurrence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event (and, in such event, the Affected Party or Affected Parties shall be as specified for such Additional Termination Event in the Schedule or such Confirmation).</w:t>
      </w:r>
    </w:p>
    <w:p>
      <w:pPr>
        <w:spacing w:after="0" w:line="140" w:lineRule="exact"/>
        <w:rPr>
          <w:sz w:val="20"/>
          <w:szCs w:val="20"/>
          <w:color w:val="auto"/>
        </w:rPr>
      </w:pPr>
    </w:p>
    <w:p>
      <w:pPr>
        <w:ind w:right="80" w:firstLine="8"/>
        <w:spacing w:after="0" w:line="268" w:lineRule="auto"/>
        <w:tabs>
          <w:tab w:leader="none" w:pos="239" w:val="left"/>
        </w:tabs>
        <w:numPr>
          <w:ilvl w:val="0"/>
          <w:numId w:val="11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Event of Default and Illegality. </w:t>
      </w:r>
      <w:r>
        <w:rPr>
          <w:rFonts w:ascii="Arial" w:cs="Arial" w:eastAsia="Arial" w:hAnsi="Arial"/>
          <w:sz w:val="18"/>
          <w:szCs w:val="18"/>
          <w:color w:val="auto"/>
        </w:rPr>
        <w:t>If an event or circumstance which would otherwise constitute or give rise to an Event of Default also constitutes an Illegality,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will be treated as an Illegality and will not constitute an Event of Default.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78" w:name="page79"/>
    <w:bookmarkEnd w:id="78"/>
    <w:p>
      <w:pPr>
        <w:ind w:left="460" w:hanging="452"/>
        <w:spacing w:after="0"/>
        <w:tabs>
          <w:tab w:leader="none" w:pos="460" w:val="left"/>
        </w:tabs>
        <w:numPr>
          <w:ilvl w:val="0"/>
          <w:numId w:val="11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Early Termination</w:t>
      </w:r>
    </w:p>
    <w:p>
      <w:pPr>
        <w:spacing w:after="0" w:line="96" w:lineRule="exact"/>
        <w:rPr>
          <w:sz w:val="20"/>
          <w:szCs w:val="20"/>
          <w:color w:val="auto"/>
        </w:rPr>
      </w:pPr>
    </w:p>
    <w:p>
      <w:pPr>
        <w:ind w:firstLine="8"/>
        <w:spacing w:after="0" w:line="283" w:lineRule="auto"/>
        <w:tabs>
          <w:tab w:leader="none" w:pos="239" w:val="left"/>
        </w:tabs>
        <w:numPr>
          <w:ilvl w:val="0"/>
          <w:numId w:val="1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Right to Terminate Following Event of Default. </w:t>
      </w:r>
      <w:r>
        <w:rPr>
          <w:rFonts w:ascii="Arial" w:cs="Arial" w:eastAsia="Arial" w:hAnsi="Arial"/>
          <w:sz w:val="16"/>
          <w:szCs w:val="16"/>
          <w:color w:val="auto"/>
        </w:rPr>
        <w:t>If at any time an Event of Default with respect to a party (the “Defaulting Party”) has occurred and is 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continuing, the other party (the “Non-defaulting Party”) may, by not more than 20 days notice to the Defaulting Party specifying the relevant Event of Default, designate a day not earlier than the day such notice is effective as an Early Termination Date in respect of all outstanding Transactions. If, however, “Automatic Early Termination” is specified in the Schedule as applying to a party, then an Early Termination Date in respect of all outstanding Transactions will occur immediately upon the occurrence with respect to such party of an Event of Default specified in Section 5(a)(vii)(l), (3), (5)</w:t>
      </w:r>
      <w:r>
        <w:rPr>
          <w:rFonts w:ascii="Arial" w:cs="Arial" w:eastAsia="Arial" w:hAnsi="Arial"/>
          <w:sz w:val="16"/>
          <w:szCs w:val="16"/>
          <w:i w:val="1"/>
          <w:iCs w:val="1"/>
          <w:color w:val="auto"/>
        </w:rPr>
        <w:t>,</w:t>
      </w:r>
      <w:r>
        <w:rPr>
          <w:rFonts w:ascii="Arial" w:cs="Arial" w:eastAsia="Arial" w:hAnsi="Arial"/>
          <w:sz w:val="16"/>
          <w:szCs w:val="16"/>
          <w:color w:val="auto"/>
        </w:rPr>
        <w:t xml:space="preserve"> (6) or, to the extent analogous thereto,</w:t>
      </w:r>
    </w:p>
    <w:p>
      <w:pPr>
        <w:spacing w:after="0" w:line="2" w:lineRule="exact"/>
        <w:rPr>
          <w:rFonts w:ascii="Arial" w:cs="Arial" w:eastAsia="Arial" w:hAnsi="Arial"/>
          <w:sz w:val="16"/>
          <w:szCs w:val="16"/>
          <w:color w:val="auto"/>
        </w:rPr>
      </w:pPr>
    </w:p>
    <w:p>
      <w:pPr>
        <w:ind w:right="1640"/>
        <w:spacing w:after="0" w:line="323" w:lineRule="auto"/>
        <w:rPr>
          <w:rFonts w:ascii="Arial" w:cs="Arial" w:eastAsia="Arial" w:hAnsi="Arial"/>
          <w:sz w:val="16"/>
          <w:szCs w:val="16"/>
          <w:color w:val="auto"/>
        </w:rPr>
      </w:pPr>
      <w:r>
        <w:rPr>
          <w:rFonts w:ascii="Arial" w:cs="Arial" w:eastAsia="Arial" w:hAnsi="Arial"/>
          <w:sz w:val="16"/>
          <w:szCs w:val="16"/>
          <w:color w:val="auto"/>
        </w:rPr>
        <w:t>(8), and as of the time immediately preceding the institution of the relevant proceeding or the presentation of the relevant petition upon the occurrence with respect to such party of an Event of Default specified in Section 5(a)(vii)(4) or, to the extent analogous thereto, (8).</w:t>
      </w:r>
    </w:p>
    <w:p>
      <w:pPr>
        <w:spacing w:after="0" w:line="92" w:lineRule="exact"/>
        <w:rPr>
          <w:rFonts w:ascii="Arial" w:cs="Arial" w:eastAsia="Arial" w:hAnsi="Arial"/>
          <w:sz w:val="16"/>
          <w:szCs w:val="16"/>
          <w:color w:val="auto"/>
        </w:rPr>
      </w:pPr>
    </w:p>
    <w:p>
      <w:pPr>
        <w:ind w:left="260" w:hanging="252"/>
        <w:spacing w:after="0"/>
        <w:tabs>
          <w:tab w:leader="none" w:pos="260" w:val="left"/>
        </w:tabs>
        <w:numPr>
          <w:ilvl w:val="0"/>
          <w:numId w:val="120"/>
        </w:numPr>
        <w:rPr>
          <w:rFonts w:ascii="Arial" w:cs="Arial" w:eastAsia="Arial" w:hAnsi="Arial"/>
          <w:sz w:val="18"/>
          <w:szCs w:val="18"/>
          <w:color w:val="auto"/>
        </w:rPr>
      </w:pPr>
      <w:r>
        <w:rPr>
          <w:rFonts w:ascii="Arial" w:cs="Arial" w:eastAsia="Arial" w:hAnsi="Arial"/>
          <w:sz w:val="18"/>
          <w:szCs w:val="18"/>
          <w:b w:val="1"/>
          <w:bCs w:val="1"/>
          <w:i w:val="1"/>
          <w:iCs w:val="1"/>
          <w:color w:val="auto"/>
        </w:rPr>
        <w:t>Right to Terminate Following Termination Event.</w:t>
      </w:r>
    </w:p>
    <w:p>
      <w:pPr>
        <w:spacing w:after="0" w:line="90" w:lineRule="exact"/>
        <w:rPr>
          <w:rFonts w:ascii="Arial" w:cs="Arial" w:eastAsia="Arial" w:hAnsi="Arial"/>
          <w:sz w:val="18"/>
          <w:szCs w:val="18"/>
          <w:color w:val="auto"/>
        </w:rPr>
      </w:pPr>
    </w:p>
    <w:p>
      <w:pPr>
        <w:ind w:left="460" w:firstLine="4"/>
        <w:spacing w:after="0" w:line="259" w:lineRule="auto"/>
        <w:tabs>
          <w:tab w:leader="none" w:pos="670" w:val="left"/>
        </w:tabs>
        <w:numPr>
          <w:ilvl w:val="1"/>
          <w:numId w:val="120"/>
        </w:numPr>
        <w:rPr>
          <w:rFonts w:ascii="Arial" w:cs="Arial" w:eastAsia="Arial" w:hAnsi="Arial"/>
          <w:sz w:val="18"/>
          <w:szCs w:val="18"/>
          <w:color w:val="auto"/>
        </w:rPr>
      </w:pPr>
      <w:r>
        <w:rPr>
          <w:rFonts w:ascii="Arial" w:cs="Arial" w:eastAsia="Arial" w:hAnsi="Arial"/>
          <w:sz w:val="18"/>
          <w:szCs w:val="18"/>
          <w:b w:val="1"/>
          <w:bCs w:val="1"/>
          <w:i w:val="1"/>
          <w:iCs w:val="1"/>
          <w:color w:val="auto"/>
        </w:rPr>
        <w:t>Notice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a Termination Event occurs, an Affected Party will, promptly upon becoming aware of it, notify the other party, specifying the nature of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Event and each Affected Transaction and will also give such other information about that Termination Event as the other party may reasonably require.</w:t>
      </w:r>
    </w:p>
    <w:p>
      <w:pPr>
        <w:spacing w:after="0" w:line="59" w:lineRule="exact"/>
        <w:rPr>
          <w:rFonts w:ascii="Arial" w:cs="Arial" w:eastAsia="Arial" w:hAnsi="Arial"/>
          <w:sz w:val="18"/>
          <w:szCs w:val="18"/>
          <w:color w:val="auto"/>
        </w:rPr>
      </w:pPr>
    </w:p>
    <w:p>
      <w:pPr>
        <w:ind w:left="460" w:right="140" w:firstLine="4"/>
        <w:spacing w:after="0" w:line="286" w:lineRule="auto"/>
        <w:tabs>
          <w:tab w:leader="none" w:pos="718" w:val="left"/>
        </w:tabs>
        <w:numPr>
          <w:ilvl w:val="1"/>
          <w:numId w:val="12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Transfer to Avoid Termination Event. </w:t>
      </w:r>
      <w:r>
        <w:rPr>
          <w:rFonts w:ascii="Arial" w:cs="Arial" w:eastAsia="Arial" w:hAnsi="Arial"/>
          <w:sz w:val="16"/>
          <w:szCs w:val="16"/>
          <w:color w:val="auto"/>
        </w:rPr>
        <w:t>If either an Illegality under Section 5(b)(i)(l) or a Tax Event occurs and there is only one Affected Party, or if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Event Upon Merger occurs and the Burdened Party is the Affected Party, the Affected Party will, as a condition to its right to designate</w:t>
      </w:r>
    </w:p>
    <w:p>
      <w:pPr>
        <w:ind w:left="460" w:right="260"/>
        <w:spacing w:after="0" w:line="302" w:lineRule="auto"/>
        <w:rPr>
          <w:rFonts w:ascii="Arial" w:cs="Arial" w:eastAsia="Arial" w:hAnsi="Arial"/>
          <w:sz w:val="16"/>
          <w:szCs w:val="16"/>
          <w:color w:val="auto"/>
        </w:rPr>
      </w:pPr>
      <w:r>
        <w:rPr>
          <w:rFonts w:ascii="Arial" w:cs="Arial" w:eastAsia="Arial" w:hAnsi="Arial"/>
          <w:sz w:val="16"/>
          <w:szCs w:val="16"/>
          <w:color w:val="auto"/>
        </w:rPr>
        <w:t>an Early Termination Date under Section 6(b)(iv), use all reasonable efforts (which will not require such party to incur a loss, excluding immaterial, incidental expenses) to transfer within 20 days after it gives notice under Section 6(b)(i) all its rights and obligations under this Agreement in respect of the Affected Transactions to another of its Offices or Affiliates so that such Termination Event ceases to exist.</w:t>
      </w:r>
    </w:p>
    <w:p>
      <w:pPr>
        <w:spacing w:after="0" w:line="28" w:lineRule="exact"/>
        <w:rPr>
          <w:sz w:val="20"/>
          <w:szCs w:val="20"/>
          <w:color w:val="auto"/>
        </w:rPr>
      </w:pPr>
    </w:p>
    <w:p>
      <w:pPr>
        <w:ind w:left="460" w:right="180"/>
        <w:spacing w:after="0" w:line="268" w:lineRule="auto"/>
        <w:rPr>
          <w:sz w:val="20"/>
          <w:szCs w:val="20"/>
          <w:color w:val="auto"/>
        </w:rPr>
      </w:pPr>
      <w:r>
        <w:rPr>
          <w:rFonts w:ascii="Arial" w:cs="Arial" w:eastAsia="Arial" w:hAnsi="Arial"/>
          <w:sz w:val="18"/>
          <w:szCs w:val="18"/>
          <w:color w:val="auto"/>
        </w:rPr>
        <w:t>If the Affected Party is not able to make such a transfer it will give notice to the other party to that effect within such 20 day period, whereupon the other party may effect such a transfer within 30 days after the notice is given under Section 6(b)(i).</w:t>
      </w:r>
    </w:p>
    <w:p>
      <w:pPr>
        <w:spacing w:after="0" w:line="51" w:lineRule="exact"/>
        <w:rPr>
          <w:sz w:val="20"/>
          <w:szCs w:val="20"/>
          <w:color w:val="auto"/>
        </w:rPr>
      </w:pPr>
    </w:p>
    <w:p>
      <w:pPr>
        <w:ind w:left="460" w:right="60"/>
        <w:spacing w:after="0" w:line="332" w:lineRule="auto"/>
        <w:rPr>
          <w:sz w:val="20"/>
          <w:szCs w:val="20"/>
          <w:color w:val="auto"/>
        </w:rPr>
      </w:pPr>
      <w:r>
        <w:rPr>
          <w:rFonts w:ascii="Arial" w:cs="Arial" w:eastAsia="Arial" w:hAnsi="Arial"/>
          <w:sz w:val="16"/>
          <w:szCs w:val="16"/>
          <w:color w:val="auto"/>
        </w:rPr>
        <w:t>Any such transfer by a party under this Section 6(b)(ii) will be subject to and conditional upon the prior written consent of the other party, which consent will not be withheld if such other party’s policies in effect at such time would permit it to enter into transactions with the transferee on the terms proposed.</w:t>
      </w:r>
    </w:p>
    <w:p>
      <w:pPr>
        <w:spacing w:after="0" w:line="4" w:lineRule="exact"/>
        <w:rPr>
          <w:sz w:val="20"/>
          <w:szCs w:val="20"/>
          <w:color w:val="auto"/>
        </w:rPr>
      </w:pPr>
    </w:p>
    <w:p>
      <w:pPr>
        <w:ind w:left="460" w:right="620" w:firstLine="4"/>
        <w:spacing w:after="0" w:line="357" w:lineRule="auto"/>
        <w:tabs>
          <w:tab w:leader="none" w:pos="767" w:val="left"/>
        </w:tabs>
        <w:numPr>
          <w:ilvl w:val="0"/>
          <w:numId w:val="121"/>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Two Affected Parties. </w:t>
      </w:r>
      <w:r>
        <w:rPr>
          <w:rFonts w:ascii="Arial" w:cs="Arial" w:eastAsia="Arial" w:hAnsi="Arial"/>
          <w:sz w:val="15"/>
          <w:szCs w:val="15"/>
          <w:color w:val="auto"/>
        </w:rPr>
        <w:t>If an Illegality under Section 5(b)(i)( 1) or a Tax Event occurs and there are two Affected Parties, each party will use all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reasonable efforts to reach agreement within 30 days after notice thereof is given under Section 6(b)(i) on action to avoid that Termination Event.</w:t>
      </w:r>
    </w:p>
    <w:p>
      <w:pPr>
        <w:ind w:left="760" w:hanging="296"/>
        <w:spacing w:after="0"/>
        <w:tabs>
          <w:tab w:leader="none" w:pos="760" w:val="left"/>
        </w:tabs>
        <w:numPr>
          <w:ilvl w:val="0"/>
          <w:numId w:val="12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Right to Terminate. </w:t>
      </w:r>
      <w:r>
        <w:rPr>
          <w:rFonts w:ascii="Arial" w:cs="Arial" w:eastAsia="Arial" w:hAnsi="Arial"/>
          <w:sz w:val="18"/>
          <w:szCs w:val="18"/>
          <w:color w:val="auto"/>
        </w:rPr>
        <w:t>If:—</w:t>
      </w:r>
    </w:p>
    <w:p>
      <w:pPr>
        <w:spacing w:after="0" w:line="90" w:lineRule="exact"/>
        <w:rPr>
          <w:rFonts w:ascii="Arial" w:cs="Arial" w:eastAsia="Arial" w:hAnsi="Arial"/>
          <w:sz w:val="18"/>
          <w:szCs w:val="18"/>
          <w:color w:val="auto"/>
        </w:rPr>
      </w:pPr>
    </w:p>
    <w:p>
      <w:pPr>
        <w:ind w:left="920" w:right="280" w:firstLine="1"/>
        <w:spacing w:after="0" w:line="268" w:lineRule="auto"/>
        <w:tabs>
          <w:tab w:leader="none" w:pos="1169"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 transfer under Section 6(b)(ii) or an agreement under Section 6(b)(iii), as the case may be, has not been effected with respect to all Affected Transactions within 30 days after an Affected Party gives notice under Section 6(b)(i); or</w:t>
      </w:r>
    </w:p>
    <w:p>
      <w:pPr>
        <w:spacing w:after="0" w:line="50" w:lineRule="exact"/>
        <w:rPr>
          <w:rFonts w:ascii="Arial" w:cs="Arial" w:eastAsia="Arial" w:hAnsi="Arial"/>
          <w:sz w:val="18"/>
          <w:szCs w:val="18"/>
          <w:color w:val="auto"/>
        </w:rPr>
      </w:pPr>
    </w:p>
    <w:p>
      <w:pPr>
        <w:ind w:left="920" w:right="400" w:firstLine="1"/>
        <w:spacing w:after="0" w:line="268" w:lineRule="auto"/>
        <w:tabs>
          <w:tab w:leader="none" w:pos="1169" w:val="left"/>
        </w:tabs>
        <w:numPr>
          <w:ilvl w:val="1"/>
          <w:numId w:val="121"/>
        </w:numPr>
        <w:rPr>
          <w:rFonts w:ascii="Arial" w:cs="Arial" w:eastAsia="Arial" w:hAnsi="Arial"/>
          <w:sz w:val="18"/>
          <w:szCs w:val="18"/>
          <w:color w:val="auto"/>
        </w:rPr>
      </w:pPr>
      <w:r>
        <w:rPr>
          <w:rFonts w:ascii="Arial" w:cs="Arial" w:eastAsia="Arial" w:hAnsi="Arial"/>
          <w:sz w:val="18"/>
          <w:szCs w:val="18"/>
          <w:color w:val="auto"/>
        </w:rPr>
        <w:t>an Illegality under Section 5(b)(i)(2), a Credit Event Upon Merger or an Additional Termination Event occurs, or a Tax Event Upon Merger occurs and the Burdened Party is not the Affected Party,</w:t>
      </w:r>
    </w:p>
    <w:p>
      <w:pPr>
        <w:spacing w:after="0" w:line="51" w:lineRule="exact"/>
        <w:rPr>
          <w:sz w:val="20"/>
          <w:szCs w:val="20"/>
          <w:color w:val="auto"/>
        </w:rPr>
      </w:pPr>
    </w:p>
    <w:p>
      <w:pPr>
        <w:ind w:left="460" w:right="320"/>
        <w:spacing w:after="0" w:line="286" w:lineRule="auto"/>
        <w:rPr>
          <w:sz w:val="20"/>
          <w:szCs w:val="20"/>
          <w:color w:val="auto"/>
        </w:rPr>
      </w:pPr>
      <w:r>
        <w:rPr>
          <w:rFonts w:ascii="Arial" w:cs="Arial" w:eastAsia="Arial" w:hAnsi="Arial"/>
          <w:sz w:val="16"/>
          <w:szCs w:val="16"/>
          <w:color w:val="auto"/>
        </w:rPr>
        <w:t>either party in the case of an Illegality, the Burdened Party in the case of a Tax Event Upon Merger, any Affected Party in the case of a Tax Event or an Additional Termination Event if there is more than one Affected Party, or the party which is not the Affected Party in the case of a Credit Event</w:t>
      </w:r>
    </w:p>
    <w:p>
      <w:pPr>
        <w:ind w:left="460" w:right="100"/>
        <w:spacing w:after="0" w:line="261" w:lineRule="auto"/>
        <w:rPr>
          <w:sz w:val="20"/>
          <w:szCs w:val="20"/>
          <w:color w:val="auto"/>
        </w:rPr>
      </w:pPr>
      <w:r>
        <w:rPr>
          <w:rFonts w:ascii="Arial" w:cs="Arial" w:eastAsia="Arial" w:hAnsi="Arial"/>
          <w:sz w:val="18"/>
          <w:szCs w:val="18"/>
          <w:color w:val="auto"/>
        </w:rPr>
        <w:t>Upon Merger or an Additional Termination Event if there is only one Affected Party may, by not more than 20 days notice to the other party and provided that the relevant Termination Event is then</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274" w:right="279" w:bottom="1440" w:gutter="0" w:footer="0" w:header="0"/>
        </w:sectPr>
      </w:pPr>
    </w:p>
    <w:bookmarkStart w:id="79" w:name="page80"/>
    <w:bookmarkEnd w:id="79"/>
    <w:p>
      <w:pPr>
        <w:ind w:left="45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continuing, designate a day not earlier than the day such notice is effective as an Early Termination Date in respect of all Affected Transactions.</w:t>
      </w:r>
    </w:p>
    <w:p>
      <w:pPr>
        <w:spacing w:after="0" w:line="194" w:lineRule="exact"/>
        <w:rPr>
          <w:sz w:val="20"/>
          <w:szCs w:val="20"/>
          <w:color w:val="auto"/>
        </w:rPr>
      </w:pPr>
    </w:p>
    <w:p>
      <w:pPr>
        <w:ind w:left="232" w:hanging="232"/>
        <w:spacing w:after="0"/>
        <w:tabs>
          <w:tab w:leader="none" w:pos="232"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Effect of Designation.</w:t>
      </w:r>
    </w:p>
    <w:p>
      <w:pPr>
        <w:spacing w:after="0" w:line="90" w:lineRule="exact"/>
        <w:rPr>
          <w:rFonts w:ascii="Arial" w:cs="Arial" w:eastAsia="Arial" w:hAnsi="Arial"/>
          <w:sz w:val="18"/>
          <w:szCs w:val="18"/>
          <w:color w:val="auto"/>
        </w:rPr>
      </w:pPr>
    </w:p>
    <w:p>
      <w:pPr>
        <w:ind w:left="452" w:right="400" w:firstLine="4"/>
        <w:spacing w:after="0" w:line="268" w:lineRule="auto"/>
        <w:tabs>
          <w:tab w:leader="none" w:pos="662" w:val="left"/>
        </w:tabs>
        <w:numPr>
          <w:ilvl w:val="1"/>
          <w:numId w:val="122"/>
        </w:numPr>
        <w:rPr>
          <w:rFonts w:ascii="Arial" w:cs="Arial" w:eastAsia="Arial" w:hAnsi="Arial"/>
          <w:sz w:val="18"/>
          <w:szCs w:val="18"/>
          <w:color w:val="auto"/>
        </w:rPr>
      </w:pPr>
      <w:r>
        <w:rPr>
          <w:rFonts w:ascii="Arial" w:cs="Arial" w:eastAsia="Arial" w:hAnsi="Arial"/>
          <w:sz w:val="18"/>
          <w:szCs w:val="18"/>
          <w:color w:val="auto"/>
        </w:rPr>
        <w:t>If notice designating an Early Termination Date is given under Section 6(a) or (b), the Early Termination Date will occur on the date so designated, whether or not the relevant Event of Default or Termination Event is then continuing.</w:t>
      </w:r>
    </w:p>
    <w:p>
      <w:pPr>
        <w:spacing w:after="0" w:line="50" w:lineRule="exact"/>
        <w:rPr>
          <w:rFonts w:ascii="Arial" w:cs="Arial" w:eastAsia="Arial" w:hAnsi="Arial"/>
          <w:sz w:val="18"/>
          <w:szCs w:val="18"/>
          <w:color w:val="auto"/>
        </w:rPr>
      </w:pPr>
    </w:p>
    <w:p>
      <w:pPr>
        <w:ind w:left="452" w:right="60" w:firstLine="4"/>
        <w:spacing w:after="0" w:line="259" w:lineRule="auto"/>
        <w:tabs>
          <w:tab w:leader="none" w:pos="711" w:val="left"/>
        </w:tabs>
        <w:numPr>
          <w:ilvl w:val="1"/>
          <w:numId w:val="122"/>
        </w:numPr>
        <w:rPr>
          <w:rFonts w:ascii="Arial" w:cs="Arial" w:eastAsia="Arial" w:hAnsi="Arial"/>
          <w:sz w:val="18"/>
          <w:szCs w:val="18"/>
          <w:color w:val="auto"/>
        </w:rPr>
      </w:pPr>
      <w:r>
        <w:rPr>
          <w:rFonts w:ascii="Arial" w:cs="Arial" w:eastAsia="Arial" w:hAnsi="Arial"/>
          <w:sz w:val="18"/>
          <w:szCs w:val="18"/>
          <w:color w:val="auto"/>
        </w:rPr>
        <w:t>Upon the occurrence or effective designation of an Early Termination Date, no further payments or deliveries under Section 2(a)(i) or 2(e) in respect of the Terminated Transactions will be required to be made, but without prejudice to the other provisions of this Agreement. The amount, if any, payable in respect of an Early Termination Date shall be determined pursuant to Section 6(e).</w:t>
      </w:r>
    </w:p>
    <w:p>
      <w:pPr>
        <w:spacing w:after="0" w:line="140" w:lineRule="exact"/>
        <w:rPr>
          <w:rFonts w:ascii="Arial" w:cs="Arial" w:eastAsia="Arial" w:hAnsi="Arial"/>
          <w:sz w:val="18"/>
          <w:szCs w:val="18"/>
          <w:color w:val="auto"/>
        </w:rPr>
      </w:pPr>
    </w:p>
    <w:p>
      <w:pPr>
        <w:ind w:left="252" w:hanging="252"/>
        <w:spacing w:after="0"/>
        <w:tabs>
          <w:tab w:leader="none" w:pos="252" w:val="left"/>
        </w:tabs>
        <w:numPr>
          <w:ilvl w:val="0"/>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Calculations.</w:t>
      </w:r>
    </w:p>
    <w:p>
      <w:pPr>
        <w:spacing w:after="0" w:line="90" w:lineRule="exact"/>
        <w:rPr>
          <w:rFonts w:ascii="Arial" w:cs="Arial" w:eastAsia="Arial" w:hAnsi="Arial"/>
          <w:sz w:val="18"/>
          <w:szCs w:val="18"/>
          <w:color w:val="auto"/>
        </w:rPr>
      </w:pPr>
    </w:p>
    <w:p>
      <w:pPr>
        <w:ind w:left="452" w:right="120" w:firstLine="4"/>
        <w:spacing w:after="0" w:line="283" w:lineRule="auto"/>
        <w:tabs>
          <w:tab w:leader="none" w:pos="662" w:val="left"/>
        </w:tabs>
        <w:numPr>
          <w:ilvl w:val="1"/>
          <w:numId w:val="1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Statement. </w:t>
      </w:r>
      <w:r>
        <w:rPr>
          <w:rFonts w:ascii="Arial" w:cs="Arial" w:eastAsia="Arial" w:hAnsi="Arial"/>
          <w:sz w:val="16"/>
          <w:szCs w:val="16"/>
          <w:color w:val="auto"/>
        </w:rPr>
        <w:t>On or as soon as reasonably practicable following the occurrence of an Early Termination Date, each party will make the calculations on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if any, contemplated by Section 6(e) and will provide to the other party a statement (1) showing, in reasonable detail, such calculations (including all relevant quotations and specifying any amount payable under Section 6(e)) and (2) giving details of the relevant account to which any amount payable to it is to be paid. In the absence of written confirmation from the source of a quotation obtained in determining a Market</w:t>
      </w:r>
    </w:p>
    <w:p>
      <w:pPr>
        <w:spacing w:after="0" w:line="2"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color w:val="auto"/>
        </w:rPr>
        <w:t>Quotation, the records of the party obtaining such quotation will be conclusive evidence of the existence and accuracy of such quotation.</w:t>
      </w:r>
    </w:p>
    <w:p>
      <w:pPr>
        <w:spacing w:after="0" w:line="83" w:lineRule="exact"/>
        <w:rPr>
          <w:rFonts w:ascii="Arial" w:cs="Arial" w:eastAsia="Arial" w:hAnsi="Arial"/>
          <w:sz w:val="16"/>
          <w:szCs w:val="16"/>
          <w:color w:val="auto"/>
        </w:rPr>
      </w:pPr>
    </w:p>
    <w:p>
      <w:pPr>
        <w:ind w:left="452" w:firstLine="4"/>
        <w:spacing w:after="0" w:line="283" w:lineRule="auto"/>
        <w:tabs>
          <w:tab w:leader="none" w:pos="710" w:val="left"/>
        </w:tabs>
        <w:numPr>
          <w:ilvl w:val="1"/>
          <w:numId w:val="1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Date. </w:t>
      </w:r>
      <w:r>
        <w:rPr>
          <w:rFonts w:ascii="Arial" w:cs="Arial" w:eastAsia="Arial" w:hAnsi="Arial"/>
          <w:sz w:val="16"/>
          <w:szCs w:val="16"/>
          <w:color w:val="auto"/>
        </w:rPr>
        <w:t>An amount calculated as being due in respect of any Early Termination Date under Section 6(e) will be payable on the day that notice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amount payable is effective (in the case of an Early Termination Date which is designated or occurs as a result of an Event of Default) and on the day which is two Local Business Days after the day on which notice of the amount payable is effective (in the case of an Early Termination Date which is designated as a result of a Termination Event). Such amount will be paid together with (to the extent permitted under applicable law)</w:t>
      </w:r>
    </w:p>
    <w:p>
      <w:pPr>
        <w:spacing w:after="0" w:line="2" w:lineRule="exact"/>
        <w:rPr>
          <w:rFonts w:ascii="Arial" w:cs="Arial" w:eastAsia="Arial" w:hAnsi="Arial"/>
          <w:sz w:val="16"/>
          <w:szCs w:val="16"/>
          <w:color w:val="auto"/>
        </w:rPr>
      </w:pPr>
    </w:p>
    <w:p>
      <w:pPr>
        <w:ind w:left="452"/>
        <w:spacing w:after="0" w:line="281" w:lineRule="auto"/>
        <w:rPr>
          <w:rFonts w:ascii="Arial" w:cs="Arial" w:eastAsia="Arial" w:hAnsi="Arial"/>
          <w:sz w:val="16"/>
          <w:szCs w:val="16"/>
          <w:color w:val="auto"/>
        </w:rPr>
      </w:pPr>
      <w:r>
        <w:rPr>
          <w:rFonts w:ascii="Arial" w:cs="Arial" w:eastAsia="Arial" w:hAnsi="Arial"/>
          <w:sz w:val="16"/>
          <w:szCs w:val="16"/>
          <w:color w:val="auto"/>
        </w:rPr>
        <w:t>interest thereon (before as well as after judgment) in the Termination Currency, from (and including) the relevant Early Termination Date to (but excluding) the date such amount is paid, at the Applicable Rate. Such interest will be calculated on the basis of daily compounding and the actual</w:t>
      </w:r>
    </w:p>
    <w:p>
      <w:pPr>
        <w:spacing w:after="0" w:line="1" w:lineRule="exact"/>
        <w:rPr>
          <w:rFonts w:ascii="Arial" w:cs="Arial" w:eastAsia="Arial" w:hAnsi="Arial"/>
          <w:sz w:val="16"/>
          <w:szCs w:val="16"/>
          <w:color w:val="auto"/>
        </w:rPr>
      </w:pPr>
    </w:p>
    <w:p>
      <w:pPr>
        <w:ind w:left="452"/>
        <w:spacing w:after="0"/>
        <w:rPr>
          <w:rFonts w:ascii="Arial" w:cs="Arial" w:eastAsia="Arial" w:hAnsi="Arial"/>
          <w:sz w:val="16"/>
          <w:szCs w:val="16"/>
          <w:color w:val="auto"/>
        </w:rPr>
      </w:pPr>
      <w:r>
        <w:rPr>
          <w:rFonts w:ascii="Arial" w:cs="Arial" w:eastAsia="Arial" w:hAnsi="Arial"/>
          <w:sz w:val="18"/>
          <w:szCs w:val="18"/>
          <w:color w:val="auto"/>
        </w:rPr>
        <w:t>number of days elapsed.</w:t>
      </w:r>
    </w:p>
    <w:p>
      <w:pPr>
        <w:spacing w:after="0" w:line="164" w:lineRule="exact"/>
        <w:rPr>
          <w:rFonts w:ascii="Arial" w:cs="Arial" w:eastAsia="Arial" w:hAnsi="Arial"/>
          <w:sz w:val="16"/>
          <w:szCs w:val="16"/>
          <w:color w:val="auto"/>
        </w:rPr>
      </w:pPr>
    </w:p>
    <w:p>
      <w:pPr>
        <w:ind w:left="-8" w:right="80" w:firstLine="8"/>
        <w:spacing w:after="0" w:line="298" w:lineRule="auto"/>
        <w:tabs>
          <w:tab w:leader="none" w:pos="231" w:val="left"/>
        </w:tabs>
        <w:numPr>
          <w:ilvl w:val="0"/>
          <w:numId w:val="1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Payments on Early Termination. </w:t>
      </w:r>
      <w:r>
        <w:rPr>
          <w:rFonts w:ascii="Arial" w:cs="Arial" w:eastAsia="Arial" w:hAnsi="Arial"/>
          <w:sz w:val="16"/>
          <w:szCs w:val="16"/>
          <w:color w:val="auto"/>
        </w:rPr>
        <w:t>If an Early Termination Date occurs, the following provisions shall apply based on the parties’ election in the Schedule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measure, either “Market Quotation” or “Loss”, and a payment method, either the “First Method” or the “Second Method”. If the parties fail to designate a payment measure or payment method in the Schedule, it will be deemed that “Market Quotation” or the “Second Method”, as the case may be, shall apply. The amount, if any, payable in respect of an Early Termination Date and determined pursuant to this Section will be subject to any Set-off.</w:t>
      </w:r>
    </w:p>
    <w:p>
      <w:pPr>
        <w:spacing w:after="0" w:line="31" w:lineRule="exact"/>
        <w:rPr>
          <w:rFonts w:ascii="Arial" w:cs="Arial" w:eastAsia="Arial" w:hAnsi="Arial"/>
          <w:sz w:val="16"/>
          <w:szCs w:val="16"/>
          <w:color w:val="auto"/>
        </w:rPr>
      </w:pPr>
    </w:p>
    <w:p>
      <w:pPr>
        <w:ind w:left="672" w:hanging="216"/>
        <w:spacing w:after="0"/>
        <w:tabs>
          <w:tab w:leader="none" w:pos="672" w:val="left"/>
        </w:tabs>
        <w:numPr>
          <w:ilvl w:val="1"/>
          <w:numId w:val="1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If the Early Termination Date results from an Event of Default:—</w:t>
      </w:r>
    </w:p>
    <w:p>
      <w:pPr>
        <w:spacing w:after="0" w:line="90" w:lineRule="exact"/>
        <w:rPr>
          <w:rFonts w:ascii="Arial" w:cs="Arial" w:eastAsia="Arial" w:hAnsi="Arial"/>
          <w:sz w:val="18"/>
          <w:szCs w:val="18"/>
          <w:color w:val="auto"/>
        </w:rPr>
      </w:pPr>
    </w:p>
    <w:p>
      <w:pPr>
        <w:ind w:left="912" w:right="160" w:firstLine="1"/>
        <w:spacing w:after="0" w:line="256" w:lineRule="auto"/>
        <w:tabs>
          <w:tab w:leader="none" w:pos="1160" w:val="left"/>
        </w:tabs>
        <w:numPr>
          <w:ilvl w:val="2"/>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First Method and Market Quotation. </w:t>
      </w:r>
      <w:r>
        <w:rPr>
          <w:rFonts w:ascii="Arial" w:cs="Arial" w:eastAsia="Arial" w:hAnsi="Arial"/>
          <w:sz w:val="18"/>
          <w:szCs w:val="18"/>
          <w:color w:val="auto"/>
        </w:rPr>
        <w:t>If the First Method and Market Quotation apply, the Defaulting Party will pay to the Non-defaulting Party</w:t>
      </w:r>
      <w:r>
        <w:rPr>
          <w:rFonts w:ascii="Arial" w:cs="Arial" w:eastAsia="Arial" w:hAnsi="Arial"/>
          <w:sz w:val="18"/>
          <w:szCs w:val="18"/>
          <w:i w:val="1"/>
          <w:iCs w:val="1"/>
          <w:color w:val="auto"/>
        </w:rPr>
        <w:t xml:space="preserve"> </w:t>
      </w:r>
      <w:r>
        <w:rPr>
          <w:rFonts w:ascii="Arial" w:cs="Arial" w:eastAsia="Arial" w:hAnsi="Arial"/>
          <w:sz w:val="18"/>
          <w:szCs w:val="18"/>
          <w:color w:val="auto"/>
        </w:rPr>
        <w:t>the excess, if a positive number, of (A) the sum of the Settlement Amount (determined by the Non-defaulting Party) in respect of the Terminated Transactions and the Termination Currency Equivalent of the Unpaid Amounts owing to the Non-defaulting Party over (B) the Termination Currency Equivalent of the Unpaid Amounts owing to the Defaulting Party.</w:t>
      </w:r>
    </w:p>
    <w:p>
      <w:pPr>
        <w:spacing w:after="0" w:line="62" w:lineRule="exact"/>
        <w:rPr>
          <w:rFonts w:ascii="Arial" w:cs="Arial" w:eastAsia="Arial" w:hAnsi="Arial"/>
          <w:sz w:val="18"/>
          <w:szCs w:val="18"/>
          <w:color w:val="auto"/>
        </w:rPr>
      </w:pPr>
    </w:p>
    <w:p>
      <w:pPr>
        <w:ind w:left="912" w:right="240" w:firstLine="1"/>
        <w:spacing w:after="0" w:line="268" w:lineRule="auto"/>
        <w:tabs>
          <w:tab w:leader="none" w:pos="1160" w:val="left"/>
        </w:tabs>
        <w:numPr>
          <w:ilvl w:val="2"/>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First Method and Loss. </w:t>
      </w:r>
      <w:r>
        <w:rPr>
          <w:rFonts w:ascii="Arial" w:cs="Arial" w:eastAsia="Arial" w:hAnsi="Arial"/>
          <w:sz w:val="18"/>
          <w:szCs w:val="18"/>
          <w:color w:val="auto"/>
        </w:rPr>
        <w:t>If the First Method and Loss apply, the Defaulting Party will pay to the Non-defaulting Party, if a positive number, the</w:t>
      </w:r>
      <w:r>
        <w:rPr>
          <w:rFonts w:ascii="Arial" w:cs="Arial" w:eastAsia="Arial" w:hAnsi="Arial"/>
          <w:sz w:val="18"/>
          <w:szCs w:val="18"/>
          <w:i w:val="1"/>
          <w:iCs w:val="1"/>
          <w:color w:val="auto"/>
        </w:rPr>
        <w:t xml:space="preserve"> </w:t>
      </w:r>
      <w:r>
        <w:rPr>
          <w:rFonts w:ascii="Arial" w:cs="Arial" w:eastAsia="Arial" w:hAnsi="Arial"/>
          <w:sz w:val="18"/>
          <w:szCs w:val="18"/>
          <w:color w:val="auto"/>
        </w:rPr>
        <w:t>Non-defaulting Party’s Loss in respect of this Agreement.</w:t>
      </w:r>
    </w:p>
    <w:p>
      <w:pPr>
        <w:spacing w:after="0" w:line="50" w:lineRule="exact"/>
        <w:rPr>
          <w:rFonts w:ascii="Arial" w:cs="Arial" w:eastAsia="Arial" w:hAnsi="Arial"/>
          <w:sz w:val="18"/>
          <w:szCs w:val="18"/>
          <w:color w:val="auto"/>
        </w:rPr>
      </w:pPr>
    </w:p>
    <w:p>
      <w:pPr>
        <w:ind w:left="912" w:right="20" w:firstLine="1"/>
        <w:spacing w:after="0" w:line="268" w:lineRule="auto"/>
        <w:tabs>
          <w:tab w:leader="none" w:pos="1160" w:val="left"/>
        </w:tabs>
        <w:numPr>
          <w:ilvl w:val="2"/>
          <w:numId w:val="122"/>
        </w:numPr>
        <w:rPr>
          <w:rFonts w:ascii="Arial" w:cs="Arial" w:eastAsia="Arial" w:hAnsi="Arial"/>
          <w:sz w:val="18"/>
          <w:szCs w:val="18"/>
          <w:color w:val="auto"/>
        </w:rPr>
      </w:pPr>
      <w:r>
        <w:rPr>
          <w:rFonts w:ascii="Arial" w:cs="Arial" w:eastAsia="Arial" w:hAnsi="Arial"/>
          <w:sz w:val="18"/>
          <w:szCs w:val="18"/>
          <w:i w:val="1"/>
          <w:iCs w:val="1"/>
          <w:color w:val="auto"/>
        </w:rPr>
        <w:t xml:space="preserve">Second Method and Market Quotation. </w:t>
      </w:r>
      <w:r>
        <w:rPr>
          <w:rFonts w:ascii="Arial" w:cs="Arial" w:eastAsia="Arial" w:hAnsi="Arial"/>
          <w:sz w:val="18"/>
          <w:szCs w:val="18"/>
          <w:color w:val="auto"/>
        </w:rPr>
        <w:t>If the Second Method and Market Quotation apply, an amount will be payable equal to (A) the sum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Amount (determined by the</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80" w:right="259" w:bottom="1440" w:gutter="0" w:footer="0" w:header="0"/>
        </w:sectPr>
      </w:pPr>
    </w:p>
    <w:bookmarkStart w:id="80" w:name="page81"/>
    <w:bookmarkEnd w:id="80"/>
    <w:p>
      <w:pPr>
        <w:ind w:left="46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Non-defaulting Party) in respect of the Terminated Transactions and the Termination Currency Equivalent of the Unpaid Amounts owing to the Non-defaulting Party less (B) the Termination Currency Equivalent of the Unpaid Amounts owing to the Defaulting Party. If that amount is</w:t>
      </w:r>
    </w:p>
    <w:p>
      <w:pPr>
        <w:ind w:left="460" w:right="420"/>
        <w:spacing w:after="0" w:line="261" w:lineRule="auto"/>
        <w:rPr>
          <w:sz w:val="20"/>
          <w:szCs w:val="20"/>
          <w:color w:val="auto"/>
        </w:rPr>
      </w:pPr>
      <w:r>
        <w:rPr>
          <w:rFonts w:ascii="Arial" w:cs="Arial" w:eastAsia="Arial" w:hAnsi="Arial"/>
          <w:sz w:val="18"/>
          <w:szCs w:val="18"/>
          <w:color w:val="auto"/>
        </w:rPr>
        <w:t>a positive number, the Defaulting Party will pay it to the Non-defaulting Party; if it is a negative number, the Non-defaulting Party will pay the absolute value of that amount to the Defaulting Party.</w:t>
      </w:r>
    </w:p>
    <w:p>
      <w:pPr>
        <w:spacing w:after="0" w:line="57" w:lineRule="exact"/>
        <w:rPr>
          <w:sz w:val="20"/>
          <w:szCs w:val="20"/>
          <w:color w:val="auto"/>
        </w:rPr>
      </w:pPr>
    </w:p>
    <w:p>
      <w:pPr>
        <w:jc w:val="both"/>
        <w:ind w:left="460" w:firstLine="1"/>
        <w:spacing w:after="0" w:line="259" w:lineRule="auto"/>
        <w:tabs>
          <w:tab w:leader="none" w:pos="708" w:val="left"/>
        </w:tabs>
        <w:numPr>
          <w:ilvl w:val="1"/>
          <w:numId w:val="123"/>
        </w:numPr>
        <w:rPr>
          <w:rFonts w:ascii="Arial" w:cs="Arial" w:eastAsia="Arial" w:hAnsi="Arial"/>
          <w:sz w:val="18"/>
          <w:szCs w:val="18"/>
          <w:color w:val="auto"/>
        </w:rPr>
      </w:pPr>
      <w:r>
        <w:rPr>
          <w:rFonts w:ascii="Arial" w:cs="Arial" w:eastAsia="Arial" w:hAnsi="Arial"/>
          <w:sz w:val="18"/>
          <w:szCs w:val="18"/>
          <w:i w:val="1"/>
          <w:iCs w:val="1"/>
          <w:color w:val="auto"/>
        </w:rPr>
        <w:t xml:space="preserve">Second Method and Loss. </w:t>
      </w:r>
      <w:r>
        <w:rPr>
          <w:rFonts w:ascii="Arial" w:cs="Arial" w:eastAsia="Arial" w:hAnsi="Arial"/>
          <w:sz w:val="18"/>
          <w:szCs w:val="18"/>
          <w:color w:val="auto"/>
        </w:rPr>
        <w:t>If the Second Method and Loss apply, an amount will be payable equal to the Non-defaulting Party’s Loss in respect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If that amount is a positive number, the Defaulting Party will pay it to the Non-defaulting Party; if it is a negative number, the Non-defaulting Party will pay the absolute value of that amount to the Defaulting Party.</w:t>
      </w:r>
    </w:p>
    <w:p>
      <w:pPr>
        <w:spacing w:after="0" w:line="59" w:lineRule="exact"/>
        <w:rPr>
          <w:rFonts w:ascii="Arial" w:cs="Arial" w:eastAsia="Arial" w:hAnsi="Arial"/>
          <w:sz w:val="18"/>
          <w:szCs w:val="18"/>
          <w:color w:val="auto"/>
        </w:rPr>
      </w:pPr>
    </w:p>
    <w:p>
      <w:pPr>
        <w:ind w:left="260" w:hanging="256"/>
        <w:spacing w:after="0"/>
        <w:tabs>
          <w:tab w:leader="none" w:pos="260" w:val="left"/>
        </w:tabs>
        <w:numPr>
          <w:ilvl w:val="0"/>
          <w:numId w:val="124"/>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Events. </w:t>
      </w:r>
      <w:r>
        <w:rPr>
          <w:rFonts w:ascii="Arial" w:cs="Arial" w:eastAsia="Arial" w:hAnsi="Arial"/>
          <w:sz w:val="18"/>
          <w:szCs w:val="18"/>
          <w:color w:val="auto"/>
        </w:rPr>
        <w:t>If the Early Termination Date results from a Termination Event:—</w:t>
      </w:r>
    </w:p>
    <w:p>
      <w:pPr>
        <w:spacing w:after="0" w:line="90" w:lineRule="exact"/>
        <w:rPr>
          <w:rFonts w:ascii="Arial" w:cs="Arial" w:eastAsia="Arial" w:hAnsi="Arial"/>
          <w:sz w:val="18"/>
          <w:szCs w:val="18"/>
          <w:color w:val="auto"/>
        </w:rPr>
      </w:pPr>
    </w:p>
    <w:p>
      <w:pPr>
        <w:ind w:left="460" w:right="20" w:firstLine="1"/>
        <w:spacing w:after="0" w:line="298" w:lineRule="auto"/>
        <w:tabs>
          <w:tab w:leader="none" w:pos="708" w:val="left"/>
        </w:tabs>
        <w:numPr>
          <w:ilvl w:val="1"/>
          <w:numId w:val="124"/>
        </w:numPr>
        <w:rPr>
          <w:rFonts w:ascii="Arial" w:cs="Arial" w:eastAsia="Arial" w:hAnsi="Arial"/>
          <w:sz w:val="16"/>
          <w:szCs w:val="16"/>
          <w:color w:val="auto"/>
        </w:rPr>
      </w:pPr>
      <w:r>
        <w:rPr>
          <w:rFonts w:ascii="Arial" w:cs="Arial" w:eastAsia="Arial" w:hAnsi="Arial"/>
          <w:sz w:val="16"/>
          <w:szCs w:val="16"/>
          <w:i w:val="1"/>
          <w:iCs w:val="1"/>
          <w:color w:val="auto"/>
        </w:rPr>
        <w:t xml:space="preserve">One Affected Party. </w:t>
      </w:r>
      <w:r>
        <w:rPr>
          <w:rFonts w:ascii="Arial" w:cs="Arial" w:eastAsia="Arial" w:hAnsi="Arial"/>
          <w:sz w:val="16"/>
          <w:szCs w:val="16"/>
          <w:color w:val="auto"/>
        </w:rPr>
        <w:t>If there is one Affected Party, the amount payable will be determined in accordance with Section 6(e)(i)(3), if Market</w:t>
      </w:r>
      <w:r>
        <w:rPr>
          <w:rFonts w:ascii="Arial" w:cs="Arial" w:eastAsia="Arial" w:hAnsi="Arial"/>
          <w:sz w:val="16"/>
          <w:szCs w:val="16"/>
          <w:i w:val="1"/>
          <w:iCs w:val="1"/>
          <w:color w:val="auto"/>
        </w:rPr>
        <w:t xml:space="preserve"> </w:t>
      </w:r>
      <w:r>
        <w:rPr>
          <w:rFonts w:ascii="Arial" w:cs="Arial" w:eastAsia="Arial" w:hAnsi="Arial"/>
          <w:sz w:val="16"/>
          <w:szCs w:val="16"/>
          <w:color w:val="auto"/>
        </w:rPr>
        <w:t>Quotation applies, or Section 6(e)(i)(4), if Loss applies, except that, in either case, references to the Defaulting Party and to the Non-defaulting Party will be deemed to be references to the Affected Party and the party which is not the Affected Party, respectively, and, if Loss applies and fewer than all the Transactions are being terminated, Loss shall be calculated in respect of all Terminated Transactions.</w:t>
      </w:r>
    </w:p>
    <w:p>
      <w:pPr>
        <w:spacing w:after="0" w:line="31" w:lineRule="exact"/>
        <w:rPr>
          <w:rFonts w:ascii="Arial" w:cs="Arial" w:eastAsia="Arial" w:hAnsi="Arial"/>
          <w:sz w:val="16"/>
          <w:szCs w:val="16"/>
          <w:color w:val="auto"/>
        </w:rPr>
      </w:pPr>
    </w:p>
    <w:p>
      <w:pPr>
        <w:ind w:left="700" w:hanging="239"/>
        <w:spacing w:after="0"/>
        <w:tabs>
          <w:tab w:leader="none" w:pos="700" w:val="left"/>
        </w:tabs>
        <w:numPr>
          <w:ilvl w:val="1"/>
          <w:numId w:val="124"/>
        </w:numPr>
        <w:rPr>
          <w:rFonts w:ascii="Arial" w:cs="Arial" w:eastAsia="Arial" w:hAnsi="Arial"/>
          <w:sz w:val="18"/>
          <w:szCs w:val="18"/>
          <w:color w:val="auto"/>
        </w:rPr>
      </w:pPr>
      <w:r>
        <w:rPr>
          <w:rFonts w:ascii="Arial" w:cs="Arial" w:eastAsia="Arial" w:hAnsi="Arial"/>
          <w:sz w:val="18"/>
          <w:szCs w:val="18"/>
          <w:i w:val="1"/>
          <w:iCs w:val="1"/>
          <w:color w:val="auto"/>
        </w:rPr>
        <w:t xml:space="preserve">Two Affected Parties. </w:t>
      </w:r>
      <w:r>
        <w:rPr>
          <w:rFonts w:ascii="Arial" w:cs="Arial" w:eastAsia="Arial" w:hAnsi="Arial"/>
          <w:sz w:val="18"/>
          <w:szCs w:val="18"/>
          <w:color w:val="auto"/>
        </w:rPr>
        <w:t>If there are two Affected Parties:—</w:t>
      </w:r>
    </w:p>
    <w:p>
      <w:pPr>
        <w:spacing w:after="0" w:line="90" w:lineRule="exact"/>
        <w:rPr>
          <w:rFonts w:ascii="Arial" w:cs="Arial" w:eastAsia="Arial" w:hAnsi="Arial"/>
          <w:sz w:val="18"/>
          <w:szCs w:val="18"/>
          <w:color w:val="auto"/>
        </w:rPr>
      </w:pPr>
    </w:p>
    <w:p>
      <w:pPr>
        <w:ind w:left="1040" w:right="180" w:hanging="8"/>
        <w:spacing w:after="0" w:line="286" w:lineRule="auto"/>
        <w:tabs>
          <w:tab w:leader="none" w:pos="1327" w:val="left"/>
        </w:tabs>
        <w:numPr>
          <w:ilvl w:val="2"/>
          <w:numId w:val="124"/>
        </w:numPr>
        <w:rPr>
          <w:rFonts w:ascii="Arial" w:cs="Arial" w:eastAsia="Arial" w:hAnsi="Arial"/>
          <w:sz w:val="16"/>
          <w:szCs w:val="16"/>
          <w:color w:val="auto"/>
        </w:rPr>
      </w:pPr>
      <w:r>
        <w:rPr>
          <w:rFonts w:ascii="Arial" w:cs="Arial" w:eastAsia="Arial" w:hAnsi="Arial"/>
          <w:sz w:val="16"/>
          <w:szCs w:val="16"/>
          <w:color w:val="auto"/>
        </w:rPr>
        <w:t>if Market Quotation applies, each party will determine a Settlement Amount in respect of the Terminated Transactions, and an amount will be payable equal to (I) the sum of (a) one-half of the difference between the Settlement Amount of the party with</w:t>
      </w:r>
    </w:p>
    <w:p>
      <w:pPr>
        <w:jc w:val="both"/>
        <w:ind w:left="1040" w:right="760"/>
        <w:spacing w:after="0" w:line="255" w:lineRule="auto"/>
        <w:rPr>
          <w:rFonts w:ascii="Arial" w:cs="Arial" w:eastAsia="Arial" w:hAnsi="Arial"/>
          <w:sz w:val="16"/>
          <w:szCs w:val="16"/>
          <w:color w:val="auto"/>
        </w:rPr>
      </w:pPr>
      <w:r>
        <w:rPr>
          <w:rFonts w:ascii="Arial" w:cs="Arial" w:eastAsia="Arial" w:hAnsi="Arial"/>
          <w:sz w:val="18"/>
          <w:szCs w:val="18"/>
          <w:color w:val="auto"/>
        </w:rPr>
        <w:t>the higher Settlement Amount (“X”) and the Settlement Amount of the party with the lower Settlement Amount (“Y”) and (b) the Termination Currency Equivalent of the Unpaid Amounts owing to X less (II) the Termination Currency Equivalent of the Unpaid Amounts owing to Y; and</w:t>
      </w:r>
    </w:p>
    <w:p>
      <w:pPr>
        <w:spacing w:after="0" w:line="63" w:lineRule="exact"/>
        <w:rPr>
          <w:rFonts w:ascii="Arial" w:cs="Arial" w:eastAsia="Arial" w:hAnsi="Arial"/>
          <w:sz w:val="16"/>
          <w:szCs w:val="16"/>
          <w:color w:val="auto"/>
        </w:rPr>
      </w:pPr>
    </w:p>
    <w:p>
      <w:pPr>
        <w:ind w:left="1040" w:right="60" w:hanging="8"/>
        <w:spacing w:after="0" w:line="259" w:lineRule="auto"/>
        <w:tabs>
          <w:tab w:leader="none" w:pos="1318" w:val="left"/>
        </w:tabs>
        <w:numPr>
          <w:ilvl w:val="2"/>
          <w:numId w:val="124"/>
        </w:numPr>
        <w:rPr>
          <w:rFonts w:ascii="Arial" w:cs="Arial" w:eastAsia="Arial" w:hAnsi="Arial"/>
          <w:sz w:val="18"/>
          <w:szCs w:val="18"/>
          <w:color w:val="auto"/>
        </w:rPr>
      </w:pPr>
      <w:r>
        <w:rPr>
          <w:rFonts w:ascii="Arial" w:cs="Arial" w:eastAsia="Arial" w:hAnsi="Arial"/>
          <w:sz w:val="18"/>
          <w:szCs w:val="18"/>
          <w:color w:val="auto"/>
        </w:rPr>
        <w:t>if Loss applies, each party will determine its Loss in respect of this Agreement (or, if fewer than all the Transactions are being terminated, in respect of all Terminated Transactions) and an amount will be payable equal to one-half of the difference between the Loss of the party with the higher Loss (“X”) and the Loss of the party with the lower Loss (“Y”).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If the amount payable is a positive number, Y will pay it to X; if it is a negative number, X will pay the absolute value of that amount to Y.</w:t>
      </w:r>
    </w:p>
    <w:p>
      <w:pPr>
        <w:spacing w:after="0" w:line="90" w:lineRule="exact"/>
        <w:rPr>
          <w:sz w:val="20"/>
          <w:szCs w:val="20"/>
          <w:color w:val="auto"/>
        </w:rPr>
      </w:pPr>
    </w:p>
    <w:p>
      <w:pPr>
        <w:jc w:val="both"/>
        <w:ind w:right="20" w:firstLine="4"/>
        <w:spacing w:after="0" w:line="256" w:lineRule="auto"/>
        <w:tabs>
          <w:tab w:leader="none" w:pos="307" w:val="left"/>
        </w:tabs>
        <w:numPr>
          <w:ilvl w:val="0"/>
          <w:numId w:val="12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 for Bankruptcy. </w:t>
      </w:r>
      <w:r>
        <w:rPr>
          <w:rFonts w:ascii="Arial" w:cs="Arial" w:eastAsia="Arial" w:hAnsi="Arial"/>
          <w:sz w:val="18"/>
          <w:szCs w:val="18"/>
          <w:color w:val="auto"/>
        </w:rPr>
        <w:t>In circumstances where an Early Termination Date occurs because “Automatic Early Termination” applies in respect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party, the amount determined under this Section 6(e) will be subject to such adjustments as are appropriate and permitted by law to reflect any payments or deliveries made by one party to the other under this Agreement (and retained by such other party) during the period from the relevant Early Termination Date to the date for payment determined under Section 6(d)(ii).</w:t>
      </w:r>
    </w:p>
    <w:p>
      <w:pPr>
        <w:spacing w:after="0" w:line="62" w:lineRule="exact"/>
        <w:rPr>
          <w:rFonts w:ascii="Arial" w:cs="Arial" w:eastAsia="Arial" w:hAnsi="Arial"/>
          <w:sz w:val="18"/>
          <w:szCs w:val="18"/>
          <w:color w:val="auto"/>
        </w:rPr>
      </w:pPr>
    </w:p>
    <w:p>
      <w:pPr>
        <w:ind w:firstLine="4"/>
        <w:spacing w:after="0" w:line="286" w:lineRule="auto"/>
        <w:tabs>
          <w:tab w:leader="none" w:pos="297" w:val="left"/>
        </w:tabs>
        <w:numPr>
          <w:ilvl w:val="0"/>
          <w:numId w:val="1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Pre-Estimate. </w:t>
      </w:r>
      <w:r>
        <w:rPr>
          <w:rFonts w:ascii="Arial" w:cs="Arial" w:eastAsia="Arial" w:hAnsi="Arial"/>
          <w:sz w:val="16"/>
          <w:szCs w:val="16"/>
          <w:color w:val="auto"/>
        </w:rPr>
        <w:t>The parties agree that if Market Quotation applies an amount recoverable under this Section 6(e) is a reasonable pre-estimate of loss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a penalty. Such amount is payable for the loss of bargain and the loss of protection against future risks and except as otherwise provided</w:t>
      </w:r>
    </w:p>
    <w:p>
      <w:pPr>
        <w:spacing w:after="0"/>
        <w:rPr>
          <w:rFonts w:ascii="Arial" w:cs="Arial" w:eastAsia="Arial" w:hAnsi="Arial"/>
          <w:sz w:val="16"/>
          <w:szCs w:val="16"/>
          <w:color w:val="auto"/>
        </w:rPr>
      </w:pPr>
      <w:r>
        <w:rPr>
          <w:rFonts w:ascii="Arial" w:cs="Arial" w:eastAsia="Arial" w:hAnsi="Arial"/>
          <w:sz w:val="18"/>
          <w:szCs w:val="18"/>
          <w:color w:val="auto"/>
        </w:rPr>
        <w:t>in this Agreement neither party will be entitled to recover any additional damages as a consequence of such losses.</w:t>
      </w:r>
    </w:p>
    <w:p>
      <w:pPr>
        <w:spacing w:after="0" w:line="151"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80" w:right="279" w:bottom="1440" w:gutter="0" w:footer="0" w:header="0"/>
        </w:sectPr>
      </w:pPr>
    </w:p>
    <w:bookmarkStart w:id="81" w:name="page82"/>
    <w:bookmarkEnd w:id="81"/>
    <w:p>
      <w:pPr>
        <w:ind w:left="460" w:hanging="452"/>
        <w:spacing w:after="0"/>
        <w:tabs>
          <w:tab w:leader="none" w:pos="460" w:val="left"/>
        </w:tabs>
        <w:numPr>
          <w:ilvl w:val="0"/>
          <w:numId w:val="126"/>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Subject to Section 6(b)(ii), neither this Agreement nor any interest or obligation in or under this Agreement may be transferred (whether by way of security or otherwise) by either party without the prior written consent of the other party, except that: —</w:t>
      </w:r>
    </w:p>
    <w:p>
      <w:pPr>
        <w:spacing w:after="0" w:line="51" w:lineRule="exact"/>
        <w:rPr>
          <w:sz w:val="20"/>
          <w:szCs w:val="20"/>
          <w:color w:val="auto"/>
        </w:rPr>
      </w:pPr>
    </w:p>
    <w:p>
      <w:pPr>
        <w:ind w:firstLine="8"/>
        <w:spacing w:after="0" w:line="268" w:lineRule="auto"/>
        <w:tabs>
          <w:tab w:leader="none" w:pos="23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party may make such a transfer of this Agreement pursuant to a consolidation or amalgamation with, or merger with or into, or transfer of all or substantially all its assets to, another entity (but without prejudice to any other right or remedy under this Agreement); and</w:t>
      </w:r>
    </w:p>
    <w:p>
      <w:pPr>
        <w:spacing w:after="0" w:line="131" w:lineRule="exact"/>
        <w:rPr>
          <w:rFonts w:ascii="Arial" w:cs="Arial" w:eastAsia="Arial" w:hAnsi="Arial"/>
          <w:sz w:val="18"/>
          <w:szCs w:val="18"/>
          <w:color w:val="auto"/>
        </w:rPr>
      </w:pPr>
    </w:p>
    <w:p>
      <w:pPr>
        <w:ind w:left="260" w:hanging="252"/>
        <w:spacing w:after="0"/>
        <w:tabs>
          <w:tab w:leader="none" w:pos="2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party may make such a transfer of all or any part of its interest in any amount payable to it from a Defaulting Party under Section 6(e).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purported transfer that is not in compliance with this Section will be void.</w:t>
      </w:r>
    </w:p>
    <w:p>
      <w:pPr>
        <w:spacing w:after="0" w:line="287" w:lineRule="exact"/>
        <w:rPr>
          <w:sz w:val="20"/>
          <w:szCs w:val="20"/>
          <w:color w:val="auto"/>
        </w:rPr>
      </w:pPr>
    </w:p>
    <w:p>
      <w:pPr>
        <w:ind w:left="460" w:hanging="452"/>
        <w:spacing w:after="0"/>
        <w:tabs>
          <w:tab w:leader="none" w:pos="460" w:val="left"/>
        </w:tabs>
        <w:numPr>
          <w:ilvl w:val="0"/>
          <w:numId w:val="128"/>
        </w:numPr>
        <w:rPr>
          <w:rFonts w:ascii="Arial" w:cs="Arial" w:eastAsia="Arial" w:hAnsi="Arial"/>
          <w:sz w:val="18"/>
          <w:szCs w:val="18"/>
          <w:b w:val="1"/>
          <w:bCs w:val="1"/>
          <w:color w:val="auto"/>
        </w:rPr>
      </w:pPr>
      <w:r>
        <w:rPr>
          <w:rFonts w:ascii="Arial" w:cs="Arial" w:eastAsia="Arial" w:hAnsi="Arial"/>
          <w:sz w:val="18"/>
          <w:szCs w:val="18"/>
          <w:b w:val="1"/>
          <w:bCs w:val="1"/>
          <w:color w:val="auto"/>
        </w:rPr>
        <w:t>Contractual Currency</w:t>
      </w:r>
    </w:p>
    <w:p>
      <w:pPr>
        <w:spacing w:after="0" w:line="96" w:lineRule="exact"/>
        <w:rPr>
          <w:sz w:val="20"/>
          <w:szCs w:val="20"/>
          <w:color w:val="auto"/>
        </w:rPr>
      </w:pPr>
    </w:p>
    <w:p>
      <w:pPr>
        <w:ind w:right="40" w:firstLine="8"/>
        <w:spacing w:after="0" w:line="301" w:lineRule="auto"/>
        <w:tabs>
          <w:tab w:leader="none" w:pos="239" w:val="left"/>
        </w:tabs>
        <w:numPr>
          <w:ilvl w:val="0"/>
          <w:numId w:val="12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Payment in the Contractual Currency. </w:t>
      </w:r>
      <w:r>
        <w:rPr>
          <w:rFonts w:ascii="Arial" w:cs="Arial" w:eastAsia="Arial" w:hAnsi="Arial"/>
          <w:sz w:val="15"/>
          <w:szCs w:val="15"/>
          <w:color w:val="auto"/>
        </w:rPr>
        <w:t>Each payment under this Agreement will be made in the relevant currency specified in this Agreement for that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payment (the “Contractual Currency”). To the extent permitted by applicable law, any obligation to make payments under this Agreement in the Contractual Currency will not be discharged or satisfied by any tender in any currency other than the Contractual Currency, except to the extent such tender results in the actual receipt by the party to which payment is owed, acting in a reasonable manner and in good faith in converting the currency so tendered into the Contractual Currency, of the full amount in the Contractual Currency of all amounts payable in respect of this Agreement. If for any reason the amount in the Contractual Currency so received falls short of the amount in the Contractual Currency payable in respect of this Agreement, the party required to make the payment will, to the extent permitted by applicable law, immediately pay such additional amount in the Contractual Currency as may be necessary to compensate for the shortfall. If for any reason the amount in the Contractual Currency so received exceeds the amount in the Contractual Currency payable in respect of</w:t>
      </w:r>
    </w:p>
    <w:p>
      <w:pPr>
        <w:spacing w:after="0" w:line="4" w:lineRule="exact"/>
        <w:rPr>
          <w:rFonts w:ascii="Arial" w:cs="Arial" w:eastAsia="Arial" w:hAnsi="Arial"/>
          <w:sz w:val="15"/>
          <w:szCs w:val="15"/>
          <w:color w:val="auto"/>
        </w:rPr>
      </w:pPr>
    </w:p>
    <w:p>
      <w:pPr>
        <w:spacing w:after="0"/>
        <w:rPr>
          <w:rFonts w:ascii="Arial" w:cs="Arial" w:eastAsia="Arial" w:hAnsi="Arial"/>
          <w:sz w:val="15"/>
          <w:szCs w:val="15"/>
          <w:color w:val="auto"/>
        </w:rPr>
      </w:pPr>
      <w:r>
        <w:rPr>
          <w:rFonts w:ascii="Arial" w:cs="Arial" w:eastAsia="Arial" w:hAnsi="Arial"/>
          <w:sz w:val="18"/>
          <w:szCs w:val="18"/>
          <w:color w:val="auto"/>
        </w:rPr>
        <w:t>this Agreement, the party receiving the payment will refund promptly the amount of such excess.</w:t>
      </w:r>
    </w:p>
    <w:p>
      <w:pPr>
        <w:spacing w:after="0" w:line="164" w:lineRule="exact"/>
        <w:rPr>
          <w:rFonts w:ascii="Arial" w:cs="Arial" w:eastAsia="Arial" w:hAnsi="Arial"/>
          <w:sz w:val="15"/>
          <w:szCs w:val="15"/>
          <w:color w:val="auto"/>
        </w:rPr>
      </w:pPr>
    </w:p>
    <w:p>
      <w:pPr>
        <w:ind w:firstLine="8"/>
        <w:spacing w:after="0" w:line="283" w:lineRule="auto"/>
        <w:tabs>
          <w:tab w:leader="none" w:pos="249" w:val="left"/>
        </w:tabs>
        <w:numPr>
          <w:ilvl w:val="0"/>
          <w:numId w:val="12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Judgments. </w:t>
      </w:r>
      <w:r>
        <w:rPr>
          <w:rFonts w:ascii="Arial" w:cs="Arial" w:eastAsia="Arial" w:hAnsi="Arial"/>
          <w:sz w:val="16"/>
          <w:szCs w:val="16"/>
          <w:color w:val="auto"/>
        </w:rPr>
        <w:t>To the extent permitted by applicable law, if any judgment or order expressed in a currency other than the Contractual Currency is rendered (i)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payment of any amount owing in respect of this Agreement, (ii) for the payment of any amount relating to any early termination in respect of this Agreement or (iii) in respect of a judgment or order of another court for the payment of any amount described in (i) or (ii) above, the party seeking recovery, after recovery in full of the aggregate amount to which such party is entitled pursuant to the judgment or order, will be entitled to receive immediately from the other party the amount of any shortfall of the Contractual Currency received by such party as a consequence of sums paid in such other currency and will refund promptly to the other party any excess of the Contractual Currency received by such party as a consequence of sums paid in such other currency</w:t>
      </w:r>
    </w:p>
    <w:p>
      <w:pPr>
        <w:spacing w:after="0" w:line="1" w:lineRule="exact"/>
        <w:rPr>
          <w:rFonts w:ascii="Arial" w:cs="Arial" w:eastAsia="Arial" w:hAnsi="Arial"/>
          <w:sz w:val="16"/>
          <w:szCs w:val="16"/>
          <w:color w:val="auto"/>
        </w:rPr>
      </w:pPr>
    </w:p>
    <w:p>
      <w:pPr>
        <w:ind w:right="40"/>
        <w:spacing w:after="0" w:line="300" w:lineRule="auto"/>
        <w:rPr>
          <w:rFonts w:ascii="Arial" w:cs="Arial" w:eastAsia="Arial" w:hAnsi="Arial"/>
          <w:sz w:val="16"/>
          <w:szCs w:val="16"/>
          <w:color w:val="auto"/>
        </w:rPr>
      </w:pPr>
      <w:r>
        <w:rPr>
          <w:rFonts w:ascii="Arial" w:cs="Arial" w:eastAsia="Arial" w:hAnsi="Arial"/>
          <w:sz w:val="15"/>
          <w:szCs w:val="15"/>
          <w:color w:val="auto"/>
        </w:rPr>
        <w:t>if such shortfall or such excess arises or results from any variation between the rate of exchange at which the Contractual Currency is converted into the currency of the judgment or order for the purposes of such judgment or order and the rate of exchange at which such party is able, acting in a reasonable manner and</w:t>
      </w:r>
    </w:p>
    <w:p>
      <w:pPr>
        <w:ind w:right="360"/>
        <w:spacing w:after="0" w:line="255" w:lineRule="auto"/>
        <w:rPr>
          <w:rFonts w:ascii="Arial" w:cs="Arial" w:eastAsia="Arial" w:hAnsi="Arial"/>
          <w:sz w:val="16"/>
          <w:szCs w:val="16"/>
          <w:color w:val="auto"/>
        </w:rPr>
      </w:pPr>
      <w:r>
        <w:rPr>
          <w:rFonts w:ascii="Arial" w:cs="Arial" w:eastAsia="Arial" w:hAnsi="Arial"/>
          <w:sz w:val="18"/>
          <w:szCs w:val="18"/>
          <w:color w:val="auto"/>
        </w:rPr>
        <w:t>in good faith in converting the currency received into the Contractual Currency, to purchase the Contractual Currency with the amount of the currency of the judgment or order actually received by such party. The term “rate of exchange” includes, without limitation, any premiums and costs of exchange payable in connection with the purchase of or conversion into the Contractual Currency.</w:t>
      </w:r>
    </w:p>
    <w:p>
      <w:pPr>
        <w:spacing w:after="0" w:line="144" w:lineRule="exact"/>
        <w:rPr>
          <w:rFonts w:ascii="Arial" w:cs="Arial" w:eastAsia="Arial" w:hAnsi="Arial"/>
          <w:sz w:val="16"/>
          <w:szCs w:val="16"/>
          <w:color w:val="auto"/>
        </w:rPr>
      </w:pPr>
    </w:p>
    <w:p>
      <w:pPr>
        <w:ind w:right="60" w:firstLine="8"/>
        <w:spacing w:after="0" w:line="286" w:lineRule="auto"/>
        <w:tabs>
          <w:tab w:leader="none" w:pos="239" w:val="left"/>
        </w:tabs>
        <w:numPr>
          <w:ilvl w:val="0"/>
          <w:numId w:val="129"/>
        </w:numPr>
        <w:rPr>
          <w:rFonts w:ascii="Arial" w:cs="Arial" w:eastAsia="Arial" w:hAnsi="Arial"/>
          <w:sz w:val="16"/>
          <w:szCs w:val="16"/>
          <w:color w:val="auto"/>
        </w:rPr>
      </w:pPr>
      <w:r>
        <w:rPr>
          <w:rFonts w:ascii="Arial" w:cs="Arial" w:eastAsia="Arial" w:hAnsi="Arial"/>
          <w:sz w:val="16"/>
          <w:szCs w:val="16"/>
          <w:b w:val="1"/>
          <w:bCs w:val="1"/>
          <w:i w:val="1"/>
          <w:iCs w:val="1"/>
          <w:color w:val="auto"/>
        </w:rPr>
        <w:t>Separate Indemnities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the extent permitted by applicable law, these indemnities constitute separate and independent obligations from the other obligations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 this Agreement, will be enforceable as separate and independent causes of action, will apply notwithstanding any indulgence granted by the party</w:t>
      </w:r>
    </w:p>
    <w:p>
      <w:pPr>
        <w:ind w:right="280"/>
        <w:spacing w:after="0" w:line="261" w:lineRule="auto"/>
        <w:rPr>
          <w:rFonts w:ascii="Arial" w:cs="Arial" w:eastAsia="Arial" w:hAnsi="Arial"/>
          <w:sz w:val="16"/>
          <w:szCs w:val="16"/>
          <w:color w:val="auto"/>
        </w:rPr>
      </w:pPr>
      <w:r>
        <w:rPr>
          <w:rFonts w:ascii="Arial" w:cs="Arial" w:eastAsia="Arial" w:hAnsi="Arial"/>
          <w:sz w:val="18"/>
          <w:szCs w:val="18"/>
          <w:color w:val="auto"/>
        </w:rPr>
        <w:t>to which any payment is owed and will not be affected by judgment being obtained or claim or proof being made for any other sums payable in respect of this Agreement.</w:t>
      </w:r>
    </w:p>
    <w:p>
      <w:pPr>
        <w:spacing w:after="0" w:line="137" w:lineRule="exact"/>
        <w:rPr>
          <w:rFonts w:ascii="Arial" w:cs="Arial" w:eastAsia="Arial" w:hAnsi="Arial"/>
          <w:sz w:val="16"/>
          <w:szCs w:val="16"/>
          <w:color w:val="auto"/>
        </w:rPr>
      </w:pPr>
    </w:p>
    <w:p>
      <w:pPr>
        <w:ind w:right="20" w:firstLine="8"/>
        <w:spacing w:after="0" w:line="268" w:lineRule="auto"/>
        <w:tabs>
          <w:tab w:leader="none" w:pos="249" w:val="left"/>
        </w:tabs>
        <w:numPr>
          <w:ilvl w:val="0"/>
          <w:numId w:val="12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Evidence of Loss. </w:t>
      </w:r>
      <w:r>
        <w:rPr>
          <w:rFonts w:ascii="Arial" w:cs="Arial" w:eastAsia="Arial" w:hAnsi="Arial"/>
          <w:sz w:val="18"/>
          <w:szCs w:val="18"/>
          <w:color w:val="auto"/>
        </w:rPr>
        <w:t>For the purpose of this Section 8, it will be sufficient for a party to demonstrate that it would have suffered a loss had an actual exchange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been made.</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380"/>
          </w:cols>
          <w:pgMar w:left="240" w:top="274" w:right="279" w:bottom="1440" w:gutter="0" w:footer="0" w:header="0"/>
        </w:sectPr>
      </w:pPr>
    </w:p>
    <w:bookmarkStart w:id="82" w:name="page83"/>
    <w:bookmarkEnd w:id="82"/>
    <w:p>
      <w:pPr>
        <w:ind w:left="460" w:hanging="452"/>
        <w:spacing w:after="0"/>
        <w:tabs>
          <w:tab w:leader="none" w:pos="460" w:val="left"/>
        </w:tabs>
        <w:numPr>
          <w:ilvl w:val="0"/>
          <w:numId w:val="130"/>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p>
    <w:p>
      <w:pPr>
        <w:spacing w:after="0" w:line="96" w:lineRule="exact"/>
        <w:rPr>
          <w:sz w:val="20"/>
          <w:szCs w:val="20"/>
          <w:color w:val="auto"/>
        </w:rPr>
      </w:pPr>
    </w:p>
    <w:p>
      <w:pPr>
        <w:ind w:right="100" w:firstLine="8"/>
        <w:spacing w:after="0" w:line="268" w:lineRule="auto"/>
        <w:tabs>
          <w:tab w:leader="none" w:pos="239"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Entire Agreement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constitutes the entire agreement and understanding of the parties with respect to its subject matter and supersedes all oral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 and prior writings with respect thereto.</w:t>
      </w:r>
    </w:p>
    <w:p>
      <w:pPr>
        <w:spacing w:after="0" w:line="131" w:lineRule="exact"/>
        <w:rPr>
          <w:rFonts w:ascii="Arial" w:cs="Arial" w:eastAsia="Arial" w:hAnsi="Arial"/>
          <w:sz w:val="18"/>
          <w:szCs w:val="18"/>
          <w:color w:val="auto"/>
        </w:rPr>
      </w:pPr>
    </w:p>
    <w:p>
      <w:pPr>
        <w:ind w:right="260" w:firstLine="8"/>
        <w:spacing w:after="0" w:line="370" w:lineRule="auto"/>
        <w:tabs>
          <w:tab w:leader="none" w:pos="249" w:val="left"/>
        </w:tabs>
        <w:numPr>
          <w:ilvl w:val="0"/>
          <w:numId w:val="131"/>
        </w:numPr>
        <w:rPr>
          <w:rFonts w:ascii="Arial" w:cs="Arial" w:eastAsia="Arial" w:hAnsi="Arial"/>
          <w:sz w:val="15"/>
          <w:szCs w:val="15"/>
          <w:color w:val="auto"/>
        </w:rPr>
      </w:pPr>
      <w:r>
        <w:rPr>
          <w:rFonts w:ascii="Arial" w:cs="Arial" w:eastAsia="Arial" w:hAnsi="Arial"/>
          <w:sz w:val="15"/>
          <w:szCs w:val="15"/>
          <w:b w:val="1"/>
          <w:bCs w:val="1"/>
          <w:i w:val="1"/>
          <w:iCs w:val="1"/>
          <w:color w:val="auto"/>
        </w:rPr>
        <w:t>Amendments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 amendment, modification or waiver in respect of this Agreement will be effective unless in writing (including a writing evidenced by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facsimile transmission) and executed by each of the parties or confirmed by an exchange of telexes or electronic messages on an electronic messaging system.</w:t>
      </w:r>
    </w:p>
    <w:p>
      <w:pPr>
        <w:spacing w:after="0" w:line="62" w:lineRule="exact"/>
        <w:rPr>
          <w:rFonts w:ascii="Arial" w:cs="Arial" w:eastAsia="Arial" w:hAnsi="Arial"/>
          <w:sz w:val="15"/>
          <w:szCs w:val="15"/>
          <w:color w:val="auto"/>
        </w:rPr>
      </w:pPr>
    </w:p>
    <w:p>
      <w:pPr>
        <w:ind w:right="40" w:firstLine="8"/>
        <w:spacing w:after="0" w:line="268" w:lineRule="auto"/>
        <w:tabs>
          <w:tab w:leader="none" w:pos="239"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Survival of Obligations. </w:t>
      </w:r>
      <w:r>
        <w:rPr>
          <w:rFonts w:ascii="Arial" w:cs="Arial" w:eastAsia="Arial" w:hAnsi="Arial"/>
          <w:sz w:val="18"/>
          <w:szCs w:val="18"/>
          <w:color w:val="auto"/>
        </w:rPr>
        <w:t>Without prejudice to Sections 2(a)(iii) and 6(c)(ii), the obligations of the parties under this Agreement will survive the 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Transaction.</w:t>
      </w:r>
    </w:p>
    <w:p>
      <w:pPr>
        <w:spacing w:after="0" w:line="131" w:lineRule="exact"/>
        <w:rPr>
          <w:rFonts w:ascii="Arial" w:cs="Arial" w:eastAsia="Arial" w:hAnsi="Arial"/>
          <w:sz w:val="18"/>
          <w:szCs w:val="18"/>
          <w:color w:val="auto"/>
        </w:rPr>
      </w:pPr>
    </w:p>
    <w:p>
      <w:pPr>
        <w:ind w:right="100" w:firstLine="8"/>
        <w:spacing w:after="0" w:line="268" w:lineRule="auto"/>
        <w:tabs>
          <w:tab w:leader="none" w:pos="249"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Remedies Cumulative. </w:t>
      </w:r>
      <w:r>
        <w:rPr>
          <w:rFonts w:ascii="Arial" w:cs="Arial" w:eastAsia="Arial" w:hAnsi="Arial"/>
          <w:sz w:val="18"/>
          <w:szCs w:val="18"/>
          <w:color w:val="auto"/>
        </w:rPr>
        <w:t>Except as provided in this Agreement, the rights, powers, remedies and privileges provided in this Agreement are cumulative and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of any rights, powers, remedies and privileges provided by law.</w:t>
      </w:r>
    </w:p>
    <w:p>
      <w:pPr>
        <w:spacing w:after="0" w:line="131" w:lineRule="exact"/>
        <w:rPr>
          <w:rFonts w:ascii="Arial" w:cs="Arial" w:eastAsia="Arial" w:hAnsi="Arial"/>
          <w:sz w:val="18"/>
          <w:szCs w:val="18"/>
          <w:color w:val="auto"/>
        </w:rPr>
      </w:pPr>
    </w:p>
    <w:p>
      <w:pPr>
        <w:ind w:left="240" w:hanging="232"/>
        <w:spacing w:after="0"/>
        <w:tabs>
          <w:tab w:leader="none" w:pos="240"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Counterparts and Confirmations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00" w:firstLine="4"/>
        <w:spacing w:after="0" w:line="268" w:lineRule="auto"/>
        <w:tabs>
          <w:tab w:leader="none" w:pos="670" w:val="left"/>
        </w:tabs>
        <w:numPr>
          <w:ilvl w:val="1"/>
          <w:numId w:val="131"/>
        </w:numPr>
        <w:rPr>
          <w:rFonts w:ascii="Arial" w:cs="Arial" w:eastAsia="Arial" w:hAnsi="Arial"/>
          <w:sz w:val="18"/>
          <w:szCs w:val="18"/>
          <w:color w:val="auto"/>
        </w:rPr>
      </w:pPr>
      <w:r>
        <w:rPr>
          <w:rFonts w:ascii="Arial" w:cs="Arial" w:eastAsia="Arial" w:hAnsi="Arial"/>
          <w:sz w:val="18"/>
          <w:szCs w:val="18"/>
          <w:color w:val="auto"/>
        </w:rPr>
        <w:t>This Agreement (and each amendment, modification and waiver in respect of it) may be executed and delivered in counterparts (including by facsimile transmission), each of which will be deemed an original.</w:t>
      </w:r>
    </w:p>
    <w:p>
      <w:pPr>
        <w:spacing w:after="0" w:line="50" w:lineRule="exact"/>
        <w:rPr>
          <w:rFonts w:ascii="Arial" w:cs="Arial" w:eastAsia="Arial" w:hAnsi="Arial"/>
          <w:sz w:val="18"/>
          <w:szCs w:val="18"/>
          <w:color w:val="auto"/>
        </w:rPr>
      </w:pPr>
    </w:p>
    <w:p>
      <w:pPr>
        <w:ind w:left="460" w:firstLine="4"/>
        <w:spacing w:after="0" w:line="283" w:lineRule="auto"/>
        <w:tabs>
          <w:tab w:leader="none" w:pos="719" w:val="left"/>
        </w:tabs>
        <w:numPr>
          <w:ilvl w:val="1"/>
          <w:numId w:val="131"/>
        </w:numPr>
        <w:rPr>
          <w:rFonts w:ascii="Arial" w:cs="Arial" w:eastAsia="Arial" w:hAnsi="Arial"/>
          <w:sz w:val="16"/>
          <w:szCs w:val="16"/>
          <w:color w:val="auto"/>
        </w:rPr>
      </w:pPr>
      <w:r>
        <w:rPr>
          <w:rFonts w:ascii="Arial" w:cs="Arial" w:eastAsia="Arial" w:hAnsi="Arial"/>
          <w:sz w:val="16"/>
          <w:szCs w:val="16"/>
          <w:color w:val="auto"/>
        </w:rPr>
        <w:t>The parties intend that they are legally bound by the terms of each Transaction from the moment they agree to those terms (whether orally or otherwise). A Confirmation shall be entered into as soon as practicable and may be executed and delivered in counterparts (including by facsimile transmission) or be created by an exchange of telexes or by an exchange of electronic messages on an electronic messaging system, which in each case will be sufficient for all purposes to evidence a binding supplement to this Agreement. The parties will specify therein or through another effective</w:t>
      </w:r>
    </w:p>
    <w:p>
      <w:pPr>
        <w:spacing w:after="0" w:line="2"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means that any such counterpart, telex or electronic message constitutes a Confirmation.</w:t>
      </w:r>
    </w:p>
    <w:p>
      <w:pPr>
        <w:spacing w:after="0" w:line="164" w:lineRule="exact"/>
        <w:rPr>
          <w:rFonts w:ascii="Arial" w:cs="Arial" w:eastAsia="Arial" w:hAnsi="Arial"/>
          <w:sz w:val="16"/>
          <w:szCs w:val="16"/>
          <w:color w:val="auto"/>
        </w:rPr>
      </w:pPr>
    </w:p>
    <w:p>
      <w:pPr>
        <w:ind w:right="200" w:firstLine="8"/>
        <w:spacing w:after="0" w:line="259" w:lineRule="auto"/>
        <w:tabs>
          <w:tab w:leader="none" w:pos="219"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No Waiver of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failure or delay in exercising any right, power or privilege in respect of this Agreement will not be presumed to operate as a 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 single or partial exercise of any right, power or privilege will not be presumed to preclude any subsequent or further exercise, of that right, power or privilege or the exercise of any other right, power or privilege.</w:t>
      </w:r>
    </w:p>
    <w:p>
      <w:pPr>
        <w:spacing w:after="0" w:line="140" w:lineRule="exact"/>
        <w:rPr>
          <w:rFonts w:ascii="Arial" w:cs="Arial" w:eastAsia="Arial" w:hAnsi="Arial"/>
          <w:sz w:val="18"/>
          <w:szCs w:val="18"/>
          <w:color w:val="auto"/>
        </w:rPr>
      </w:pPr>
    </w:p>
    <w:p>
      <w:pPr>
        <w:ind w:right="940" w:firstLine="8"/>
        <w:spacing w:after="0" w:line="268" w:lineRule="auto"/>
        <w:tabs>
          <w:tab w:leader="none" w:pos="249"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Headings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headings used in this Agreement are for convenience of reference only and are not to affect the construction of or to be taken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in interpreting this Agreement.</w:t>
      </w:r>
    </w:p>
    <w:p>
      <w:pPr>
        <w:spacing w:after="0" w:line="248" w:lineRule="exact"/>
        <w:rPr>
          <w:sz w:val="20"/>
          <w:szCs w:val="20"/>
          <w:color w:val="auto"/>
        </w:rPr>
      </w:pPr>
    </w:p>
    <w:p>
      <w:pPr>
        <w:ind w:left="460" w:hanging="452"/>
        <w:spacing w:after="0"/>
        <w:tabs>
          <w:tab w:leader="none" w:pos="460" w:val="left"/>
        </w:tabs>
        <w:numPr>
          <w:ilvl w:val="0"/>
          <w:numId w:val="132"/>
        </w:numPr>
        <w:rPr>
          <w:rFonts w:ascii="Arial" w:cs="Arial" w:eastAsia="Arial" w:hAnsi="Arial"/>
          <w:sz w:val="18"/>
          <w:szCs w:val="18"/>
          <w:b w:val="1"/>
          <w:bCs w:val="1"/>
          <w:color w:val="auto"/>
        </w:rPr>
      </w:pPr>
      <w:r>
        <w:rPr>
          <w:rFonts w:ascii="Arial" w:cs="Arial" w:eastAsia="Arial" w:hAnsi="Arial"/>
          <w:sz w:val="18"/>
          <w:szCs w:val="18"/>
          <w:b w:val="1"/>
          <w:bCs w:val="1"/>
          <w:color w:val="auto"/>
        </w:rPr>
        <w:t>Offices; Multibranch Parties</w:t>
      </w:r>
    </w:p>
    <w:p>
      <w:pPr>
        <w:spacing w:after="0" w:line="96" w:lineRule="exact"/>
        <w:rPr>
          <w:sz w:val="20"/>
          <w:szCs w:val="20"/>
          <w:color w:val="auto"/>
        </w:rPr>
      </w:pPr>
    </w:p>
    <w:p>
      <w:pPr>
        <w:ind w:firstLine="8"/>
        <w:spacing w:after="0" w:line="256" w:lineRule="auto"/>
        <w:tabs>
          <w:tab w:leader="none" w:pos="23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Section 10(a) is specified in the Schedule as applying, each party that enters into a Transaction through an Office other than its head or home office represents to the other party that, notwithstanding the place of booking office or jurisdiction of incorporation or organisation of such party, the obligations of such party are the same as if it had entered into the Transaction through its head or home office. This representation will be deemed to be repeated by such party on each date on which a Transaction is entered into.</w:t>
      </w:r>
    </w:p>
    <w:p>
      <w:pPr>
        <w:spacing w:after="0" w:line="143" w:lineRule="exact"/>
        <w:rPr>
          <w:rFonts w:ascii="Arial" w:cs="Arial" w:eastAsia="Arial" w:hAnsi="Arial"/>
          <w:sz w:val="18"/>
          <w:szCs w:val="18"/>
          <w:color w:val="auto"/>
        </w:rPr>
      </w:pPr>
    </w:p>
    <w:p>
      <w:pPr>
        <w:ind w:right="260" w:firstLine="8"/>
        <w:spacing w:after="0" w:line="268" w:lineRule="auto"/>
        <w:tabs>
          <w:tab w:leader="none" w:pos="24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Neither party may change the Office through which it makes and receives payments or deliveries for the purpose of a Transaction without the prior written consent of the other party.</w:t>
      </w:r>
    </w:p>
    <w:p>
      <w:pPr>
        <w:spacing w:after="0" w:line="131" w:lineRule="exact"/>
        <w:rPr>
          <w:rFonts w:ascii="Arial" w:cs="Arial" w:eastAsia="Arial" w:hAnsi="Arial"/>
          <w:sz w:val="18"/>
          <w:szCs w:val="18"/>
          <w:color w:val="auto"/>
        </w:rPr>
      </w:pPr>
    </w:p>
    <w:p>
      <w:pPr>
        <w:ind w:right="300" w:firstLine="8"/>
        <w:spacing w:after="0" w:line="259" w:lineRule="auto"/>
        <w:tabs>
          <w:tab w:leader="none" w:pos="23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If a party is specified as a Multibranch Party in the Schedule, such Multibranch Party may make and receive payments or deliveries under any Transaction through any Office listed in the Schedule, and the Office through which it makes and receives payments or deliveries with respect to a Transaction will be specified in the relevant Confirmation.</w:t>
      </w:r>
    </w:p>
    <w:p>
      <w:pPr>
        <w:spacing w:after="0" w:line="256" w:lineRule="exact"/>
        <w:rPr>
          <w:sz w:val="20"/>
          <w:szCs w:val="20"/>
          <w:color w:val="auto"/>
        </w:rPr>
      </w:pPr>
    </w:p>
    <w:p>
      <w:pPr>
        <w:ind w:left="460" w:hanging="452"/>
        <w:spacing w:after="0"/>
        <w:tabs>
          <w:tab w:leader="none" w:pos="460" w:val="left"/>
        </w:tabs>
        <w:numPr>
          <w:ilvl w:val="0"/>
          <w:numId w:val="134"/>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 Defaulting Party will, on demand, indemnify and hold harmless the other party for and against all reasonable out-of-pocket expenses, including legal fees and Stamp Tax, incurred by such other party by reason of the enforcement and protection of its rights under this Agreement or any Credit Support Document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83" w:name="page84"/>
    <w:bookmarkEnd w:id="8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which the Defaulting Party is a party or by reason of the early termination of any Transaction, including, but not limited to, costs of collection.</w:t>
      </w:r>
    </w:p>
    <w:p>
      <w:pPr>
        <w:spacing w:after="0" w:line="287" w:lineRule="exact"/>
        <w:rPr>
          <w:sz w:val="20"/>
          <w:szCs w:val="20"/>
          <w:color w:val="auto"/>
        </w:rPr>
      </w:pPr>
    </w:p>
    <w:p>
      <w:pPr>
        <w:ind w:left="460" w:hanging="452"/>
        <w:spacing w:after="0"/>
        <w:tabs>
          <w:tab w:leader="none" w:pos="460" w:val="left"/>
        </w:tabs>
        <w:numPr>
          <w:ilvl w:val="0"/>
          <w:numId w:val="135"/>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120" w:firstLine="8"/>
        <w:spacing w:after="0" w:line="306" w:lineRule="auto"/>
        <w:tabs>
          <w:tab w:leader="none" w:pos="239" w:val="left"/>
        </w:tabs>
        <w:numPr>
          <w:ilvl w:val="0"/>
          <w:numId w:val="13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Effectiveness. </w:t>
      </w:r>
      <w:r>
        <w:rPr>
          <w:rFonts w:ascii="Arial" w:cs="Arial" w:eastAsia="Arial" w:hAnsi="Arial"/>
          <w:sz w:val="16"/>
          <w:szCs w:val="16"/>
          <w:color w:val="auto"/>
        </w:rPr>
        <w:t>Any notice or other communication in respect of this Agreement may be given in any manner set forth below (except that a notice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 under Section 5 or 6 may not be given by facsimile transmission or electronic messaging system) to the address or number or in accordance with the electronic messaging system details provided (see the Schedule) and will be deemed effective as indicated:—</w:t>
      </w:r>
    </w:p>
    <w:p>
      <w:pPr>
        <w:spacing w:after="0" w:line="25" w:lineRule="exact"/>
        <w:rPr>
          <w:rFonts w:ascii="Arial" w:cs="Arial" w:eastAsia="Arial" w:hAnsi="Arial"/>
          <w:sz w:val="16"/>
          <w:szCs w:val="16"/>
          <w:color w:val="auto"/>
        </w:rPr>
      </w:pPr>
    </w:p>
    <w:p>
      <w:pPr>
        <w:ind w:left="680" w:hanging="216"/>
        <w:spacing w:after="0"/>
        <w:tabs>
          <w:tab w:leader="none" w:pos="68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if in writing and delivered in person or by courier, on the date it is delivered;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if sent by telex, on the date the recipient’s answerback is received;</w:t>
      </w:r>
    </w:p>
    <w:p>
      <w:pPr>
        <w:spacing w:after="0" w:line="90" w:lineRule="exact"/>
        <w:rPr>
          <w:rFonts w:ascii="Arial" w:cs="Arial" w:eastAsia="Arial" w:hAnsi="Arial"/>
          <w:sz w:val="18"/>
          <w:szCs w:val="18"/>
          <w:color w:val="auto"/>
        </w:rPr>
      </w:pPr>
    </w:p>
    <w:p>
      <w:pPr>
        <w:ind w:left="460" w:right="220" w:firstLine="4"/>
        <w:spacing w:after="0" w:line="357" w:lineRule="auto"/>
        <w:tabs>
          <w:tab w:leader="none" w:pos="767" w:val="left"/>
        </w:tabs>
        <w:numPr>
          <w:ilvl w:val="1"/>
          <w:numId w:val="136"/>
        </w:numPr>
        <w:rPr>
          <w:rFonts w:ascii="Arial" w:cs="Arial" w:eastAsia="Arial" w:hAnsi="Arial"/>
          <w:sz w:val="15"/>
          <w:szCs w:val="15"/>
          <w:color w:val="auto"/>
        </w:rPr>
      </w:pPr>
      <w:r>
        <w:rPr>
          <w:rFonts w:ascii="Arial" w:cs="Arial" w:eastAsia="Arial" w:hAnsi="Arial"/>
          <w:sz w:val="15"/>
          <w:szCs w:val="15"/>
          <w:color w:val="auto"/>
        </w:rPr>
        <w:t>if sent by facsimile transmission, on the date that transmission is received by a responsible employee of the recipient in legible form (it being agreed that the burden of proving receipt will be on the sender and will not be met by a transmission report generated by the sender’s facsimile machine);</w:t>
      </w:r>
    </w:p>
    <w:p>
      <w:pPr>
        <w:ind w:left="460" w:right="160" w:firstLine="4"/>
        <w:spacing w:after="0" w:line="268" w:lineRule="auto"/>
        <w:tabs>
          <w:tab w:leader="none" w:pos="757"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if sent by certified or registered mail (airmail, if overseas) or the equivalent (return receipt requested), on the date that mail is delivered or its delivery is attempted; or</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1"/>
          <w:numId w:val="136"/>
        </w:numPr>
        <w:rPr>
          <w:rFonts w:ascii="Arial" w:cs="Arial" w:eastAsia="Arial" w:hAnsi="Arial"/>
          <w:sz w:val="18"/>
          <w:szCs w:val="18"/>
          <w:color w:val="auto"/>
        </w:rPr>
      </w:pPr>
      <w:r>
        <w:rPr>
          <w:rFonts w:ascii="Arial" w:cs="Arial" w:eastAsia="Arial" w:hAnsi="Arial"/>
          <w:sz w:val="18"/>
          <w:szCs w:val="18"/>
          <w:color w:val="auto"/>
        </w:rPr>
        <w:t>if sent by electronic messaging system, on the date that electronic message is received,</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the date of that delivery (or attempted delivery) or that receipt, as applicable, is not a Local Business Day or that communication is delivered (or attempted) or received, as applicable, after the close of business on a Local Business Day, in which case that communication shall be deemed given and effective on the first following day that is a Local Business Day.</w:t>
      </w:r>
    </w:p>
    <w:p>
      <w:pPr>
        <w:spacing w:after="0" w:line="140" w:lineRule="exact"/>
        <w:rPr>
          <w:sz w:val="20"/>
          <w:szCs w:val="20"/>
          <w:color w:val="auto"/>
        </w:rPr>
      </w:pPr>
    </w:p>
    <w:p>
      <w:pPr>
        <w:ind w:right="200" w:firstLine="8"/>
        <w:spacing w:after="0" w:line="268" w:lineRule="auto"/>
        <w:tabs>
          <w:tab w:leader="none" w:pos="249" w:val="left"/>
        </w:tabs>
        <w:numPr>
          <w:ilvl w:val="0"/>
          <w:numId w:val="137"/>
        </w:numPr>
        <w:rPr>
          <w:rFonts w:ascii="Arial" w:cs="Arial" w:eastAsia="Arial" w:hAnsi="Arial"/>
          <w:sz w:val="18"/>
          <w:szCs w:val="18"/>
          <w:color w:val="auto"/>
        </w:rPr>
      </w:pPr>
      <w:r>
        <w:rPr>
          <w:rFonts w:ascii="Arial" w:cs="Arial" w:eastAsia="Arial" w:hAnsi="Arial"/>
          <w:sz w:val="18"/>
          <w:szCs w:val="18"/>
          <w:b w:val="1"/>
          <w:bCs w:val="1"/>
          <w:i w:val="1"/>
          <w:iCs w:val="1"/>
          <w:color w:val="auto"/>
        </w:rPr>
        <w:t>Change of Addresses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Either party may by notice to the other change the address, telex or facsimile number or electronic messaging system details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notices or other communications are to be given to it.</w:t>
      </w:r>
    </w:p>
    <w:p>
      <w:pPr>
        <w:spacing w:after="0" w:line="248" w:lineRule="exact"/>
        <w:rPr>
          <w:sz w:val="20"/>
          <w:szCs w:val="20"/>
          <w:color w:val="auto"/>
        </w:rPr>
      </w:pPr>
    </w:p>
    <w:p>
      <w:pPr>
        <w:ind w:left="460" w:hanging="452"/>
        <w:spacing w:after="0"/>
        <w:tabs>
          <w:tab w:leader="none" w:pos="460" w:val="left"/>
        </w:tabs>
        <w:numPr>
          <w:ilvl w:val="0"/>
          <w:numId w:val="138"/>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96" w:lineRule="exact"/>
        <w:rPr>
          <w:sz w:val="20"/>
          <w:szCs w:val="20"/>
          <w:color w:val="auto"/>
        </w:rPr>
      </w:pPr>
    </w:p>
    <w:p>
      <w:pPr>
        <w:ind w:left="240" w:hanging="232"/>
        <w:spacing w:after="0"/>
        <w:tabs>
          <w:tab w:leader="none" w:pos="240" w:val="left"/>
        </w:tabs>
        <w:numPr>
          <w:ilvl w:val="0"/>
          <w:numId w:val="1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This Agreement will be governed by and construed in accordance with the law specified in the Schedule.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13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Jurisdiction. </w:t>
      </w:r>
      <w:r>
        <w:rPr>
          <w:rFonts w:ascii="Arial" w:cs="Arial" w:eastAsia="Arial" w:hAnsi="Arial"/>
          <w:sz w:val="18"/>
          <w:szCs w:val="18"/>
          <w:color w:val="auto"/>
        </w:rPr>
        <w:t>With respect to any suit, action or proceedings relating to this Agreement (“Proceedings”), each party irrevocably:—</w:t>
      </w:r>
    </w:p>
    <w:p>
      <w:pPr>
        <w:spacing w:after="0" w:line="90" w:lineRule="exact"/>
        <w:rPr>
          <w:rFonts w:ascii="Arial" w:cs="Arial" w:eastAsia="Arial" w:hAnsi="Arial"/>
          <w:sz w:val="18"/>
          <w:szCs w:val="18"/>
          <w:color w:val="auto"/>
        </w:rPr>
      </w:pPr>
    </w:p>
    <w:p>
      <w:pPr>
        <w:ind w:left="460" w:right="40" w:firstLine="4"/>
        <w:spacing w:after="0" w:line="286" w:lineRule="auto"/>
        <w:tabs>
          <w:tab w:leader="none" w:pos="670" w:val="left"/>
        </w:tabs>
        <w:numPr>
          <w:ilvl w:val="1"/>
          <w:numId w:val="139"/>
        </w:numPr>
        <w:rPr>
          <w:rFonts w:ascii="Arial" w:cs="Arial" w:eastAsia="Arial" w:hAnsi="Arial"/>
          <w:sz w:val="16"/>
          <w:szCs w:val="16"/>
          <w:color w:val="auto"/>
        </w:rPr>
      </w:pPr>
      <w:r>
        <w:rPr>
          <w:rFonts w:ascii="Arial" w:cs="Arial" w:eastAsia="Arial" w:hAnsi="Arial"/>
          <w:sz w:val="16"/>
          <w:szCs w:val="16"/>
          <w:color w:val="auto"/>
        </w:rPr>
        <w:t>submits to the jurisdiction of the English courts, if this Agreement is expressed to be governed by English law, or to the non-exclusive jurisdiction of the courts of the State of New York and the United States District Court located in the Borough of Manhattan in New York City, if this</w:t>
      </w:r>
    </w:p>
    <w:p>
      <w:pPr>
        <w:ind w:left="460"/>
        <w:spacing w:after="0"/>
        <w:rPr>
          <w:rFonts w:ascii="Arial" w:cs="Arial" w:eastAsia="Arial" w:hAnsi="Arial"/>
          <w:sz w:val="16"/>
          <w:szCs w:val="16"/>
          <w:color w:val="auto"/>
        </w:rPr>
      </w:pPr>
      <w:r>
        <w:rPr>
          <w:rFonts w:ascii="Arial" w:cs="Arial" w:eastAsia="Arial" w:hAnsi="Arial"/>
          <w:sz w:val="18"/>
          <w:szCs w:val="18"/>
          <w:color w:val="auto"/>
        </w:rPr>
        <w:t>Agreement is expressed to be governed by the laws of the State of New York; and</w:t>
      </w:r>
    </w:p>
    <w:p>
      <w:pPr>
        <w:spacing w:after="0" w:line="83" w:lineRule="exact"/>
        <w:rPr>
          <w:rFonts w:ascii="Arial" w:cs="Arial" w:eastAsia="Arial" w:hAnsi="Arial"/>
          <w:sz w:val="16"/>
          <w:szCs w:val="16"/>
          <w:color w:val="auto"/>
        </w:rPr>
      </w:pPr>
    </w:p>
    <w:p>
      <w:pPr>
        <w:ind w:left="460" w:right="280" w:firstLine="4"/>
        <w:spacing w:after="0" w:line="286" w:lineRule="auto"/>
        <w:tabs>
          <w:tab w:leader="none" w:pos="719" w:val="left"/>
        </w:tabs>
        <w:numPr>
          <w:ilvl w:val="1"/>
          <w:numId w:val="139"/>
        </w:numPr>
        <w:rPr>
          <w:rFonts w:ascii="Arial" w:cs="Arial" w:eastAsia="Arial" w:hAnsi="Arial"/>
          <w:sz w:val="16"/>
          <w:szCs w:val="16"/>
          <w:color w:val="auto"/>
        </w:rPr>
      </w:pPr>
      <w:r>
        <w:rPr>
          <w:rFonts w:ascii="Arial" w:cs="Arial" w:eastAsia="Arial" w:hAnsi="Arial"/>
          <w:sz w:val="16"/>
          <w:szCs w:val="16"/>
          <w:color w:val="auto"/>
        </w:rPr>
        <w:t>waives any objection which it may have at any time to the laying of venue of any Proceedings brought in any such court, waives any claim that such Proceedings have been brought in an inconvenient forum and further waives the right to object, with respect to such Proceedings, that</w:t>
      </w:r>
    </w:p>
    <w:p>
      <w:pPr>
        <w:ind w:left="460"/>
        <w:spacing w:after="0"/>
        <w:rPr>
          <w:rFonts w:ascii="Arial" w:cs="Arial" w:eastAsia="Arial" w:hAnsi="Arial"/>
          <w:sz w:val="16"/>
          <w:szCs w:val="16"/>
          <w:color w:val="auto"/>
        </w:rPr>
      </w:pPr>
      <w:r>
        <w:rPr>
          <w:rFonts w:ascii="Arial" w:cs="Arial" w:eastAsia="Arial" w:hAnsi="Arial"/>
          <w:sz w:val="18"/>
          <w:szCs w:val="18"/>
          <w:color w:val="auto"/>
        </w:rPr>
        <w:t>such court does not have any jurisdiction over such party.</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Nothing in this Agreement precludes either party from bringing Proceedings in any other jurisdiction (outside, if this Agreement is expressed to be governed by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English law, the Contracting States, as defined in Section 1(3) of the Civil Jurisdiction and Judgments Act 1982 or any modification, extension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reenactment thereof for the time being in force) nor will the bringing of Proceedings in any one or more jurisdictions preclude the bringing of Proceedings in any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other jurisdiction.</w:t>
      </w:r>
    </w:p>
    <w:p>
      <w:pPr>
        <w:spacing w:after="0" w:line="165" w:lineRule="exact"/>
        <w:rPr>
          <w:sz w:val="20"/>
          <w:szCs w:val="20"/>
          <w:color w:val="auto"/>
        </w:rPr>
      </w:pPr>
    </w:p>
    <w:p>
      <w:pPr>
        <w:ind w:right="160" w:firstLine="8"/>
        <w:spacing w:after="0" w:line="268" w:lineRule="auto"/>
        <w:tabs>
          <w:tab w:leader="none" w:pos="239" w:val="left"/>
        </w:tabs>
        <w:numPr>
          <w:ilvl w:val="0"/>
          <w:numId w:val="14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Service of Process. </w:t>
      </w:r>
      <w:r>
        <w:rPr>
          <w:rFonts w:ascii="Arial" w:cs="Arial" w:eastAsia="Arial" w:hAnsi="Arial"/>
          <w:sz w:val="18"/>
          <w:szCs w:val="18"/>
          <w:color w:val="auto"/>
        </w:rPr>
        <w:t>Each party irrevocably appoints the Process Agent (if any) specified opposite its name in the Schedule to receive, for it and on its behalf,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of process in any Proceedings. If for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84" w:name="page85"/>
    <w:bookmarkEnd w:id="84"/>
    <w:p>
      <w:pPr>
        <w:ind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 any party’s Process Agent is unable to act as such, such party will promptly notify the other party and within 30 days appoint a substitute process agent acceptable to the other party. The parties irrevocably consent to service of process given in the manner provided for notices in Section 12. Nothing in this Agreement will affect the right of either party to serve process in any other manner permitted by law.</w:t>
      </w:r>
    </w:p>
    <w:p>
      <w:pPr>
        <w:spacing w:after="0" w:line="107" w:lineRule="exact"/>
        <w:rPr>
          <w:sz w:val="20"/>
          <w:szCs w:val="20"/>
          <w:color w:val="auto"/>
        </w:rPr>
      </w:pPr>
    </w:p>
    <w:p>
      <w:pPr>
        <w:ind w:right="460" w:firstLine="8"/>
        <w:spacing w:after="0" w:line="286" w:lineRule="auto"/>
        <w:tabs>
          <w:tab w:leader="none" w:pos="249" w:val="left"/>
        </w:tabs>
        <w:numPr>
          <w:ilvl w:val="0"/>
          <w:numId w:val="14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Waiver of Immunities. </w:t>
      </w:r>
      <w:r>
        <w:rPr>
          <w:rFonts w:ascii="Arial" w:cs="Arial" w:eastAsia="Arial" w:hAnsi="Arial"/>
          <w:sz w:val="16"/>
          <w:szCs w:val="16"/>
          <w:color w:val="auto"/>
        </w:rPr>
        <w:t>Each party irrevocably waives, to the fullest extent permitted by applicable law, with respect to itself and its revenues and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(irrespective of their use or intended use), all immunity on the grounds of sovereignty or other similar grounds from (i) suit, (ii) jurisdiction of</w:t>
      </w:r>
    </w:p>
    <w:p>
      <w:pPr>
        <w:ind w:right="120"/>
        <w:spacing w:after="0" w:line="302" w:lineRule="auto"/>
        <w:rPr>
          <w:rFonts w:ascii="Arial" w:cs="Arial" w:eastAsia="Arial" w:hAnsi="Arial"/>
          <w:sz w:val="16"/>
          <w:szCs w:val="16"/>
          <w:color w:val="auto"/>
        </w:rPr>
      </w:pPr>
      <w:r>
        <w:rPr>
          <w:rFonts w:ascii="Arial" w:cs="Arial" w:eastAsia="Arial" w:hAnsi="Arial"/>
          <w:sz w:val="16"/>
          <w:szCs w:val="16"/>
          <w:color w:val="auto"/>
        </w:rPr>
        <w:t>any court, (iii) relief by way of injunction, order for specific performance or for recovery of property, (iv) attachment of its assets (whether before or after judgment) and (v) execution or enforcement of any judgment to which it or its revenues or assets might otherwise be entitled in any Proceedings in the courts of any jurisdiction and irrevocably agrees, to the extent permitted by applicable law, that it will not claim any such immunity in any Proceedings.</w:t>
      </w:r>
    </w:p>
    <w:p>
      <w:pPr>
        <w:spacing w:after="0" w:line="225" w:lineRule="exact"/>
        <w:rPr>
          <w:sz w:val="20"/>
          <w:szCs w:val="20"/>
          <w:color w:val="auto"/>
        </w:rPr>
      </w:pPr>
    </w:p>
    <w:p>
      <w:pPr>
        <w:ind w:left="460" w:hanging="452"/>
        <w:spacing w:after="0"/>
        <w:tabs>
          <w:tab w:leader="none" w:pos="4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“Additional Termination Event” </w:t>
      </w:r>
      <w:r>
        <w:rPr>
          <w:rFonts w:ascii="Arial" w:cs="Arial" w:eastAsia="Arial" w:hAnsi="Arial"/>
          <w:sz w:val="18"/>
          <w:szCs w:val="18"/>
          <w:color w:val="auto"/>
        </w:rPr>
        <w:t>has the meaning specified in Section 5(b).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“Affected Party” </w:t>
      </w:r>
      <w:r>
        <w:rPr>
          <w:rFonts w:ascii="Arial" w:cs="Arial" w:eastAsia="Arial" w:hAnsi="Arial"/>
          <w:sz w:val="18"/>
          <w:szCs w:val="18"/>
          <w:color w:val="auto"/>
        </w:rPr>
        <w:t>has the meaning specified in Section 5(b).</w:t>
      </w:r>
    </w:p>
    <w:p>
      <w:pPr>
        <w:spacing w:after="0" w:line="171"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b w:val="1"/>
          <w:bCs w:val="1"/>
          <w:i w:val="1"/>
          <w:iCs w:val="1"/>
          <w:color w:val="auto"/>
        </w:rPr>
        <w:t xml:space="preserve">“Affected Transactions” </w:t>
      </w:r>
      <w:r>
        <w:rPr>
          <w:rFonts w:ascii="Arial" w:cs="Arial" w:eastAsia="Arial" w:hAnsi="Arial"/>
          <w:sz w:val="16"/>
          <w:szCs w:val="16"/>
          <w:color w:val="auto"/>
        </w:rPr>
        <w:t>means (a) with respect to any Termination Event consisting of an Illegality, Tax Event or Tax Event Upon Merger, all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affected by the occurrence of such Termination Event and (b) with respect to any other Termination Event, all Transactions.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means, subject to the Schedule, in relation to any person, any entity controlled, directly or indirectly, by the person, any entity that controls, directly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indirectly, the person or any entity directly or indirectly under common control with the person. For this purpose, “control” of any entity or person means ownership of a majority of the voting power of the entity or person.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“Applicable Rate” </w:t>
      </w:r>
      <w:r>
        <w:rPr>
          <w:rFonts w:ascii="Arial" w:cs="Arial" w:eastAsia="Arial" w:hAnsi="Arial"/>
          <w:sz w:val="18"/>
          <w:szCs w:val="18"/>
          <w:color w:val="auto"/>
        </w:rPr>
        <w:t>means:—</w:t>
      </w:r>
    </w:p>
    <w:p>
      <w:pPr>
        <w:spacing w:after="0" w:line="90" w:lineRule="exact"/>
        <w:rPr>
          <w:sz w:val="20"/>
          <w:szCs w:val="20"/>
          <w:color w:val="auto"/>
        </w:rPr>
      </w:pPr>
    </w:p>
    <w:p>
      <w:pPr>
        <w:ind w:left="240" w:hanging="232"/>
        <w:spacing w:after="0"/>
        <w:tabs>
          <w:tab w:leader="none" w:pos="24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respect of obligations payable or deliverable (or which would have been but for Section 2(a)(iii)) by a Defaulting Party, the Default Rate;</w:t>
      </w:r>
    </w:p>
    <w:p>
      <w:pPr>
        <w:spacing w:after="0" w:line="171" w:lineRule="exact"/>
        <w:rPr>
          <w:rFonts w:ascii="Arial" w:cs="Arial" w:eastAsia="Arial" w:hAnsi="Arial"/>
          <w:sz w:val="18"/>
          <w:szCs w:val="18"/>
          <w:color w:val="auto"/>
        </w:rPr>
      </w:pPr>
    </w:p>
    <w:p>
      <w:pPr>
        <w:ind w:right="340" w:firstLine="8"/>
        <w:spacing w:after="0" w:line="268" w:lineRule="auto"/>
        <w:tabs>
          <w:tab w:leader="none" w:pos="24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respect of an obligation to pay an amount under Section 6(e) of either party from and after the date (determined in accordance with Section 6(d)(ii)) on which that amount is payable, the Default Rate;</w:t>
      </w:r>
    </w:p>
    <w:p>
      <w:pPr>
        <w:spacing w:after="0" w:line="131" w:lineRule="exact"/>
        <w:rPr>
          <w:rFonts w:ascii="Arial" w:cs="Arial" w:eastAsia="Arial" w:hAnsi="Arial"/>
          <w:sz w:val="18"/>
          <w:szCs w:val="18"/>
          <w:color w:val="auto"/>
        </w:rPr>
      </w:pPr>
    </w:p>
    <w:p>
      <w:pPr>
        <w:ind w:right="60" w:firstLine="8"/>
        <w:spacing w:after="0" w:line="268" w:lineRule="auto"/>
        <w:tabs>
          <w:tab w:leader="none" w:pos="239"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respect of all other obligations payable or deliverable (or which would have been but for Section 2(a)(iii)) by a Non-defaulting Party, the Non-default Rate; and</w:t>
      </w:r>
    </w:p>
    <w:p>
      <w:pPr>
        <w:spacing w:after="0" w:line="131" w:lineRule="exact"/>
        <w:rPr>
          <w:rFonts w:ascii="Arial" w:cs="Arial" w:eastAsia="Arial" w:hAnsi="Arial"/>
          <w:sz w:val="18"/>
          <w:szCs w:val="18"/>
          <w:color w:val="auto"/>
        </w:rPr>
      </w:pPr>
    </w:p>
    <w:p>
      <w:pPr>
        <w:ind w:left="260" w:hanging="252"/>
        <w:spacing w:after="0"/>
        <w:tabs>
          <w:tab w:leader="none" w:pos="2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in all other cases, the Termination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“Burdened Party” </w:t>
      </w:r>
      <w:r>
        <w:rPr>
          <w:rFonts w:ascii="Arial" w:cs="Arial" w:eastAsia="Arial" w:hAnsi="Arial"/>
          <w:sz w:val="18"/>
          <w:szCs w:val="18"/>
          <w:color w:val="auto"/>
        </w:rPr>
        <w:t>has the meaning specified in Section 5(b).</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 xml:space="preserve">“Change in Tax Law” </w:t>
      </w:r>
      <w:r>
        <w:rPr>
          <w:rFonts w:ascii="Arial" w:cs="Arial" w:eastAsia="Arial" w:hAnsi="Arial"/>
          <w:sz w:val="18"/>
          <w:szCs w:val="18"/>
          <w:color w:val="auto"/>
        </w:rPr>
        <w:t>means the enactment, promulgation, execution or ratification of, or any change in or amendment to, any law (or in the application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official interpretation of any law) that occurs on or after the date on which the relevant Transaction is entered into.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“consent” </w:t>
      </w:r>
      <w:r>
        <w:rPr>
          <w:rFonts w:ascii="Arial" w:cs="Arial" w:eastAsia="Arial" w:hAnsi="Arial"/>
          <w:sz w:val="18"/>
          <w:szCs w:val="18"/>
          <w:color w:val="auto"/>
        </w:rPr>
        <w:t>includes a consent, approval, action, authorisation, exemption, notice, filing, registration or exchange control consent.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“Credit Event Upon Merger” </w:t>
      </w:r>
      <w:r>
        <w:rPr>
          <w:rFonts w:ascii="Arial" w:cs="Arial" w:eastAsia="Arial" w:hAnsi="Arial"/>
          <w:sz w:val="18"/>
          <w:szCs w:val="18"/>
          <w:color w:val="auto"/>
        </w:rPr>
        <w:t>has the meaning specified in Section 5(b).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“Credit Support Document” </w:t>
      </w:r>
      <w:r>
        <w:rPr>
          <w:rFonts w:ascii="Arial" w:cs="Arial" w:eastAsia="Arial" w:hAnsi="Arial"/>
          <w:sz w:val="18"/>
          <w:szCs w:val="18"/>
          <w:color w:val="auto"/>
        </w:rPr>
        <w:t>means any agreement or instrument that is specified as such in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“Credit Support Provider” </w:t>
      </w:r>
      <w:r>
        <w:rPr>
          <w:rFonts w:ascii="Arial" w:cs="Arial" w:eastAsia="Arial" w:hAnsi="Arial"/>
          <w:sz w:val="18"/>
          <w:szCs w:val="18"/>
          <w:color w:val="auto"/>
        </w:rPr>
        <w:t>has the meaning specified in the Schedule.</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 xml:space="preserve">“Default Rate” </w:t>
      </w:r>
      <w:r>
        <w:rPr>
          <w:rFonts w:ascii="Arial" w:cs="Arial" w:eastAsia="Arial" w:hAnsi="Arial"/>
          <w:sz w:val="18"/>
          <w:szCs w:val="18"/>
          <w:color w:val="auto"/>
        </w:rPr>
        <w:t>means a rate per annum equal to the cost (without proof or evidence of any actual cost) to the relevant payee (as certified by it) if it were to fund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of funding the relevant amount plus 1% per annum.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“Defaulting Party” </w:t>
      </w:r>
      <w:r>
        <w:rPr>
          <w:rFonts w:ascii="Arial" w:cs="Arial" w:eastAsia="Arial" w:hAnsi="Arial"/>
          <w:sz w:val="18"/>
          <w:szCs w:val="18"/>
          <w:color w:val="auto"/>
        </w:rPr>
        <w:t>has the meaning specified in Section 6(a).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“Early Termination Date” </w:t>
      </w:r>
      <w:r>
        <w:rPr>
          <w:rFonts w:ascii="Arial" w:cs="Arial" w:eastAsia="Arial" w:hAnsi="Arial"/>
          <w:sz w:val="18"/>
          <w:szCs w:val="18"/>
          <w:color w:val="auto"/>
        </w:rPr>
        <w:t>means the date determined in accordance with Section 6(a) or 6(b)(iv).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“Event of Default” </w:t>
      </w:r>
      <w:r>
        <w:rPr>
          <w:rFonts w:ascii="Arial" w:cs="Arial" w:eastAsia="Arial" w:hAnsi="Arial"/>
          <w:sz w:val="18"/>
          <w:szCs w:val="18"/>
          <w:color w:val="auto"/>
        </w:rPr>
        <w:t>has the meaning specified in Section 5(a) and, if applicable, in the Schedule.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“Illegality” </w:t>
      </w:r>
      <w:r>
        <w:rPr>
          <w:rFonts w:ascii="Arial" w:cs="Arial" w:eastAsia="Arial" w:hAnsi="Arial"/>
          <w:sz w:val="18"/>
          <w:szCs w:val="18"/>
          <w:color w:val="auto"/>
        </w:rPr>
        <w:t>has the meaning specified in Section 5(b).</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“Indemnifiable </w:t>
      </w:r>
      <w:r>
        <w:rPr>
          <w:rFonts w:ascii="Arial" w:cs="Arial" w:eastAsia="Arial" w:hAnsi="Arial"/>
          <w:sz w:val="16"/>
          <w:szCs w:val="16"/>
          <w:b w:val="1"/>
          <w:bCs w:val="1"/>
          <w:color w:val="auto"/>
        </w:rPr>
        <w:t>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any Tax other than a Tax that would not be imposed in respect of a payment under this Agreement but for a present or former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between the jurisdiction of the government or taxation authority imposing such Tax and the recipient of such payment or a person related to such recipient (including, without limitation, a connection arising from such recipient or related person being or having been a citizen or resident of such jurisdiction, or being or having been organised, present or engaged in a trade or business in such jurisdiction, or having or having had a permanent establishment or fixed place of business in such jurisdiction, but excluding a connection arising solely from such recipient or related person having executed, delivered, performed its obligations or received a payment under, or enforced, this Agreement or a Credit Support Document).</w:t>
      </w:r>
    </w:p>
    <w:p>
      <w:pPr>
        <w:spacing w:after="0" w:line="11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 xml:space="preserve">“law” </w:t>
      </w:r>
      <w:r>
        <w:rPr>
          <w:rFonts w:ascii="Arial" w:cs="Arial" w:eastAsia="Arial" w:hAnsi="Arial"/>
          <w:sz w:val="18"/>
          <w:szCs w:val="18"/>
          <w:color w:val="auto"/>
        </w:rPr>
        <w:t>includes any treaty, law, rule or regulation (as modified, in the case of tax matters, by the practice of any relevant governmental revenue authority) and</w:t>
      </w:r>
      <w:r>
        <w:rPr>
          <w:rFonts w:ascii="Arial" w:cs="Arial" w:eastAsia="Arial" w:hAnsi="Arial"/>
          <w:sz w:val="18"/>
          <w:szCs w:val="18"/>
          <w:b w:val="1"/>
          <w:bCs w:val="1"/>
          <w:i w:val="1"/>
          <w:iCs w:val="1"/>
          <w:color w:val="auto"/>
        </w:rPr>
        <w:t xml:space="preserve"> “lawful”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“unlawful” </w:t>
      </w:r>
      <w:r>
        <w:rPr>
          <w:rFonts w:ascii="Arial" w:cs="Arial" w:eastAsia="Arial" w:hAnsi="Arial"/>
          <w:sz w:val="18"/>
          <w:szCs w:val="18"/>
          <w:color w:val="auto"/>
        </w:rPr>
        <w:t>will be construed accordingly.</w:t>
      </w:r>
    </w:p>
    <w:p>
      <w:pPr>
        <w:spacing w:after="0" w:line="13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i w:val="1"/>
          <w:iCs w:val="1"/>
          <w:color w:val="auto"/>
        </w:rPr>
        <w:t xml:space="preserve">“Local Business Day” </w:t>
      </w:r>
      <w:r>
        <w:rPr>
          <w:rFonts w:ascii="Arial" w:cs="Arial" w:eastAsia="Arial" w:hAnsi="Arial"/>
          <w:sz w:val="16"/>
          <w:szCs w:val="16"/>
          <w:color w:val="auto"/>
        </w:rPr>
        <w:t>means, subject to the Schedule, a day on which commercial banks are open for business (including dealings in foreign exchange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foreign currency deposits) (a) in relation to any obligation under Section 2(a)(i), in the place(s) specified in the relevant Confirmation or, if not so specified, as otherwise agreed by the parties in writing or determined pursuant to provisions contained, or incorporated by reference, in this Agreement, (b) in relation to any other payment, in the place where the relevant account is located and, if different, in the principal financial centre, if any, of the currency of such payment, (c) in relation to any notice or other communication, including notice contemplated under Section 5(a)(i)</w:t>
      </w:r>
      <w:r>
        <w:rPr>
          <w:rFonts w:ascii="Arial" w:cs="Arial" w:eastAsia="Arial" w:hAnsi="Arial"/>
          <w:sz w:val="16"/>
          <w:szCs w:val="16"/>
          <w:i w:val="1"/>
          <w:iCs w:val="1"/>
          <w:color w:val="auto"/>
        </w:rPr>
        <w:t>,</w:t>
      </w:r>
      <w:r>
        <w:rPr>
          <w:rFonts w:ascii="Arial" w:cs="Arial" w:eastAsia="Arial" w:hAnsi="Arial"/>
          <w:sz w:val="16"/>
          <w:szCs w:val="16"/>
          <w:color w:val="auto"/>
        </w:rPr>
        <w:t xml:space="preserve"> in the city specified in the address for notice provided by the recipient and, in the case of a notice contemplated by Section 2(b), in the place where the relevant new account is to be located and (d) in relation to Section 5(a) (v)(2)</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in the relevant locations for performance with respect to such Specified Transaction.</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“Loss” </w:t>
      </w:r>
      <w:r>
        <w:rPr>
          <w:rFonts w:ascii="Arial" w:cs="Arial" w:eastAsia="Arial" w:hAnsi="Arial"/>
          <w:sz w:val="16"/>
          <w:szCs w:val="16"/>
          <w:color w:val="auto"/>
        </w:rPr>
        <w:t>means, with respect to this Agreement or one or more Terminated Transactions, as the case may be, and a party, the Termination Currency Equivalent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amount that party reasonably determines in good faith to be its total losses and costs (or gain, in which case expressed as a negative number) in connection with this Agreement or that Terminated Transaction or group of Terminated Transactions, as the case may be, including any loss of bargain, cost of funding or, at the election of such party but without duplication, loss or cost incurred as a result of its terminating, liquidating, obtaining or reestablishing any hedge or related trading position (or any gain resulting from any of them). Loss includes losses and costs (or gains) in respect of any payment or delivery required to have been made (assuming satisfaction of each applicable condition precedent) on or before the relevant Early Termination Date and not made, except, so as to avoid duplication, if Section 6(e)(i)(1) or (3) or 6(e)(ii)(2)(A) applies. Loss does not include a party’s legal fees and out-of-pocket expenses referred to under Section 11. A party will determine its Loss as of the relevant Early Termination Date, or, if that is not reasonably practicable, as of the earliest date thereafter as is reasonably practicable. A party may (but need not) determine its Loss by reference to quotations of relevant rates or prices from one or more leading dealers in the relevant markets.</w:t>
      </w:r>
    </w:p>
    <w:p>
      <w:pPr>
        <w:spacing w:after="0" w:line="1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“Market Quotation” </w:t>
      </w:r>
      <w:r>
        <w:rPr>
          <w:rFonts w:ascii="Arial" w:cs="Arial" w:eastAsia="Arial" w:hAnsi="Arial"/>
          <w:sz w:val="16"/>
          <w:szCs w:val="16"/>
          <w:color w:val="auto"/>
        </w:rPr>
        <w:t>means, with respect to one or more Terminated Transactions and a party making the determination, an amount determined on the basis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quotations from Reference Market-makers. Each quotation will be for an amount, if any, that would be paid to such party (expressed as a negative number) or by such party (expressed as a positive number) in consideration of an agreement between such party (taking into account any existing Credit Support Document with respect to the obligations of such party) and the quoting Reference Market-maker to enter into a transaction (the “Replacement Transaction”) that would have the effect of preserving for such party the economic equivalent of any payment or delivery (whether the underlying obligation was absolute or contingent and assuming the satisfaction of each applicable condition precedent) by the parties under Section 2(a)(i) in respect of such Terminated Transaction or group of Terminated Transactions that would, but for the occurrence of the relevant Early Termination Date, have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86" w:name="page87"/>
    <w:bookmarkEnd w:id="8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been required after that date. For this purpose, Unpaid Amounts in respect of the Terminated Transaction or group of Terminated Transactions are to be excluded but, without limitation, any payment or delivery that would, but for the relevant Early Termination Date, have been required (assuming satisfaction of each applicable condition precedent) after that Early Termination Date is to be included. The Replacement Transaction would be subject to such documentation as such party and the Reference Market-maker may, in good faith, agree. The party making the determination (or its agent) will request each Reference Market maker to provide its quotation to the extent reasonably practicable as of the same day and time (without regard to different time zones) on or as soon as reasonably practicable after the relevant Early Termination Date. The day and time as of which those quotations are to be obtained will be selected in good faith by the party obliged to make a determination under Section 6(e), and, if each party is so obliged, after consultation with the other. If more than three quotations are provided, the Market Quotation will be the arithmetic mean of the quotations, without regard to the quotations having the highest and lowest values. If exactly three such quotations are provided, the Market Quotation will be the quotation remaining after disregarding the highest and lowest quotations. For this purpose, if more than one quotation has the same highest value or lowest value, then one of such quotations shall be disregarded. If fewer than three quotations are provided, it will be deemed that the Market Quotation in respect of such Terminated Transaction or group of Terminated Transactions cannot be determined.</w:t>
      </w:r>
    </w:p>
    <w:p>
      <w:pPr>
        <w:spacing w:after="0" w:line="12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 xml:space="preserve">“Non-default Rate” </w:t>
      </w:r>
      <w:r>
        <w:rPr>
          <w:rFonts w:ascii="Arial" w:cs="Arial" w:eastAsia="Arial" w:hAnsi="Arial"/>
          <w:sz w:val="18"/>
          <w:szCs w:val="18"/>
          <w:color w:val="auto"/>
        </w:rPr>
        <w:t>means a rate per annum equal to the cost (without proof or evidence of any actual cost) to the Non-defaulting Party (as certified by it) if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to fund the relevant amount.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“Non-defaulting Party” </w:t>
      </w:r>
      <w:r>
        <w:rPr>
          <w:rFonts w:ascii="Arial" w:cs="Arial" w:eastAsia="Arial" w:hAnsi="Arial"/>
          <w:sz w:val="18"/>
          <w:szCs w:val="18"/>
          <w:color w:val="auto"/>
        </w:rPr>
        <w:t>has the meaning specified in Section 6(a).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“Office” </w:t>
      </w:r>
      <w:r>
        <w:rPr>
          <w:rFonts w:ascii="Arial" w:cs="Arial" w:eastAsia="Arial" w:hAnsi="Arial"/>
          <w:sz w:val="18"/>
          <w:szCs w:val="18"/>
          <w:color w:val="auto"/>
        </w:rPr>
        <w:t>means a branch or office of a party, which may be such party’s head or home office.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“Potential Event of Default” </w:t>
      </w:r>
      <w:r>
        <w:rPr>
          <w:rFonts w:ascii="Arial" w:cs="Arial" w:eastAsia="Arial" w:hAnsi="Arial"/>
          <w:sz w:val="16"/>
          <w:szCs w:val="16"/>
          <w:color w:val="auto"/>
        </w:rPr>
        <w:t>means any event which, with the giving of notice or the lapse of time or both, would constitute an Event of Default.</w:t>
      </w:r>
    </w:p>
    <w:p>
      <w:pPr>
        <w:spacing w:after="0" w:line="19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b w:val="1"/>
          <w:bCs w:val="1"/>
          <w:i w:val="1"/>
          <w:iCs w:val="1"/>
          <w:color w:val="auto"/>
        </w:rPr>
        <w:t xml:space="preserve">“Reference Market-makers” </w:t>
      </w:r>
      <w:r>
        <w:rPr>
          <w:rFonts w:ascii="Arial" w:cs="Arial" w:eastAsia="Arial" w:hAnsi="Arial"/>
          <w:sz w:val="16"/>
          <w:szCs w:val="16"/>
          <w:color w:val="auto"/>
        </w:rPr>
        <w:t>means four leading dealers in the relevant market selected by the party determining a Market Quotation in good faith (a)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among dealers of the highest credit standing which satisfy all the criteria that such party applies generally at the time in deciding whether to offer or to make an extension of credit and (b) to the extent practicable, from among such dealers having an office in the same city.</w:t>
      </w:r>
    </w:p>
    <w:p>
      <w:pPr>
        <w:spacing w:after="0" w:line="10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b w:val="1"/>
          <w:bCs w:val="1"/>
          <w:i w:val="1"/>
          <w:iCs w:val="1"/>
          <w:color w:val="auto"/>
        </w:rPr>
        <w:t xml:space="preserve">“Relevant Jurisdiction” </w:t>
      </w:r>
      <w:r>
        <w:rPr>
          <w:rFonts w:ascii="Arial" w:cs="Arial" w:eastAsia="Arial" w:hAnsi="Arial"/>
          <w:sz w:val="18"/>
          <w:szCs w:val="18"/>
          <w:color w:val="auto"/>
        </w:rPr>
        <w:t>means, with respect to a party, the jurisdictions (a) in which the party is incorporated, organised, managed and controlled or considered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have its seat, (b) where an Office through which the party is acting for purposes of this Agreement is located, (c) in which the party executes this Agreement and (d) in relation to any payment, from or through which such payment is made.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“Scheduled Payment Date” </w:t>
      </w:r>
      <w:r>
        <w:rPr>
          <w:rFonts w:ascii="Arial" w:cs="Arial" w:eastAsia="Arial" w:hAnsi="Arial"/>
          <w:sz w:val="18"/>
          <w:szCs w:val="18"/>
          <w:color w:val="auto"/>
        </w:rPr>
        <w:t>means a date on which a payment or delivery is to be made under Section 2(a)(i) with respect to a Transaction.</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“Set-off” </w:t>
      </w:r>
      <w:r>
        <w:rPr>
          <w:rFonts w:ascii="Arial" w:cs="Arial" w:eastAsia="Arial" w:hAnsi="Arial"/>
          <w:sz w:val="18"/>
          <w:szCs w:val="18"/>
          <w:color w:val="auto"/>
        </w:rPr>
        <w:t>means set-off, offset, combination of accounts, right of retention or withholding or similar right or requirement to which the payer of an amount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6 is entitled or subject (whether arising under this Agreement, another contract, applicable law or otherwise) that is exercised by, or imposed on, such payer.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“Settlement Amount” </w:t>
      </w:r>
      <w:r>
        <w:rPr>
          <w:rFonts w:ascii="Arial" w:cs="Arial" w:eastAsia="Arial" w:hAnsi="Arial"/>
          <w:sz w:val="18"/>
          <w:szCs w:val="18"/>
          <w:color w:val="auto"/>
        </w:rPr>
        <w:t>means, with respect to a party and any Early Termination Date, the sum of:—</w:t>
      </w:r>
    </w:p>
    <w:p>
      <w:pPr>
        <w:spacing w:after="0" w:line="90" w:lineRule="exact"/>
        <w:rPr>
          <w:sz w:val="20"/>
          <w:szCs w:val="20"/>
          <w:color w:val="auto"/>
        </w:rPr>
      </w:pPr>
    </w:p>
    <w:p>
      <w:pPr>
        <w:ind w:right="580" w:firstLine="8"/>
        <w:spacing w:after="0" w:line="268" w:lineRule="auto"/>
        <w:tabs>
          <w:tab w:leader="none" w:pos="23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the Termination Currency Equivalent of the Market Quotations (whether positive or negative) for each Terminated Transaction or group of Terminated Transactions for which a Market Quotation is determined; and</w:t>
      </w:r>
    </w:p>
    <w:p>
      <w:pPr>
        <w:spacing w:after="0" w:line="131" w:lineRule="exact"/>
        <w:rPr>
          <w:rFonts w:ascii="Arial" w:cs="Arial" w:eastAsia="Arial" w:hAnsi="Arial"/>
          <w:sz w:val="18"/>
          <w:szCs w:val="18"/>
          <w:color w:val="auto"/>
        </w:rPr>
      </w:pPr>
    </w:p>
    <w:p>
      <w:pPr>
        <w:ind w:right="480" w:firstLine="8"/>
        <w:spacing w:after="0" w:line="259" w:lineRule="auto"/>
        <w:tabs>
          <w:tab w:leader="none" w:pos="249" w:val="left"/>
        </w:tabs>
        <w:numPr>
          <w:ilvl w:val="0"/>
          <w:numId w:val="144"/>
        </w:numPr>
        <w:rPr>
          <w:rFonts w:ascii="Arial" w:cs="Arial" w:eastAsia="Arial" w:hAnsi="Arial"/>
          <w:sz w:val="18"/>
          <w:szCs w:val="18"/>
          <w:color w:val="auto"/>
        </w:rPr>
      </w:pPr>
      <w:r>
        <w:rPr>
          <w:rFonts w:ascii="Arial" w:cs="Arial" w:eastAsia="Arial" w:hAnsi="Arial"/>
          <w:sz w:val="18"/>
          <w:szCs w:val="18"/>
          <w:color w:val="auto"/>
        </w:rPr>
        <w:t>such party’s Loss (whether positive or negative and without reference to any Unpaid Amounts) for each Terminated Transaction or group of Terminated Transactions for which a Market Quotation cannot be determined or would not (in the reasonable belief of the party making the determination) produce a commercially reasonable result.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“Specified Entity” </w:t>
      </w:r>
      <w:r>
        <w:rPr>
          <w:rFonts w:ascii="Arial" w:cs="Arial" w:eastAsia="Arial" w:hAnsi="Arial"/>
          <w:sz w:val="18"/>
          <w:szCs w:val="18"/>
          <w:color w:val="auto"/>
        </w:rPr>
        <w:t>has the meaning specified in the Schedule.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87" w:name="page88"/>
    <w:bookmarkEnd w:id="87"/>
    <w:p>
      <w:pPr>
        <w:ind w:right="10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“Specified Indebtedness” </w:t>
      </w:r>
      <w:r>
        <w:rPr>
          <w:rFonts w:ascii="Arial" w:cs="Arial" w:eastAsia="Arial" w:hAnsi="Arial"/>
          <w:sz w:val="18"/>
          <w:szCs w:val="18"/>
          <w:color w:val="auto"/>
        </w:rPr>
        <w:t>means, subject to the Schedule, any obligation (whether present or future, contingent or otherwise, as principal or surety or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respect of borrowed money.</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“Specified Transaction” </w:t>
      </w:r>
      <w:r>
        <w:rPr>
          <w:rFonts w:ascii="Arial" w:cs="Arial" w:eastAsia="Arial" w:hAnsi="Arial"/>
          <w:sz w:val="16"/>
          <w:szCs w:val="16"/>
          <w:color w:val="auto"/>
        </w:rPr>
        <w:t>means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Schedule, (a) any transaction (including an agreement with respect thereto) now existing or hereafter entered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between one party to this Agreement (or any Credit Support Provider of such party or any applicable Specified Entity of such party) and the other party to this Agreement (or any Credit Support Provider of such other party or any applicable Specified Entity of such other party) which is a rate swap transaction,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or any other similar transaction (including any option with respect to any of these transactions), (b) any combination of these transactions and (c) any other transaction identified as a Specified Transaction in this Agreement or the relevant confirmation.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“Stamp Tax” </w:t>
      </w:r>
      <w:r>
        <w:rPr>
          <w:rFonts w:ascii="Arial" w:cs="Arial" w:eastAsia="Arial" w:hAnsi="Arial"/>
          <w:sz w:val="18"/>
          <w:szCs w:val="18"/>
          <w:color w:val="auto"/>
        </w:rPr>
        <w:t>means any stamp, registration, documentation or similar tax.</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“Tax” </w:t>
      </w:r>
      <w:r>
        <w:rPr>
          <w:rFonts w:ascii="Arial" w:cs="Arial" w:eastAsia="Arial" w:hAnsi="Arial"/>
          <w:sz w:val="18"/>
          <w:szCs w:val="18"/>
          <w:color w:val="auto"/>
        </w:rPr>
        <w:t>means any present or future tax, levy, impost, duty, charge, assessment or fee of any nature (including interest, penalties and additions thereto)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imposed by any government or other taxing authority in respect of any payment under this Agreement other than a stamp, registration, documentation or similar tax.</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“Tax Event” </w:t>
      </w:r>
      <w:r>
        <w:rPr>
          <w:rFonts w:ascii="Arial" w:cs="Arial" w:eastAsia="Arial" w:hAnsi="Arial"/>
          <w:sz w:val="18"/>
          <w:szCs w:val="18"/>
          <w:color w:val="auto"/>
        </w:rPr>
        <w:t>has the meaning specified in Section 5(b).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“Tax Event Upon Merger” </w:t>
      </w:r>
      <w:r>
        <w:rPr>
          <w:rFonts w:ascii="Arial" w:cs="Arial" w:eastAsia="Arial" w:hAnsi="Arial"/>
          <w:sz w:val="18"/>
          <w:szCs w:val="18"/>
          <w:color w:val="auto"/>
        </w:rPr>
        <w:t>has the meaning specified in Section 5(b).</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“Terminated Transactions” </w:t>
      </w:r>
      <w:r>
        <w:rPr>
          <w:rFonts w:ascii="Arial" w:cs="Arial" w:eastAsia="Arial" w:hAnsi="Arial"/>
          <w:sz w:val="18"/>
          <w:szCs w:val="18"/>
          <w:color w:val="auto"/>
        </w:rPr>
        <w:t>means with respect to any Early Termination Date (a) if resulting from a Termination Event, all Affected Transactions and (b)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from an Event of Default, all Transactions (in either case) in effect immediately before the effectiveness of the notice designating that Early Termination Date (or, if “Automatic Early Termination” applies, immediately before that Early Termination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“Termination Currency” </w:t>
      </w:r>
      <w:r>
        <w:rPr>
          <w:rFonts w:ascii="Arial" w:cs="Arial" w:eastAsia="Arial" w:hAnsi="Arial"/>
          <w:sz w:val="18"/>
          <w:szCs w:val="18"/>
          <w:color w:val="auto"/>
        </w:rPr>
        <w:t>has the meaning specified in the Schedule.</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color w:val="auto"/>
        </w:rPr>
        <w:t xml:space="preserve">“Termination Currency Equivalent” </w:t>
      </w:r>
      <w:r>
        <w:rPr>
          <w:rFonts w:ascii="Arial" w:cs="Arial" w:eastAsia="Arial" w:hAnsi="Arial"/>
          <w:sz w:val="18"/>
          <w:szCs w:val="18"/>
          <w:color w:val="auto"/>
        </w:rPr>
        <w:t>means, in respect of any amount denominated in the Termination Currency, such Termination Currency amount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of any amount denominated in a currency other than the Termination Currency (the “Other Currency”), the amount in the Termination Currency determined by the party making the relevant determination as being required to purchase such amount of such Other Currency as at the relevant Early Termination Date, or, if the relevant Market Quotation or Loss (as the case may be), is determined as of a later date, that later date, with the Termination Currency at the rate equal to the spot exchange rate of the foreign exchange agent (selected as provided below) for the purchase of such Other Currency with the Termination Currency at or about 11:00 a.m. (in the city in which such foreign exchange agent is located) on such date as would be customary for the determination of such a rate for the purchase of such Other Currency for value on the relevant Early Termination Date or that later date. The foreign exchange agent will, if only one party is obliged to make a determination under Section 6(e), be selected in good faith by that party and otherwise will be agreed by the parties.</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“Termination Event” </w:t>
      </w:r>
      <w:r>
        <w:rPr>
          <w:rFonts w:ascii="Arial" w:cs="Arial" w:eastAsia="Arial" w:hAnsi="Arial"/>
          <w:sz w:val="18"/>
          <w:szCs w:val="18"/>
          <w:color w:val="auto"/>
        </w:rPr>
        <w:t>means an Illegality, a Tax Event or a Tax Event Upon Merger or, if specified to be applicable, a Credit Event Upon Merger or an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Event.</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 xml:space="preserve">“Termination Rate” </w:t>
      </w:r>
      <w:r>
        <w:rPr>
          <w:rFonts w:ascii="Arial" w:cs="Arial" w:eastAsia="Arial" w:hAnsi="Arial"/>
          <w:sz w:val="18"/>
          <w:szCs w:val="18"/>
          <w:color w:val="auto"/>
        </w:rPr>
        <w:t>means a rate per annum equal to the arithmetic mean of the cost (without proof or evidence of any actual cost) to each party (as certified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party) if it were to fund or of funding such amounts.</w:t>
      </w:r>
    </w:p>
    <w:p>
      <w:pPr>
        <w:spacing w:after="0" w:line="132"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b w:val="1"/>
          <w:bCs w:val="1"/>
          <w:i w:val="1"/>
          <w:iCs w:val="1"/>
          <w:color w:val="auto"/>
        </w:rPr>
        <w:t xml:space="preserve">“Unpaid Amounts” </w:t>
      </w:r>
      <w:r>
        <w:rPr>
          <w:rFonts w:ascii="Arial" w:cs="Arial" w:eastAsia="Arial" w:hAnsi="Arial"/>
          <w:sz w:val="16"/>
          <w:szCs w:val="16"/>
          <w:color w:val="auto"/>
        </w:rPr>
        <w:t>owing to any party means, with respect to an Early Termination Date, the aggregate of (a) in respect of all Terminated Transactions,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that became payable (or that would have become payable but for Section 2(a)(iii)) to such party under Section 2(a)(i) on or prior to such Early Termination Date and which remain unpaid as at such Early Termination Date and (b) in respect of each Terminated Transaction, for each obligation under Section 2(a)(i) which was (or would have been but for Section 2(a) (iii)) required to be settled by delivery to such party on or prior to such Early Termination Date and which has not been so settled as at such Early Termination Date, an amount equal to the fair market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88" w:name="page89"/>
    <w:bookmarkEnd w:id="88"/>
    <w:p>
      <w:pPr>
        <w:ind w:right="10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value of that which was (or would have been) required to be delivered as of the originally scheduled date for delivery, in each case together with (to the extent permitted under applicable law) interest, in the currency of such amounts, from (and including) the date such amounts or obligations were or would have been required to have been paid or performed to (but excluding) such Early Termination Date, at the Applicable Rate. Such amounts of interest will be calculated on the basis of daily compounding and the actual number of days elapsed. The fair market value of any obligation referred to in clause (b) above shall be reasonably determined by the party obliged to make the determination under Section 6(e) or, if each party is so obliged, it shall be the average of the Termination Currency Equivalents of the fair market values reasonably determined by both parties.</w:t>
      </w:r>
    </w:p>
    <w:p>
      <w:pPr>
        <w:spacing w:after="0" w:line="120"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WITNESS WHEREOF the parties have executed this document on the respective dates specified below with effect from the date specified on the first page of this document.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80" w:type="dxa"/>
            <w:vAlign w:val="bottom"/>
          </w:tcPr>
          <w:p>
            <w:pPr>
              <w:spacing w:after="0"/>
              <w:rPr>
                <w:sz w:val="19"/>
                <w:szCs w:val="19"/>
                <w:color w:val="auto"/>
              </w:rPr>
            </w:pPr>
          </w:p>
        </w:tc>
        <w:tc>
          <w:tcPr>
            <w:tcW w:w="4460" w:type="dxa"/>
            <w:vAlign w:val="bottom"/>
          </w:tcPr>
          <w:p>
            <w:pPr>
              <w:ind w:left="620"/>
              <w:spacing w:after="0"/>
              <w:rPr>
                <w:sz w:val="20"/>
                <w:szCs w:val="20"/>
                <w:color w:val="auto"/>
              </w:rPr>
            </w:pPr>
            <w:r>
              <w:rPr>
                <w:rFonts w:ascii="Arial" w:cs="Arial" w:eastAsia="Arial" w:hAnsi="Arial"/>
                <w:sz w:val="18"/>
                <w:szCs w:val="18"/>
                <w:b w:val="1"/>
                <w:bCs w:val="1"/>
                <w:color w:val="auto"/>
              </w:rPr>
              <w:t>JPMORGAN CHASE BANK, N.A.</w:t>
            </w:r>
          </w:p>
        </w:tc>
        <w:tc>
          <w:tcPr>
            <w:tcW w:w="1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580" w:type="dxa"/>
            <w:vAlign w:val="bottom"/>
          </w:tcPr>
          <w:p>
            <w:pPr>
              <w:ind w:left="760"/>
              <w:spacing w:after="0"/>
              <w:rPr>
                <w:sz w:val="20"/>
                <w:szCs w:val="20"/>
                <w:color w:val="auto"/>
              </w:rPr>
            </w:pPr>
            <w:r>
              <w:rPr>
                <w:rFonts w:ascii="Arial" w:cs="Arial" w:eastAsia="Arial" w:hAnsi="Arial"/>
                <w:sz w:val="18"/>
                <w:szCs w:val="18"/>
                <w:b w:val="1"/>
                <w:bCs w:val="1"/>
                <w:color w:val="auto"/>
              </w:rPr>
              <w:t>NATIONAL CINEMEDIA, LLC</w:t>
            </w:r>
          </w:p>
        </w:tc>
      </w:tr>
      <w:tr>
        <w:trPr>
          <w:trHeight w:val="222"/>
        </w:trPr>
        <w:tc>
          <w:tcPr>
            <w:tcW w:w="580" w:type="dxa"/>
            <w:vAlign w:val="bottom"/>
          </w:tcPr>
          <w:p>
            <w:pPr>
              <w:spacing w:after="0"/>
              <w:rPr>
                <w:sz w:val="19"/>
                <w:szCs w:val="19"/>
                <w:color w:val="auto"/>
              </w:rPr>
            </w:pPr>
          </w:p>
        </w:tc>
        <w:tc>
          <w:tcPr>
            <w:tcW w:w="4460" w:type="dxa"/>
            <w:vAlign w:val="bottom"/>
          </w:tcPr>
          <w:p>
            <w:pPr>
              <w:ind w:left="1660"/>
              <w:spacing w:after="0"/>
              <w:rPr>
                <w:sz w:val="20"/>
                <w:szCs w:val="20"/>
                <w:color w:val="auto"/>
              </w:rPr>
            </w:pPr>
            <w:r>
              <w:rPr>
                <w:rFonts w:ascii="Arial" w:cs="Arial" w:eastAsia="Arial" w:hAnsi="Arial"/>
                <w:sz w:val="18"/>
                <w:szCs w:val="18"/>
                <w:i w:val="1"/>
                <w:iCs w:val="1"/>
                <w:color w:val="auto"/>
              </w:rPr>
              <w:t>(Name of Party)</w:t>
            </w:r>
          </w:p>
        </w:tc>
        <w:tc>
          <w:tcPr>
            <w:tcW w:w="1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580" w:type="dxa"/>
            <w:vAlign w:val="bottom"/>
          </w:tcPr>
          <w:p>
            <w:pPr>
              <w:ind w:left="1720"/>
              <w:spacing w:after="0"/>
              <w:rPr>
                <w:sz w:val="20"/>
                <w:szCs w:val="20"/>
                <w:color w:val="auto"/>
              </w:rPr>
            </w:pPr>
            <w:r>
              <w:rPr>
                <w:rFonts w:ascii="Arial" w:cs="Arial" w:eastAsia="Arial" w:hAnsi="Arial"/>
                <w:sz w:val="18"/>
                <w:szCs w:val="18"/>
                <w:i w:val="1"/>
                <w:iCs w:val="1"/>
                <w:color w:val="auto"/>
              </w:rPr>
              <w:t>(Name of Party)</w:t>
            </w:r>
          </w:p>
        </w:tc>
      </w:tr>
      <w:tr>
        <w:trPr>
          <w:trHeight w:val="43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Melissa McMahon</w:t>
            </w:r>
          </w:p>
        </w:tc>
        <w:tc>
          <w:tcPr>
            <w:tcW w:w="1740" w:type="dxa"/>
            <w:vAlign w:val="bottom"/>
          </w:tcPr>
          <w:p>
            <w:pPr>
              <w:ind w:left="122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W. Ferrera</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Pr>
          <w:p>
            <w:pPr>
              <w:spacing w:after="0"/>
              <w:rPr>
                <w:sz w:val="20"/>
                <w:szCs w:val="20"/>
                <w:color w:val="auto"/>
              </w:rPr>
            </w:pPr>
            <w:r>
              <w:rPr>
                <w:rFonts w:ascii="Arial" w:cs="Arial" w:eastAsia="Arial" w:hAnsi="Arial"/>
                <w:sz w:val="18"/>
                <w:szCs w:val="18"/>
                <w:color w:val="auto"/>
              </w:rPr>
              <w:t>Melissa McMahon</w:t>
            </w:r>
          </w:p>
        </w:tc>
        <w:tc>
          <w:tcPr>
            <w:tcW w:w="1740" w:type="dxa"/>
            <w:vAlign w:val="bottom"/>
          </w:tcPr>
          <w:p>
            <w:pPr>
              <w:ind w:left="1220"/>
              <w:spacing w:after="0"/>
              <w:rPr>
                <w:sz w:val="20"/>
                <w:szCs w:val="20"/>
                <w:color w:val="auto"/>
              </w:rPr>
            </w:pPr>
            <w:r>
              <w:rPr>
                <w:rFonts w:ascii="Arial" w:cs="Arial" w:eastAsia="Arial" w:hAnsi="Arial"/>
                <w:sz w:val="18"/>
                <w:szCs w:val="18"/>
                <w:color w:val="auto"/>
                <w:w w:val="94"/>
              </w:rPr>
              <w:t>Name:</w:t>
            </w:r>
          </w:p>
        </w:tc>
        <w:tc>
          <w:tcPr>
            <w:tcW w:w="4640" w:type="dxa"/>
            <w:vAlign w:val="bottom"/>
            <w:gridSpan w:val="2"/>
          </w:tcPr>
          <w:p>
            <w:pPr>
              <w:ind w:left="60"/>
              <w:spacing w:after="0"/>
              <w:rPr>
                <w:sz w:val="20"/>
                <w:szCs w:val="20"/>
                <w:color w:val="auto"/>
              </w:rPr>
            </w:pPr>
            <w:r>
              <w:rPr>
                <w:rFonts w:ascii="Arial" w:cs="Arial" w:eastAsia="Arial" w:hAnsi="Arial"/>
                <w:sz w:val="18"/>
                <w:szCs w:val="18"/>
                <w:color w:val="auto"/>
              </w:rPr>
              <w:t>Gary W. Ferrera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spacing w:after="0"/>
              <w:rPr>
                <w:sz w:val="20"/>
                <w:szCs w:val="20"/>
                <w:color w:val="auto"/>
              </w:rPr>
            </w:pPr>
            <w:r>
              <w:rPr>
                <w:rFonts w:ascii="Arial" w:cs="Arial" w:eastAsia="Arial" w:hAnsi="Arial"/>
                <w:sz w:val="18"/>
                <w:szCs w:val="18"/>
                <w:color w:val="auto"/>
              </w:rPr>
              <w:t>Managing Director and Associate General Counsel</w:t>
            </w:r>
          </w:p>
        </w:tc>
        <w:tc>
          <w:tcPr>
            <w:tcW w:w="1740" w:type="dxa"/>
            <w:vAlign w:val="bottom"/>
          </w:tcPr>
          <w:p>
            <w:pPr>
              <w:ind w:left="1220"/>
              <w:spacing w:after="0"/>
              <w:rPr>
                <w:sz w:val="20"/>
                <w:szCs w:val="20"/>
                <w:color w:val="auto"/>
              </w:rPr>
            </w:pPr>
            <w:r>
              <w:rPr>
                <w:rFonts w:ascii="Arial" w:cs="Arial" w:eastAsia="Arial" w:hAnsi="Arial"/>
                <w:sz w:val="18"/>
                <w:szCs w:val="18"/>
                <w:color w:val="auto"/>
              </w:rPr>
              <w:t>Title:</w:t>
            </w:r>
          </w:p>
        </w:tc>
        <w:tc>
          <w:tcPr>
            <w:tcW w:w="4640" w:type="dxa"/>
            <w:vAlign w:val="bottom"/>
            <w:gridSpan w:val="2"/>
          </w:tcPr>
          <w:p>
            <w:pPr>
              <w:ind w:left="60"/>
              <w:spacing w:after="0"/>
              <w:rPr>
                <w:sz w:val="20"/>
                <w:szCs w:val="20"/>
                <w:color w:val="auto"/>
              </w:rPr>
            </w:pPr>
            <w:r>
              <w:rPr>
                <w:rFonts w:ascii="Arial" w:cs="Arial" w:eastAsia="Arial" w:hAnsi="Arial"/>
                <w:sz w:val="18"/>
                <w:szCs w:val="18"/>
                <w:color w:val="auto"/>
              </w:rPr>
              <w:t>CFO/EVP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460" w:type="dxa"/>
            <w:vAlign w:val="bottom"/>
          </w:tcPr>
          <w:p>
            <w:pPr>
              <w:spacing w:after="0"/>
              <w:rPr>
                <w:sz w:val="20"/>
                <w:szCs w:val="20"/>
                <w:color w:val="auto"/>
              </w:rPr>
            </w:pPr>
            <w:r>
              <w:rPr>
                <w:rFonts w:ascii="Arial" w:cs="Arial" w:eastAsia="Arial" w:hAnsi="Arial"/>
                <w:sz w:val="18"/>
                <w:szCs w:val="18"/>
                <w:color w:val="auto"/>
              </w:rPr>
              <w:t>August 6, 2007</w:t>
            </w:r>
          </w:p>
        </w:tc>
        <w:tc>
          <w:tcPr>
            <w:tcW w:w="1740" w:type="dxa"/>
            <w:vAlign w:val="bottom"/>
          </w:tcPr>
          <w:p>
            <w:pPr>
              <w:ind w:left="1220"/>
              <w:spacing w:after="0"/>
              <w:rPr>
                <w:sz w:val="20"/>
                <w:szCs w:val="20"/>
                <w:color w:val="auto"/>
              </w:rPr>
            </w:pPr>
            <w:r>
              <w:rPr>
                <w:rFonts w:ascii="Arial" w:cs="Arial" w:eastAsia="Arial" w:hAnsi="Arial"/>
                <w:sz w:val="18"/>
                <w:szCs w:val="18"/>
                <w:color w:val="auto"/>
              </w:rPr>
              <w:t>Date:</w:t>
            </w:r>
          </w:p>
        </w:tc>
        <w:tc>
          <w:tcPr>
            <w:tcW w:w="4640" w:type="dxa"/>
            <w:vAlign w:val="bottom"/>
            <w:gridSpan w:val="2"/>
          </w:tcPr>
          <w:p>
            <w:pPr>
              <w:ind w:left="60"/>
              <w:spacing w:after="0"/>
              <w:rPr>
                <w:sz w:val="20"/>
                <w:szCs w:val="20"/>
                <w:color w:val="auto"/>
              </w:rPr>
            </w:pPr>
            <w:r>
              <w:rPr>
                <w:rFonts w:ascii="Arial" w:cs="Arial" w:eastAsia="Arial" w:hAnsi="Arial"/>
                <w:sz w:val="18"/>
                <w:szCs w:val="18"/>
                <w:color w:val="auto"/>
              </w:rPr>
              <w:t>August 10, 2007</w:t>
            </w:r>
          </w:p>
        </w:tc>
      </w:tr>
      <w:tr>
        <w:trPr>
          <w:trHeight w:val="365"/>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40" w:type="dxa"/>
            <w:vAlign w:val="bottom"/>
          </w:tcPr>
          <w:p>
            <w:pPr>
              <w:ind w:left="58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4"/>
                <w:szCs w:val="24"/>
                <w:color w:val="auto"/>
              </w:rPr>
            </w:pPr>
          </w:p>
        </w:tc>
        <w:tc>
          <w:tcPr>
            <w:tcW w:w="45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1992 ISDA MASTER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August 6,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JPMORGAN CHASE BANK, N.A.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national banking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920" w:type="dxa"/>
            <w:vAlign w:val="bottom"/>
          </w:tcPr>
          <w:p>
            <w:pPr>
              <w:jc w:val="center"/>
              <w:ind w:left="532"/>
              <w:spacing w:after="0"/>
              <w:rPr>
                <w:sz w:val="20"/>
                <w:szCs w:val="20"/>
                <w:color w:val="auto"/>
              </w:rPr>
            </w:pPr>
            <w:r>
              <w:rPr>
                <w:rFonts w:ascii="Arial" w:cs="Arial" w:eastAsia="Arial" w:hAnsi="Arial"/>
                <w:sz w:val="18"/>
                <w:szCs w:val="18"/>
                <w:color w:val="auto"/>
                <w:w w:val="86"/>
              </w:rPr>
              <w:t>and</w:t>
            </w:r>
          </w:p>
        </w:tc>
        <w:tc>
          <w:tcPr>
            <w:tcW w:w="3060" w:type="dxa"/>
            <w:vAlign w:val="bottom"/>
          </w:tcPr>
          <w:p>
            <w:pPr>
              <w:spacing w:after="0"/>
              <w:rPr>
                <w:sz w:val="19"/>
                <w:szCs w:val="19"/>
                <w:color w:val="auto"/>
              </w:rPr>
            </w:pPr>
          </w:p>
        </w:tc>
      </w:tr>
      <w:tr>
        <w:trPr>
          <w:trHeight w:val="366"/>
        </w:trPr>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920" w:type="dxa"/>
            <w:vAlign w:val="bottom"/>
          </w:tcPr>
          <w:p>
            <w:pPr>
              <w:jc w:val="center"/>
              <w:ind w:left="532"/>
              <w:spacing w:after="0"/>
              <w:rPr>
                <w:sz w:val="20"/>
                <w:szCs w:val="20"/>
                <w:color w:val="auto"/>
              </w:rPr>
            </w:pPr>
            <w:r>
              <w:rPr>
                <w:rFonts w:ascii="Arial" w:cs="Arial" w:eastAsia="Arial" w:hAnsi="Arial"/>
                <w:sz w:val="18"/>
                <w:szCs w:val="18"/>
                <w:b w:val="1"/>
                <w:bCs w:val="1"/>
                <w:color w:val="auto"/>
              </w:rPr>
              <w:t>NATIONAL CINEMEDIA, LLC</w:t>
            </w:r>
          </w:p>
        </w:tc>
        <w:tc>
          <w:tcPr>
            <w:tcW w:w="3060" w:type="dxa"/>
            <w:vAlign w:val="bottom"/>
          </w:tcPr>
          <w:p>
            <w:pPr>
              <w:spacing w:after="0"/>
              <w:rPr>
                <w:sz w:val="24"/>
                <w:szCs w:val="24"/>
                <w:color w:val="auto"/>
              </w:rPr>
            </w:pPr>
          </w:p>
        </w:tc>
      </w:tr>
      <w:tr>
        <w:trPr>
          <w:trHeight w:val="222"/>
        </w:trPr>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920" w:type="dxa"/>
            <w:vAlign w:val="bottom"/>
          </w:tcPr>
          <w:p>
            <w:pPr>
              <w:jc w:val="center"/>
              <w:ind w:left="552"/>
              <w:spacing w:after="0"/>
              <w:rPr>
                <w:sz w:val="20"/>
                <w:szCs w:val="20"/>
                <w:color w:val="auto"/>
              </w:rPr>
            </w:pPr>
            <w:r>
              <w:rPr>
                <w:rFonts w:ascii="Arial" w:cs="Arial" w:eastAsia="Arial" w:hAnsi="Arial"/>
                <w:sz w:val="18"/>
                <w:szCs w:val="18"/>
                <w:b w:val="1"/>
                <w:bCs w:val="1"/>
                <w:color w:val="auto"/>
                <w:w w:val="89"/>
              </w:rPr>
              <w:t>a Delaware limited liability company</w:t>
            </w:r>
          </w:p>
        </w:tc>
        <w:tc>
          <w:tcPr>
            <w:tcW w:w="3060" w:type="dxa"/>
            <w:vAlign w:val="bottom"/>
          </w:tcPr>
          <w:p>
            <w:pPr>
              <w:spacing w:after="0"/>
              <w:rPr>
                <w:sz w:val="19"/>
                <w:szCs w:val="19"/>
                <w:color w:val="auto"/>
              </w:rPr>
            </w:pPr>
          </w:p>
        </w:tc>
      </w:tr>
      <w:tr>
        <w:trPr>
          <w:trHeight w:val="222"/>
        </w:trPr>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5920" w:type="dxa"/>
            <w:vAlign w:val="bottom"/>
          </w:tcPr>
          <w:p>
            <w:pPr>
              <w:jc w:val="center"/>
              <w:ind w:left="552"/>
              <w:spacing w:after="0"/>
              <w:rPr>
                <w:sz w:val="20"/>
                <w:szCs w:val="20"/>
                <w:color w:val="auto"/>
              </w:rPr>
            </w:pPr>
            <w:r>
              <w:rPr>
                <w:rFonts w:ascii="Arial" w:cs="Arial" w:eastAsia="Arial" w:hAnsi="Arial"/>
                <w:sz w:val="18"/>
                <w:szCs w:val="18"/>
                <w:color w:val="auto"/>
                <w:w w:val="96"/>
              </w:rPr>
              <w:t>(“Party B”)</w:t>
            </w:r>
          </w:p>
        </w:tc>
        <w:tc>
          <w:tcPr>
            <w:tcW w:w="3060" w:type="dxa"/>
            <w:vAlign w:val="bottom"/>
          </w:tcPr>
          <w:p>
            <w:pPr>
              <w:spacing w:after="0"/>
              <w:rPr>
                <w:sz w:val="19"/>
                <w:szCs w:val="19"/>
                <w:color w:val="auto"/>
              </w:rPr>
            </w:pPr>
          </w:p>
        </w:tc>
      </w:tr>
      <w:tr>
        <w:trPr>
          <w:trHeight w:val="340"/>
        </w:trPr>
        <w:tc>
          <w:tcPr>
            <w:tcW w:w="8360" w:type="dxa"/>
            <w:vAlign w:val="bottom"/>
            <w:gridSpan w:val="4"/>
          </w:tcPr>
          <w:p>
            <w:pPr>
              <w:spacing w:after="0"/>
              <w:rPr>
                <w:sz w:val="20"/>
                <w:szCs w:val="20"/>
                <w:color w:val="auto"/>
              </w:rPr>
            </w:pPr>
            <w:r>
              <w:rPr>
                <w:rFonts w:ascii="Arial" w:cs="Arial" w:eastAsia="Arial" w:hAnsi="Arial"/>
                <w:sz w:val="18"/>
                <w:szCs w:val="18"/>
                <w:b w:val="1"/>
                <w:bCs w:val="1"/>
                <w:color w:val="auto"/>
              </w:rPr>
              <w:t>Part 1.  Termination Provisions.</w:t>
            </w:r>
          </w:p>
        </w:tc>
        <w:tc>
          <w:tcPr>
            <w:tcW w:w="3060" w:type="dxa"/>
            <w:vAlign w:val="bottom"/>
          </w:tcPr>
          <w:p>
            <w:pPr>
              <w:spacing w:after="0"/>
              <w:rPr>
                <w:sz w:val="24"/>
                <w:szCs w:val="24"/>
                <w:color w:val="auto"/>
              </w:rPr>
            </w:pPr>
          </w:p>
        </w:tc>
      </w:tr>
      <w:tr>
        <w:trPr>
          <w:trHeight w:val="20"/>
        </w:trPr>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40" w:type="dxa"/>
            <w:vAlign w:val="bottom"/>
            <w:shd w:val="clear" w:color="auto" w:fill="000000"/>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437"/>
        </w:trPr>
        <w:tc>
          <w:tcPr>
            <w:tcW w:w="280" w:type="dxa"/>
            <w:vAlign w:val="bottom"/>
          </w:tcPr>
          <w:p>
            <w:pPr>
              <w:spacing w:after="0"/>
              <w:rPr>
                <w:sz w:val="20"/>
                <w:szCs w:val="20"/>
                <w:color w:val="auto"/>
              </w:rPr>
            </w:pPr>
            <w:r>
              <w:rPr>
                <w:rFonts w:ascii="Arial" w:cs="Arial" w:eastAsia="Arial" w:hAnsi="Arial"/>
                <w:sz w:val="18"/>
                <w:szCs w:val="18"/>
                <w:color w:val="auto"/>
              </w:rPr>
              <w:t>(a)</w:t>
            </w:r>
          </w:p>
        </w:tc>
        <w:tc>
          <w:tcPr>
            <w:tcW w:w="8080" w:type="dxa"/>
            <w:vAlign w:val="bottom"/>
            <w:gridSpan w:val="3"/>
          </w:tcPr>
          <w:p>
            <w:pPr>
              <w:ind w:left="60"/>
              <w:spacing w:after="0"/>
              <w:rPr>
                <w:sz w:val="20"/>
                <w:szCs w:val="20"/>
                <w:color w:val="auto"/>
              </w:rPr>
            </w:pPr>
            <w:r>
              <w:rPr>
                <w:rFonts w:ascii="Arial" w:cs="Arial" w:eastAsia="Arial" w:hAnsi="Arial"/>
                <w:sz w:val="18"/>
                <w:szCs w:val="18"/>
                <w:b w:val="1"/>
                <w:bCs w:val="1"/>
                <w:color w:val="auto"/>
              </w:rPr>
              <w:t xml:space="preserve">“Specified Entity” </w:t>
            </w:r>
            <w:r>
              <w:rPr>
                <w:rFonts w:ascii="Arial" w:cs="Arial" w:eastAsia="Arial" w:hAnsi="Arial"/>
                <w:sz w:val="18"/>
                <w:szCs w:val="18"/>
                <w:color w:val="auto"/>
              </w:rPr>
              <w:t>means in relation to Party A for the purpose of:</w:t>
            </w:r>
          </w:p>
        </w:tc>
        <w:tc>
          <w:tcPr>
            <w:tcW w:w="3060" w:type="dxa"/>
            <w:vAlign w:val="bottom"/>
          </w:tcPr>
          <w:p>
            <w:pPr>
              <w:spacing w:after="0"/>
              <w:rPr>
                <w:sz w:val="24"/>
                <w:szCs w:val="24"/>
                <w:color w:val="auto"/>
              </w:rPr>
            </w:pPr>
          </w:p>
        </w:tc>
      </w:tr>
      <w:tr>
        <w:trPr>
          <w:trHeight w:val="324"/>
        </w:trPr>
        <w:tc>
          <w:tcPr>
            <w:tcW w:w="280" w:type="dxa"/>
            <w:vAlign w:val="bottom"/>
          </w:tcPr>
          <w:p>
            <w:pPr>
              <w:spacing w:after="0"/>
              <w:rPr>
                <w:sz w:val="24"/>
                <w:szCs w:val="24"/>
                <w:color w:val="auto"/>
              </w:rPr>
            </w:pPr>
          </w:p>
        </w:tc>
        <w:tc>
          <w:tcPr>
            <w:tcW w:w="8080" w:type="dxa"/>
            <w:vAlign w:val="bottom"/>
            <w:gridSpan w:val="3"/>
          </w:tcPr>
          <w:p>
            <w:pPr>
              <w:ind w:left="60"/>
              <w:spacing w:after="0"/>
              <w:rPr>
                <w:sz w:val="20"/>
                <w:szCs w:val="20"/>
                <w:color w:val="auto"/>
              </w:rPr>
            </w:pPr>
            <w:r>
              <w:rPr>
                <w:rFonts w:ascii="Arial" w:cs="Arial" w:eastAsia="Arial" w:hAnsi="Arial"/>
                <w:sz w:val="18"/>
                <w:szCs w:val="18"/>
                <w:color w:val="auto"/>
              </w:rPr>
              <w:t>Section 5(a)(v) (Default Under Specified Transaction)</w:t>
            </w:r>
          </w:p>
        </w:tc>
        <w:tc>
          <w:tcPr>
            <w:tcW w:w="3060" w:type="dxa"/>
            <w:vAlign w:val="bottom"/>
          </w:tcPr>
          <w:p>
            <w:pPr>
              <w:jc w:val="right"/>
              <w:spacing w:after="0"/>
              <w:rPr>
                <w:sz w:val="20"/>
                <w:szCs w:val="20"/>
                <w:color w:val="auto"/>
              </w:rPr>
            </w:pPr>
            <w:r>
              <w:rPr>
                <w:rFonts w:ascii="Arial" w:cs="Arial" w:eastAsia="Arial" w:hAnsi="Arial"/>
                <w:sz w:val="18"/>
                <w:szCs w:val="18"/>
                <w:color w:val="auto"/>
              </w:rPr>
              <w:t>Affiliates</w:t>
            </w:r>
          </w:p>
        </w:tc>
      </w:tr>
      <w:tr>
        <w:trPr>
          <w:trHeight w:val="324"/>
        </w:trPr>
        <w:tc>
          <w:tcPr>
            <w:tcW w:w="280" w:type="dxa"/>
            <w:vAlign w:val="bottom"/>
          </w:tcPr>
          <w:p>
            <w:pPr>
              <w:spacing w:after="0"/>
              <w:rPr>
                <w:sz w:val="24"/>
                <w:szCs w:val="24"/>
                <w:color w:val="auto"/>
              </w:rPr>
            </w:pPr>
          </w:p>
        </w:tc>
        <w:tc>
          <w:tcPr>
            <w:tcW w:w="8080" w:type="dxa"/>
            <w:vAlign w:val="bottom"/>
            <w:gridSpan w:val="3"/>
          </w:tcPr>
          <w:p>
            <w:pPr>
              <w:ind w:left="60"/>
              <w:spacing w:after="0"/>
              <w:rPr>
                <w:sz w:val="20"/>
                <w:szCs w:val="20"/>
                <w:color w:val="auto"/>
              </w:rPr>
            </w:pPr>
            <w:r>
              <w:rPr>
                <w:rFonts w:ascii="Arial" w:cs="Arial" w:eastAsia="Arial" w:hAnsi="Arial"/>
                <w:sz w:val="18"/>
                <w:szCs w:val="18"/>
                <w:color w:val="auto"/>
              </w:rPr>
              <w:t>Section 5(a)(vi) (Cross Default)</w:t>
            </w:r>
          </w:p>
        </w:tc>
        <w:tc>
          <w:tcPr>
            <w:tcW w:w="306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24"/>
        </w:trPr>
        <w:tc>
          <w:tcPr>
            <w:tcW w:w="280" w:type="dxa"/>
            <w:vAlign w:val="bottom"/>
          </w:tcPr>
          <w:p>
            <w:pPr>
              <w:spacing w:after="0"/>
              <w:rPr>
                <w:sz w:val="24"/>
                <w:szCs w:val="24"/>
                <w:color w:val="auto"/>
              </w:rPr>
            </w:pPr>
          </w:p>
        </w:tc>
        <w:tc>
          <w:tcPr>
            <w:tcW w:w="8080" w:type="dxa"/>
            <w:vAlign w:val="bottom"/>
            <w:gridSpan w:val="3"/>
          </w:tcPr>
          <w:p>
            <w:pPr>
              <w:ind w:left="60"/>
              <w:spacing w:after="0"/>
              <w:rPr>
                <w:sz w:val="20"/>
                <w:szCs w:val="20"/>
                <w:color w:val="auto"/>
              </w:rPr>
            </w:pPr>
            <w:r>
              <w:rPr>
                <w:rFonts w:ascii="Arial" w:cs="Arial" w:eastAsia="Arial" w:hAnsi="Arial"/>
                <w:sz w:val="18"/>
                <w:szCs w:val="18"/>
                <w:color w:val="auto"/>
              </w:rPr>
              <w:t>Section 5(a)(vii) (Bankruptcy)</w:t>
            </w:r>
          </w:p>
        </w:tc>
        <w:tc>
          <w:tcPr>
            <w:tcW w:w="306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24"/>
        </w:trPr>
        <w:tc>
          <w:tcPr>
            <w:tcW w:w="280" w:type="dxa"/>
            <w:vAlign w:val="bottom"/>
          </w:tcPr>
          <w:p>
            <w:pPr>
              <w:spacing w:after="0"/>
              <w:rPr>
                <w:sz w:val="24"/>
                <w:szCs w:val="24"/>
                <w:color w:val="auto"/>
              </w:rPr>
            </w:pPr>
          </w:p>
        </w:tc>
        <w:tc>
          <w:tcPr>
            <w:tcW w:w="8080" w:type="dxa"/>
            <w:vAlign w:val="bottom"/>
            <w:gridSpan w:val="3"/>
          </w:tcPr>
          <w:p>
            <w:pPr>
              <w:ind w:left="60"/>
              <w:spacing w:after="0"/>
              <w:rPr>
                <w:sz w:val="20"/>
                <w:szCs w:val="20"/>
                <w:color w:val="auto"/>
              </w:rPr>
            </w:pPr>
            <w:r>
              <w:rPr>
                <w:rFonts w:ascii="Arial" w:cs="Arial" w:eastAsia="Arial" w:hAnsi="Arial"/>
                <w:sz w:val="18"/>
                <w:szCs w:val="18"/>
                <w:color w:val="auto"/>
              </w:rPr>
              <w:t>Section 5(b)(v) (Credit Event Upon Merger)</w:t>
            </w:r>
          </w:p>
        </w:tc>
        <w:tc>
          <w:tcPr>
            <w:tcW w:w="306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24"/>
        </w:trPr>
        <w:tc>
          <w:tcPr>
            <w:tcW w:w="280" w:type="dxa"/>
            <w:vAlign w:val="bottom"/>
          </w:tcPr>
          <w:p>
            <w:pPr>
              <w:spacing w:after="0"/>
              <w:rPr>
                <w:sz w:val="24"/>
                <w:szCs w:val="24"/>
                <w:color w:val="auto"/>
              </w:rPr>
            </w:pPr>
          </w:p>
        </w:tc>
        <w:tc>
          <w:tcPr>
            <w:tcW w:w="8080" w:type="dxa"/>
            <w:vAlign w:val="bottom"/>
            <w:gridSpan w:val="3"/>
          </w:tcPr>
          <w:p>
            <w:pPr>
              <w:ind w:left="60"/>
              <w:spacing w:after="0"/>
              <w:rPr>
                <w:sz w:val="20"/>
                <w:szCs w:val="20"/>
                <w:color w:val="auto"/>
              </w:rPr>
            </w:pPr>
            <w:r>
              <w:rPr>
                <w:rFonts w:ascii="Arial" w:cs="Arial" w:eastAsia="Arial" w:hAnsi="Arial"/>
                <w:sz w:val="18"/>
                <w:szCs w:val="18"/>
                <w:color w:val="auto"/>
              </w:rPr>
              <w:t>and in relation to Party B for the purpose of:</w:t>
            </w:r>
          </w:p>
        </w:tc>
        <w:tc>
          <w:tcPr>
            <w:tcW w:w="3060" w:type="dxa"/>
            <w:vAlign w:val="bottom"/>
          </w:tcPr>
          <w:p>
            <w:pPr>
              <w:spacing w:after="0"/>
              <w:rPr>
                <w:sz w:val="24"/>
                <w:szCs w:val="24"/>
                <w:color w:val="auto"/>
              </w:rPr>
            </w:pPr>
          </w:p>
        </w:tc>
      </w:tr>
      <w:tr>
        <w:trPr>
          <w:trHeight w:val="324"/>
        </w:trPr>
        <w:tc>
          <w:tcPr>
            <w:tcW w:w="280" w:type="dxa"/>
            <w:vAlign w:val="bottom"/>
          </w:tcPr>
          <w:p>
            <w:pPr>
              <w:spacing w:after="0"/>
              <w:rPr>
                <w:sz w:val="24"/>
                <w:szCs w:val="24"/>
                <w:color w:val="auto"/>
              </w:rPr>
            </w:pPr>
          </w:p>
        </w:tc>
        <w:tc>
          <w:tcPr>
            <w:tcW w:w="8080" w:type="dxa"/>
            <w:vAlign w:val="bottom"/>
            <w:gridSpan w:val="3"/>
          </w:tcPr>
          <w:p>
            <w:pPr>
              <w:ind w:left="60"/>
              <w:spacing w:after="0"/>
              <w:rPr>
                <w:sz w:val="20"/>
                <w:szCs w:val="20"/>
                <w:color w:val="auto"/>
              </w:rPr>
            </w:pPr>
            <w:r>
              <w:rPr>
                <w:rFonts w:ascii="Arial" w:cs="Arial" w:eastAsia="Arial" w:hAnsi="Arial"/>
                <w:sz w:val="18"/>
                <w:szCs w:val="18"/>
                <w:color w:val="auto"/>
              </w:rPr>
              <w:t>Section 5(a)(v) (Default Under Specified Transaction)</w:t>
            </w:r>
          </w:p>
        </w:tc>
        <w:tc>
          <w:tcPr>
            <w:tcW w:w="3060" w:type="dxa"/>
            <w:vAlign w:val="bottom"/>
          </w:tcPr>
          <w:p>
            <w:pPr>
              <w:jc w:val="right"/>
              <w:spacing w:after="0"/>
              <w:rPr>
                <w:sz w:val="20"/>
                <w:szCs w:val="20"/>
                <w:color w:val="auto"/>
              </w:rPr>
            </w:pPr>
            <w:r>
              <w:rPr>
                <w:rFonts w:ascii="Arial" w:cs="Arial" w:eastAsia="Arial" w:hAnsi="Arial"/>
                <w:sz w:val="18"/>
                <w:szCs w:val="18"/>
                <w:color w:val="auto"/>
              </w:rPr>
              <w:t>National CineMedia, Inc.</w:t>
            </w:r>
          </w:p>
        </w:tc>
      </w:tr>
      <w:tr>
        <w:trPr>
          <w:trHeight w:val="324"/>
        </w:trPr>
        <w:tc>
          <w:tcPr>
            <w:tcW w:w="280" w:type="dxa"/>
            <w:vAlign w:val="bottom"/>
          </w:tcPr>
          <w:p>
            <w:pPr>
              <w:spacing w:after="0"/>
              <w:rPr>
                <w:sz w:val="24"/>
                <w:szCs w:val="24"/>
                <w:color w:val="auto"/>
              </w:rPr>
            </w:pPr>
          </w:p>
        </w:tc>
        <w:tc>
          <w:tcPr>
            <w:tcW w:w="8080" w:type="dxa"/>
            <w:vAlign w:val="bottom"/>
            <w:gridSpan w:val="3"/>
          </w:tcPr>
          <w:p>
            <w:pPr>
              <w:ind w:left="60"/>
              <w:spacing w:after="0"/>
              <w:rPr>
                <w:sz w:val="20"/>
                <w:szCs w:val="20"/>
                <w:color w:val="auto"/>
              </w:rPr>
            </w:pPr>
            <w:r>
              <w:rPr>
                <w:rFonts w:ascii="Arial" w:cs="Arial" w:eastAsia="Arial" w:hAnsi="Arial"/>
                <w:sz w:val="18"/>
                <w:szCs w:val="18"/>
                <w:color w:val="auto"/>
              </w:rPr>
              <w:t>Section 5(a)(vi) (Cross Default)</w:t>
            </w:r>
          </w:p>
        </w:tc>
        <w:tc>
          <w:tcPr>
            <w:tcW w:w="306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24"/>
        </w:trPr>
        <w:tc>
          <w:tcPr>
            <w:tcW w:w="280" w:type="dxa"/>
            <w:vAlign w:val="bottom"/>
          </w:tcPr>
          <w:p>
            <w:pPr>
              <w:spacing w:after="0"/>
              <w:rPr>
                <w:sz w:val="24"/>
                <w:szCs w:val="24"/>
                <w:color w:val="auto"/>
              </w:rPr>
            </w:pPr>
          </w:p>
        </w:tc>
        <w:tc>
          <w:tcPr>
            <w:tcW w:w="8080" w:type="dxa"/>
            <w:vAlign w:val="bottom"/>
            <w:gridSpan w:val="3"/>
          </w:tcPr>
          <w:p>
            <w:pPr>
              <w:ind w:left="60"/>
              <w:spacing w:after="0"/>
              <w:rPr>
                <w:sz w:val="20"/>
                <w:szCs w:val="20"/>
                <w:color w:val="auto"/>
              </w:rPr>
            </w:pPr>
            <w:r>
              <w:rPr>
                <w:rFonts w:ascii="Arial" w:cs="Arial" w:eastAsia="Arial" w:hAnsi="Arial"/>
                <w:sz w:val="18"/>
                <w:szCs w:val="18"/>
                <w:color w:val="auto"/>
              </w:rPr>
              <w:t>Section 5(a)(vii) (Bankruptcy)</w:t>
            </w:r>
          </w:p>
        </w:tc>
        <w:tc>
          <w:tcPr>
            <w:tcW w:w="306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24"/>
        </w:trPr>
        <w:tc>
          <w:tcPr>
            <w:tcW w:w="280" w:type="dxa"/>
            <w:vAlign w:val="bottom"/>
          </w:tcPr>
          <w:p>
            <w:pPr>
              <w:spacing w:after="0"/>
              <w:rPr>
                <w:sz w:val="24"/>
                <w:szCs w:val="24"/>
                <w:color w:val="auto"/>
              </w:rPr>
            </w:pPr>
          </w:p>
        </w:tc>
        <w:tc>
          <w:tcPr>
            <w:tcW w:w="8080" w:type="dxa"/>
            <w:vAlign w:val="bottom"/>
            <w:gridSpan w:val="3"/>
          </w:tcPr>
          <w:p>
            <w:pPr>
              <w:ind w:left="60"/>
              <w:spacing w:after="0"/>
              <w:rPr>
                <w:sz w:val="20"/>
                <w:szCs w:val="20"/>
                <w:color w:val="auto"/>
              </w:rPr>
            </w:pPr>
            <w:r>
              <w:rPr>
                <w:rFonts w:ascii="Arial" w:cs="Arial" w:eastAsia="Arial" w:hAnsi="Arial"/>
                <w:sz w:val="18"/>
                <w:szCs w:val="18"/>
                <w:color w:val="auto"/>
              </w:rPr>
              <w:t>Section 5(b)(v) (Credit Event Upon Merger)</w:t>
            </w:r>
          </w:p>
        </w:tc>
        <w:tc>
          <w:tcPr>
            <w:tcW w:w="306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24"/>
        </w:trPr>
        <w:tc>
          <w:tcPr>
            <w:tcW w:w="280" w:type="dxa"/>
            <w:vAlign w:val="bottom"/>
          </w:tcPr>
          <w:p>
            <w:pPr>
              <w:spacing w:after="0"/>
              <w:rPr>
                <w:sz w:val="20"/>
                <w:szCs w:val="20"/>
                <w:color w:val="auto"/>
              </w:rPr>
            </w:pPr>
            <w:r>
              <w:rPr>
                <w:rFonts w:ascii="Arial" w:cs="Arial" w:eastAsia="Arial" w:hAnsi="Arial"/>
                <w:sz w:val="18"/>
                <w:szCs w:val="18"/>
                <w:color w:val="auto"/>
              </w:rPr>
              <w:t>(b)</w:t>
            </w:r>
          </w:p>
        </w:tc>
        <w:tc>
          <w:tcPr>
            <w:tcW w:w="8080" w:type="dxa"/>
            <w:vAlign w:val="bottom"/>
            <w:gridSpan w:val="3"/>
          </w:tcPr>
          <w:p>
            <w:pPr>
              <w:ind w:left="60"/>
              <w:spacing w:after="0"/>
              <w:rPr>
                <w:sz w:val="20"/>
                <w:szCs w:val="20"/>
                <w:color w:val="auto"/>
              </w:rPr>
            </w:pPr>
            <w:r>
              <w:rPr>
                <w:rFonts w:ascii="Arial" w:cs="Arial" w:eastAsia="Arial" w:hAnsi="Arial"/>
                <w:sz w:val="18"/>
                <w:szCs w:val="18"/>
                <w:b w:val="1"/>
                <w:bCs w:val="1"/>
                <w:color w:val="auto"/>
              </w:rPr>
              <w:t xml:space="preserve">“Specified Transaction” </w:t>
            </w:r>
            <w:r>
              <w:rPr>
                <w:rFonts w:ascii="Arial" w:cs="Arial" w:eastAsia="Arial" w:hAnsi="Arial"/>
                <w:sz w:val="18"/>
                <w:szCs w:val="18"/>
                <w:color w:val="auto"/>
              </w:rPr>
              <w:t>shall have the meaning specified in Section 14 of this Agreement.</w:t>
            </w:r>
          </w:p>
        </w:tc>
        <w:tc>
          <w:tcPr>
            <w:tcW w:w="3060" w:type="dxa"/>
            <w:vAlign w:val="bottom"/>
          </w:tcPr>
          <w:p>
            <w:pPr>
              <w:spacing w:after="0"/>
              <w:rPr>
                <w:sz w:val="24"/>
                <w:szCs w:val="24"/>
                <w:color w:val="auto"/>
              </w:rPr>
            </w:pPr>
          </w:p>
        </w:tc>
      </w:tr>
      <w:tr>
        <w:trPr>
          <w:trHeight w:val="365"/>
        </w:trPr>
        <w:tc>
          <w:tcPr>
            <w:tcW w:w="280" w:type="dxa"/>
            <w:vAlign w:val="bottom"/>
          </w:tcPr>
          <w:p>
            <w:pPr>
              <w:spacing w:after="0"/>
              <w:rPr>
                <w:sz w:val="24"/>
                <w:szCs w:val="24"/>
                <w:color w:val="auto"/>
              </w:rPr>
            </w:pPr>
          </w:p>
        </w:tc>
        <w:tc>
          <w:tcPr>
            <w:tcW w:w="8080" w:type="dxa"/>
            <w:vAlign w:val="bottom"/>
            <w:gridSpan w:val="3"/>
          </w:tcPr>
          <w:p>
            <w:pPr>
              <w:jc w:val="center"/>
              <w:ind w:left="2692"/>
              <w:spacing w:after="0"/>
              <w:rPr>
                <w:sz w:val="20"/>
                <w:szCs w:val="20"/>
                <w:color w:val="auto"/>
              </w:rPr>
            </w:pPr>
            <w:r>
              <w:rPr>
                <w:rFonts w:ascii="Arial" w:cs="Arial" w:eastAsia="Arial" w:hAnsi="Arial"/>
                <w:sz w:val="18"/>
                <w:szCs w:val="18"/>
                <w:color w:val="auto"/>
                <w:w w:val="89"/>
              </w:rPr>
              <w:t>19</w:t>
            </w:r>
          </w:p>
        </w:tc>
        <w:tc>
          <w:tcPr>
            <w:tcW w:w="30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90" w:name="page91"/>
    <w:bookmarkEnd w:id="90"/>
    <w:p>
      <w:pPr>
        <w:ind w:left="452" w:hanging="452"/>
        <w:spacing w:after="0" w:line="275" w:lineRule="auto"/>
        <w:tabs>
          <w:tab w:leader="none" w:pos="452"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“Cross Default” </w:t>
      </w:r>
      <w:r>
        <w:rPr>
          <w:rFonts w:ascii="Arial" w:cs="Arial" w:eastAsia="Arial" w:hAnsi="Arial"/>
          <w:sz w:val="18"/>
          <w:szCs w:val="18"/>
          <w:color w:val="auto"/>
        </w:rPr>
        <w:t>applies to Party A and Party B. Section 5(a)(vi) is amended by deleting the words “becoming, or becoming capable at such time of” in the</w:t>
      </w:r>
      <w:r>
        <w:rPr>
          <w:rFonts w:ascii="Arial" w:cs="Arial" w:eastAsia="Arial" w:hAnsi="Arial"/>
          <w:sz w:val="18"/>
          <w:szCs w:val="18"/>
          <w:b w:val="1"/>
          <w:bCs w:val="1"/>
          <w:color w:val="auto"/>
        </w:rPr>
        <w:t xml:space="preserve"> </w:t>
      </w:r>
      <w:r>
        <w:rPr>
          <w:rFonts w:ascii="Arial" w:cs="Arial" w:eastAsia="Arial" w:hAnsi="Arial"/>
          <w:sz w:val="18"/>
          <w:szCs w:val="18"/>
          <w:color w:val="auto"/>
        </w:rPr>
        <w:t>seventh line.</w:t>
      </w:r>
    </w:p>
    <w:p>
      <w:pPr>
        <w:spacing w:after="0" w:line="38" w:lineRule="exact"/>
        <w:rPr>
          <w:rFonts w:ascii="Arial" w:cs="Arial" w:eastAsia="Arial" w:hAnsi="Arial"/>
          <w:sz w:val="18"/>
          <w:szCs w:val="18"/>
          <w:color w:val="auto"/>
        </w:rPr>
      </w:pPr>
    </w:p>
    <w:p>
      <w:pPr>
        <w:ind w:left="452" w:right="80"/>
        <w:spacing w:after="0" w:line="293" w:lineRule="auto"/>
        <w:rPr>
          <w:rFonts w:ascii="Arial" w:cs="Arial" w:eastAsia="Arial" w:hAnsi="Arial"/>
          <w:sz w:val="18"/>
          <w:szCs w:val="18"/>
          <w:color w:val="auto"/>
        </w:rPr>
      </w:pPr>
      <w:r>
        <w:rPr>
          <w:rFonts w:ascii="Arial" w:cs="Arial" w:eastAsia="Arial" w:hAnsi="Arial"/>
          <w:sz w:val="16"/>
          <w:szCs w:val="16"/>
          <w:b w:val="1"/>
          <w:bCs w:val="1"/>
          <w:color w:val="auto"/>
        </w:rPr>
        <w:t xml:space="preserve">“Specified Indebtedness” </w:t>
      </w:r>
      <w:r>
        <w:rPr>
          <w:rFonts w:ascii="Arial" w:cs="Arial" w:eastAsia="Arial" w:hAnsi="Arial"/>
          <w:sz w:val="16"/>
          <w:szCs w:val="16"/>
          <w:color w:val="auto"/>
        </w:rPr>
        <w:t>has the meaning specified in Section 14 of this Agreement, except that such term shall not include obligations in respect of</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deposits received in the ordinary course of a party’s banking business. In addition, with respect to Party B, “Specified Indebtedness” shall include, without limitation, the obligations of Party B under that certain Credit Agreement dated as of February 13, 2007, made by and between Party B, Lehman Brothers Inc. and J.P. Morgan Securities, Inc., as Arrangers, Credit Suisse (USA) LLC and Morgan Stanley Senior Funding, Inc., as Co-Documentation Agents, Lehman Commercial Paper Inc., as Administrative Agent, and the other Lenders party thereto, as the same may be amended, modified, supplemented or replaced from time to time (the </w:t>
      </w:r>
      <w:r>
        <w:rPr>
          <w:rFonts w:ascii="Arial" w:cs="Arial" w:eastAsia="Arial" w:hAnsi="Arial"/>
          <w:sz w:val="16"/>
          <w:szCs w:val="16"/>
          <w:b w:val="1"/>
          <w:bCs w:val="1"/>
          <w:color w:val="auto"/>
        </w:rPr>
        <w:t>“Credit Agreement”</w:t>
      </w:r>
      <w:r>
        <w:rPr>
          <w:rFonts w:ascii="Arial" w:cs="Arial" w:eastAsia="Arial" w:hAnsi="Arial"/>
          <w:sz w:val="16"/>
          <w:szCs w:val="16"/>
          <w:color w:val="auto"/>
        </w:rPr>
        <w:t>) (and to which other lenders, borrowers or other persons may be or become party).</w:t>
      </w:r>
    </w:p>
    <w:p>
      <w:pPr>
        <w:spacing w:after="0" w:line="29" w:lineRule="exact"/>
        <w:rPr>
          <w:rFonts w:ascii="Arial" w:cs="Arial" w:eastAsia="Arial" w:hAnsi="Arial"/>
          <w:sz w:val="18"/>
          <w:szCs w:val="18"/>
          <w:color w:val="auto"/>
        </w:rPr>
      </w:pPr>
    </w:p>
    <w:p>
      <w:pPr>
        <w:ind w:left="452" w:right="580"/>
        <w:spacing w:after="0" w:line="275" w:lineRule="auto"/>
        <w:rPr>
          <w:rFonts w:ascii="Arial" w:cs="Arial" w:eastAsia="Arial" w:hAnsi="Arial"/>
          <w:sz w:val="18"/>
          <w:szCs w:val="18"/>
          <w:color w:val="auto"/>
        </w:rPr>
      </w:pPr>
      <w:r>
        <w:rPr>
          <w:rFonts w:ascii="Arial" w:cs="Arial" w:eastAsia="Arial" w:hAnsi="Arial"/>
          <w:sz w:val="18"/>
          <w:szCs w:val="18"/>
          <w:b w:val="1"/>
          <w:bCs w:val="1"/>
          <w:color w:val="auto"/>
        </w:rPr>
        <w:t xml:space="preserve">“Threshold Amount” </w:t>
      </w:r>
      <w:r>
        <w:rPr>
          <w:rFonts w:ascii="Arial" w:cs="Arial" w:eastAsia="Arial" w:hAnsi="Arial"/>
          <w:sz w:val="18"/>
          <w:szCs w:val="18"/>
          <w:color w:val="auto"/>
        </w:rPr>
        <w:t>means, (1) with respect to Party A, an amount equal to three percent of the shareholders’ equity of such party, determined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generally acceptable accounting principles, and (2) with respect to Party B, $25,000,000.</w:t>
      </w:r>
    </w:p>
    <w:p>
      <w:pPr>
        <w:spacing w:after="0" w:line="38" w:lineRule="exact"/>
        <w:rPr>
          <w:rFonts w:ascii="Arial" w:cs="Arial" w:eastAsia="Arial" w:hAnsi="Arial"/>
          <w:sz w:val="18"/>
          <w:szCs w:val="18"/>
          <w:color w:val="auto"/>
        </w:rPr>
      </w:pPr>
    </w:p>
    <w:p>
      <w:pPr>
        <w:ind w:left="452" w:right="220" w:hanging="452"/>
        <w:spacing w:after="0" w:line="262" w:lineRule="auto"/>
        <w:tabs>
          <w:tab w:leader="none" w:pos="45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Event Upon Merger”</w:t>
      </w:r>
      <w:r>
        <w:rPr>
          <w:rFonts w:ascii="Arial" w:cs="Arial" w:eastAsia="Arial" w:hAnsi="Arial"/>
          <w:sz w:val="18"/>
          <w:szCs w:val="18"/>
          <w:color w:val="auto"/>
        </w:rPr>
        <w:t xml:space="preserve"> applies to Party A and Party B provided that, with respect to Party A, the term “materially weaker” shall mean the long term, unsecured and unsubordinated indebtedness of the resulting, surviving or transferee entity is rated lower than Baa3 by Moody’s Investors Services, Inc. or lower than BBB- by Standard and Poor’s Ratings Group.</w:t>
      </w:r>
    </w:p>
    <w:p>
      <w:pPr>
        <w:spacing w:after="0" w:line="51" w:lineRule="exact"/>
        <w:rPr>
          <w:rFonts w:ascii="Arial" w:cs="Arial" w:eastAsia="Arial" w:hAnsi="Arial"/>
          <w:sz w:val="18"/>
          <w:szCs w:val="18"/>
          <w:color w:val="auto"/>
        </w:rPr>
      </w:pPr>
    </w:p>
    <w:p>
      <w:pPr>
        <w:ind w:left="452" w:hanging="452"/>
        <w:spacing w:after="0"/>
        <w:tabs>
          <w:tab w:leader="none" w:pos="452" w:val="left"/>
        </w:tabs>
        <w:numPr>
          <w:ilvl w:val="0"/>
          <w:numId w:val="145"/>
        </w:numPr>
        <w:rPr>
          <w:rFonts w:ascii="Arial" w:cs="Arial" w:eastAsia="Arial" w:hAnsi="Arial"/>
          <w:sz w:val="18"/>
          <w:szCs w:val="18"/>
          <w:color w:val="auto"/>
        </w:rPr>
      </w:pPr>
      <w:r>
        <w:rPr>
          <w:rFonts w:ascii="Arial" w:cs="Arial" w:eastAsia="Arial" w:hAnsi="Arial"/>
          <w:sz w:val="18"/>
          <w:szCs w:val="18"/>
          <w:color w:val="auto"/>
        </w:rPr>
        <w:t xml:space="preserve">The </w:t>
      </w:r>
      <w:r>
        <w:rPr>
          <w:rFonts w:ascii="Arial" w:cs="Arial" w:eastAsia="Arial" w:hAnsi="Arial"/>
          <w:sz w:val="18"/>
          <w:szCs w:val="18"/>
          <w:b w:val="1"/>
          <w:bCs w:val="1"/>
          <w:color w:val="auto"/>
        </w:rPr>
        <w:t>“Automatic Early Termination”</w:t>
      </w:r>
      <w:r>
        <w:rPr>
          <w:rFonts w:ascii="Arial" w:cs="Arial" w:eastAsia="Arial" w:hAnsi="Arial"/>
          <w:sz w:val="18"/>
          <w:szCs w:val="18"/>
          <w:color w:val="auto"/>
        </w:rPr>
        <w:t xml:space="preserve"> provision of Section 6(a) of this Agreement will not apply to Party A and will not apply to Party B.</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45"/>
        </w:numPr>
        <w:rPr>
          <w:rFonts w:ascii="Arial" w:cs="Arial" w:eastAsia="Arial" w:hAnsi="Arial"/>
          <w:sz w:val="18"/>
          <w:szCs w:val="18"/>
          <w:color w:val="auto"/>
        </w:rPr>
      </w:pPr>
      <w:r>
        <w:rPr>
          <w:rFonts w:ascii="Arial" w:cs="Arial" w:eastAsia="Arial" w:hAnsi="Arial"/>
          <w:sz w:val="18"/>
          <w:szCs w:val="18"/>
          <w:b w:val="1"/>
          <w:bCs w:val="1"/>
          <w:color w:val="auto"/>
        </w:rPr>
        <w:t xml:space="preserve">“Termination Currency” </w:t>
      </w:r>
      <w:r>
        <w:rPr>
          <w:rFonts w:ascii="Arial" w:cs="Arial" w:eastAsia="Arial" w:hAnsi="Arial"/>
          <w:sz w:val="18"/>
          <w:szCs w:val="18"/>
          <w:color w:val="auto"/>
        </w:rPr>
        <w:t>means United States Dollars (“USD”).</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45"/>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 on Early 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purpose of Section 6(e):</w:t>
      </w:r>
    </w:p>
    <w:p>
      <w:pPr>
        <w:spacing w:after="0" w:line="96" w:lineRule="exact"/>
        <w:rPr>
          <w:rFonts w:ascii="Arial" w:cs="Arial" w:eastAsia="Arial" w:hAnsi="Arial"/>
          <w:sz w:val="18"/>
          <w:szCs w:val="18"/>
          <w:color w:val="auto"/>
        </w:rPr>
      </w:pPr>
    </w:p>
    <w:p>
      <w:pPr>
        <w:ind w:left="1472" w:hanging="567"/>
        <w:spacing w:after="0"/>
        <w:tabs>
          <w:tab w:leader="none" w:pos="1472" w:val="left"/>
        </w:tabs>
        <w:numPr>
          <w:ilvl w:val="1"/>
          <w:numId w:val="145"/>
        </w:numPr>
        <w:rPr>
          <w:rFonts w:ascii="Arial" w:cs="Arial" w:eastAsia="Arial" w:hAnsi="Arial"/>
          <w:sz w:val="18"/>
          <w:szCs w:val="18"/>
          <w:color w:val="auto"/>
        </w:rPr>
      </w:pPr>
      <w:r>
        <w:rPr>
          <w:rFonts w:ascii="Arial" w:cs="Arial" w:eastAsia="Arial" w:hAnsi="Arial"/>
          <w:sz w:val="18"/>
          <w:szCs w:val="18"/>
          <w:color w:val="auto"/>
        </w:rPr>
        <w:t>Market Quotation will apply.</w:t>
      </w:r>
    </w:p>
    <w:p>
      <w:pPr>
        <w:spacing w:after="0" w:line="90" w:lineRule="exact"/>
        <w:rPr>
          <w:sz w:val="20"/>
          <w:szCs w:val="20"/>
          <w:color w:val="auto"/>
        </w:rPr>
      </w:pPr>
    </w:p>
    <w:p>
      <w:pPr>
        <w:ind w:left="1472" w:hanging="567"/>
        <w:spacing w:after="0"/>
        <w:tabs>
          <w:tab w:leader="none" w:pos="1472" w:val="left"/>
        </w:tabs>
        <w:numPr>
          <w:ilvl w:val="1"/>
          <w:numId w:val="146"/>
        </w:numPr>
        <w:rPr>
          <w:rFonts w:ascii="Arial" w:cs="Arial" w:eastAsia="Arial" w:hAnsi="Arial"/>
          <w:sz w:val="18"/>
          <w:szCs w:val="18"/>
          <w:color w:val="auto"/>
        </w:rPr>
      </w:pPr>
      <w:r>
        <w:rPr>
          <w:rFonts w:ascii="Arial" w:cs="Arial" w:eastAsia="Arial" w:hAnsi="Arial"/>
          <w:sz w:val="18"/>
          <w:szCs w:val="18"/>
          <w:color w:val="auto"/>
        </w:rPr>
        <w:t>The Second Method will apply.</w:t>
      </w:r>
    </w:p>
    <w:p>
      <w:pPr>
        <w:spacing w:after="0" w:line="84" w:lineRule="exact"/>
        <w:rPr>
          <w:rFonts w:ascii="Arial" w:cs="Arial" w:eastAsia="Arial" w:hAnsi="Arial"/>
          <w:sz w:val="18"/>
          <w:szCs w:val="18"/>
          <w:color w:val="auto"/>
        </w:rPr>
      </w:pPr>
    </w:p>
    <w:p>
      <w:pPr>
        <w:ind w:left="452" w:right="680" w:hanging="452"/>
        <w:spacing w:after="0" w:line="275" w:lineRule="auto"/>
        <w:tabs>
          <w:tab w:leader="none" w:pos="452" w:val="left"/>
        </w:tabs>
        <w:numPr>
          <w:ilvl w:val="0"/>
          <w:numId w:val="147"/>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Termination Event</w:t>
      </w:r>
      <w:r>
        <w:rPr>
          <w:rFonts w:ascii="Arial" w:cs="Arial" w:eastAsia="Arial" w:hAnsi="Arial"/>
          <w:sz w:val="18"/>
          <w:szCs w:val="18"/>
          <w:b w:val="1"/>
          <w:bCs w:val="1"/>
          <w:color w:val="auto"/>
        </w:rPr>
        <w:t xml:space="preserve">. </w:t>
      </w:r>
      <w:r>
        <w:rPr>
          <w:rFonts w:ascii="Arial" w:cs="Arial" w:eastAsia="Arial" w:hAnsi="Arial"/>
          <w:sz w:val="18"/>
          <w:szCs w:val="18"/>
          <w:color w:val="auto"/>
        </w:rPr>
        <w:t>The following will constitute an Additional Termination Event, where Party B shall be the Affected Party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shall be Affected Transactions:</w:t>
      </w:r>
    </w:p>
    <w:p>
      <w:pPr>
        <w:spacing w:after="0" w:line="44" w:lineRule="exact"/>
        <w:rPr>
          <w:rFonts w:ascii="Arial" w:cs="Arial" w:eastAsia="Arial" w:hAnsi="Arial"/>
          <w:sz w:val="18"/>
          <w:szCs w:val="18"/>
          <w:color w:val="auto"/>
        </w:rPr>
      </w:pPr>
    </w:p>
    <w:p>
      <w:pPr>
        <w:ind w:left="1472" w:right="680" w:hanging="567"/>
        <w:spacing w:after="0" w:line="256" w:lineRule="auto"/>
        <w:tabs>
          <w:tab w:leader="none" w:pos="1472" w:val="left"/>
        </w:tabs>
        <w:numPr>
          <w:ilvl w:val="1"/>
          <w:numId w:val="147"/>
        </w:numPr>
        <w:rPr>
          <w:rFonts w:ascii="Arial" w:cs="Arial" w:eastAsia="Arial" w:hAnsi="Arial"/>
          <w:sz w:val="18"/>
          <w:szCs w:val="18"/>
          <w:color w:val="auto"/>
        </w:rPr>
      </w:pPr>
      <w:r>
        <w:rPr>
          <w:rFonts w:ascii="Arial" w:cs="Arial" w:eastAsia="Arial" w:hAnsi="Arial"/>
          <w:sz w:val="18"/>
          <w:szCs w:val="18"/>
          <w:color w:val="auto"/>
        </w:rPr>
        <w:t>If at any time the obligations of Party B under this Agreement shall cease to be equally and ratably secured and guaranteed with the obligations of Party B to the Lenders under the Credit Agreement, subject to the terms of the Credit Agreement and the Collateral Documents for any reason, other than to the extent such obligations to Party A hereunder are cash collateralized in accordance with customary terms.</w:t>
      </w:r>
    </w:p>
    <w:p>
      <w:pPr>
        <w:spacing w:after="0" w:line="62" w:lineRule="exact"/>
        <w:rPr>
          <w:sz w:val="20"/>
          <w:szCs w:val="20"/>
          <w:color w:val="auto"/>
        </w:rPr>
      </w:pPr>
    </w:p>
    <w:p>
      <w:pPr>
        <w:ind w:left="1472" w:right="260" w:hanging="567"/>
        <w:spacing w:after="0" w:line="256" w:lineRule="auto"/>
        <w:tabs>
          <w:tab w:leader="none" w:pos="1472"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If (A) Party B fails to give Party A written notice at least 1 days prior to the prepayment in full of the Loans or release of any Collateral “(other than with respect to any Collateral released pursuant to Section 7.5 of the Credit Agreement) or, (B) if requested by Party A in the event of such full repayment or Collateral release, Party B shall not have executed an ISDA Credit Support Annex or arranged for other credit support on terms and conditions reasonably satisfactory to Party A.</w:t>
      </w:r>
    </w:p>
    <w:p>
      <w:pPr>
        <w:spacing w:after="0" w:line="62"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following terms shall have the meanings set forth below for purposes of this Agreement:</w:t>
      </w:r>
    </w:p>
    <w:p>
      <w:pPr>
        <w:spacing w:after="0" w:line="90" w:lineRule="exact"/>
        <w:rPr>
          <w:sz w:val="20"/>
          <w:szCs w:val="20"/>
          <w:color w:val="auto"/>
        </w:rPr>
      </w:pPr>
    </w:p>
    <w:p>
      <w:pPr>
        <w:ind w:left="892"/>
        <w:spacing w:after="0"/>
        <w:rPr>
          <w:sz w:val="20"/>
          <w:szCs w:val="20"/>
          <w:color w:val="auto"/>
        </w:rPr>
      </w:pPr>
      <w:r>
        <w:rPr>
          <w:rFonts w:ascii="Arial" w:cs="Arial" w:eastAsia="Arial" w:hAnsi="Arial"/>
          <w:sz w:val="18"/>
          <w:szCs w:val="18"/>
          <w:color w:val="auto"/>
        </w:rPr>
        <w:t>“Collateral” means any collateral pledged to the Secured Parties under the Collateral Documents.</w:t>
      </w:r>
    </w:p>
    <w:p>
      <w:pPr>
        <w:spacing w:after="0" w:line="90" w:lineRule="exact"/>
        <w:rPr>
          <w:sz w:val="20"/>
          <w:szCs w:val="20"/>
          <w:color w:val="auto"/>
        </w:rPr>
      </w:pPr>
    </w:p>
    <w:p>
      <w:pPr>
        <w:ind w:left="892"/>
        <w:spacing w:after="0"/>
        <w:rPr>
          <w:sz w:val="20"/>
          <w:szCs w:val="20"/>
          <w:color w:val="auto"/>
        </w:rPr>
      </w:pPr>
      <w:r>
        <w:rPr>
          <w:rFonts w:ascii="Arial" w:cs="Arial" w:eastAsia="Arial" w:hAnsi="Arial"/>
          <w:sz w:val="18"/>
          <w:szCs w:val="18"/>
          <w:color w:val="auto"/>
        </w:rPr>
        <w:t>“Collateral Documents” means the Credit Agreement and the “Security Documents” as defined in the Credit Agreement.</w:t>
      </w:r>
    </w:p>
    <w:p>
      <w:pPr>
        <w:spacing w:after="0" w:line="158" w:lineRule="exact"/>
        <w:rPr>
          <w:sz w:val="20"/>
          <w:szCs w:val="20"/>
          <w:color w:val="auto"/>
        </w:rPr>
      </w:pPr>
    </w:p>
    <w:p>
      <w:pPr>
        <w:ind w:left="5612"/>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92"/>
          </w:cols>
          <w:pgMar w:left="248" w:top="274" w:right="259" w:bottom="1440" w:gutter="0" w:footer="0" w:header="0"/>
        </w:sectPr>
      </w:pPr>
    </w:p>
    <w:bookmarkStart w:id="91" w:name="page92"/>
    <w:bookmarkEnd w:id="91"/>
    <w:p>
      <w:pPr>
        <w:ind w:left="460" w:right="500" w:firstLine="438"/>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“Lender” means any lender under the Credit Agreement holding the most senior security interest in the Collateral relative to the other Secured Parties.</w:t>
      </w:r>
    </w:p>
    <w:p>
      <w:pPr>
        <w:spacing w:after="0" w:line="51" w:lineRule="exact"/>
        <w:rPr>
          <w:sz w:val="20"/>
          <w:szCs w:val="20"/>
          <w:color w:val="auto"/>
        </w:rPr>
      </w:pPr>
    </w:p>
    <w:p>
      <w:pPr>
        <w:ind w:left="900"/>
        <w:spacing w:after="0"/>
        <w:rPr>
          <w:sz w:val="20"/>
          <w:szCs w:val="20"/>
          <w:color w:val="auto"/>
        </w:rPr>
      </w:pPr>
      <w:r>
        <w:rPr>
          <w:rFonts w:ascii="Arial" w:cs="Arial" w:eastAsia="Arial" w:hAnsi="Arial"/>
          <w:sz w:val="18"/>
          <w:szCs w:val="18"/>
          <w:color w:val="auto"/>
        </w:rPr>
        <w:t>“Loan” means any loan made by a Lender to a borrower under the Credit Agreement.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“Secured Party” means a secured party under the Collateral Documents.</w:t>
      </w:r>
    </w:p>
    <w:p>
      <w:pPr>
        <w:spacing w:after="0" w:line="84" w:lineRule="exact"/>
        <w:rPr>
          <w:sz w:val="20"/>
          <w:szCs w:val="20"/>
          <w:color w:val="auto"/>
        </w:rPr>
      </w:pPr>
    </w:p>
    <w:p>
      <w:pPr>
        <w:ind w:left="460" w:hanging="452"/>
        <w:spacing w:after="0" w:line="296" w:lineRule="auto"/>
        <w:tabs>
          <w:tab w:leader="none" w:pos="460" w:val="left"/>
        </w:tabs>
        <w:numPr>
          <w:ilvl w:val="0"/>
          <w:numId w:val="149"/>
        </w:numPr>
        <w:rPr>
          <w:rFonts w:ascii="Arial" w:cs="Arial" w:eastAsia="Arial" w:hAnsi="Arial"/>
          <w:sz w:val="16"/>
          <w:szCs w:val="16"/>
          <w:color w:val="auto"/>
        </w:rPr>
      </w:pPr>
      <w:r>
        <w:rPr>
          <w:rFonts w:ascii="Arial" w:cs="Arial" w:eastAsia="Arial" w:hAnsi="Arial"/>
          <w:sz w:val="16"/>
          <w:szCs w:val="16"/>
          <w:b w:val="1"/>
          <w:bCs w:val="1"/>
          <w:u w:val="single" w:color="auto"/>
          <w:color w:val="auto"/>
        </w:rPr>
        <w:t>Calculation of Termination Payment</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6(d)(i) is amended to add the following at the end of such Section: “Each party making any such</w:t>
      </w:r>
      <w:r>
        <w:rPr>
          <w:rFonts w:ascii="Arial" w:cs="Arial" w:eastAsia="Arial" w:hAnsi="Arial"/>
          <w:sz w:val="16"/>
          <w:szCs w:val="16"/>
          <w:b w:val="1"/>
          <w:bCs w:val="1"/>
          <w:color w:val="auto"/>
        </w:rPr>
        <w:t xml:space="preserve"> </w:t>
      </w:r>
      <w:r>
        <w:rPr>
          <w:rFonts w:ascii="Arial" w:cs="Arial" w:eastAsia="Arial" w:hAnsi="Arial"/>
          <w:sz w:val="16"/>
          <w:szCs w:val="16"/>
          <w:color w:val="auto"/>
        </w:rPr>
        <w:t>calculation shall, upon request, make available to the other party (and its Credit Support Provider, if applicable) such information used by it to make such calculation as may be reasonably necessary in order to enable the other party (or its Credit Support Provider) to independently confirm the accuracy of such calculation. Such information shall include, without limitation, the identity of any Reference Dealer, Reference Bank, Reference Market-maker or other source of any quotation and the details of the quotation provided by such dealer, bank or market-maker.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2. </w:t>
      </w:r>
      <w:r>
        <w:rPr>
          <w:rFonts w:ascii="Arial" w:cs="Arial" w:eastAsia="Arial" w:hAnsi="Arial"/>
          <w:sz w:val="18"/>
          <w:szCs w:val="18"/>
          <w:b w:val="1"/>
          <w:bCs w:val="1"/>
          <w:u w:val="single" w:color="auto"/>
          <w:color w:val="auto"/>
        </w:rPr>
        <w:t>Tax Representations</w:t>
      </w:r>
      <w:r>
        <w:rPr>
          <w:rFonts w:ascii="Arial" w:cs="Arial" w:eastAsia="Arial" w:hAnsi="Arial"/>
          <w:sz w:val="18"/>
          <w:szCs w:val="18"/>
          <w:b w:val="1"/>
          <w:bCs w:val="1"/>
          <w:color w:val="auto"/>
        </w:rPr>
        <w:t>.</w:t>
      </w:r>
    </w:p>
    <w:p>
      <w:pPr>
        <w:spacing w:after="0" w:line="90" w:lineRule="exact"/>
        <w:rPr>
          <w:sz w:val="20"/>
          <w:szCs w:val="20"/>
          <w:color w:val="auto"/>
        </w:rPr>
      </w:pPr>
    </w:p>
    <w:p>
      <w:pPr>
        <w:ind w:left="460" w:hanging="452"/>
        <w:spacing w:after="0"/>
        <w:tabs>
          <w:tab w:leader="none" w:pos="460" w:val="left"/>
        </w:tabs>
        <w:numPr>
          <w:ilvl w:val="0"/>
          <w:numId w:val="150"/>
        </w:numPr>
        <w:rPr>
          <w:rFonts w:ascii="Arial" w:cs="Arial" w:eastAsia="Arial" w:hAnsi="Arial"/>
          <w:sz w:val="16"/>
          <w:szCs w:val="16"/>
          <w:color w:val="auto"/>
        </w:rPr>
      </w:pPr>
      <w:r>
        <w:rPr>
          <w:rFonts w:ascii="Arial" w:cs="Arial" w:eastAsia="Arial" w:hAnsi="Arial"/>
          <w:sz w:val="16"/>
          <w:szCs w:val="16"/>
          <w:b w:val="1"/>
          <w:bCs w:val="1"/>
          <w:color w:val="auto"/>
        </w:rPr>
        <w:t xml:space="preserve">Payer Tax Representations. </w:t>
      </w:r>
      <w:r>
        <w:rPr>
          <w:rFonts w:ascii="Arial" w:cs="Arial" w:eastAsia="Arial" w:hAnsi="Arial"/>
          <w:sz w:val="16"/>
          <w:szCs w:val="16"/>
          <w:color w:val="auto"/>
        </w:rPr>
        <w:t>For the purpose of Section 3(e) of this Agreement, each of Party A and Party B makes the following representation:</w:t>
      </w:r>
    </w:p>
    <w:p>
      <w:pPr>
        <w:spacing w:after="0" w:line="119" w:lineRule="exact"/>
        <w:rPr>
          <w:rFonts w:ascii="Arial" w:cs="Arial" w:eastAsia="Arial" w:hAnsi="Arial"/>
          <w:sz w:val="16"/>
          <w:szCs w:val="16"/>
          <w:color w:val="auto"/>
        </w:rPr>
      </w:pPr>
    </w:p>
    <w:p>
      <w:pPr>
        <w:ind w:left="460"/>
        <w:spacing w:after="0" w:line="289" w:lineRule="auto"/>
        <w:rPr>
          <w:rFonts w:ascii="Arial" w:cs="Arial" w:eastAsia="Arial" w:hAnsi="Arial"/>
          <w:sz w:val="16"/>
          <w:szCs w:val="16"/>
          <w:color w:val="auto"/>
        </w:rPr>
      </w:pPr>
      <w:r>
        <w:rPr>
          <w:rFonts w:ascii="Arial" w:cs="Arial" w:eastAsia="Arial" w:hAnsi="Arial"/>
          <w:sz w:val="16"/>
          <w:szCs w:val="16"/>
          <w:color w:val="auto"/>
        </w:rPr>
        <w:t xml:space="preserve">It is not required by any applicable law, as modified by the practice of any relevant governmental revenue authority, of any Relevant Jurisdiction to make any deduction or withholding for or on account of any Tax from any payment (other than interest under Section 2(e), 6(d)(ii) or 6(e) of this Agreement) to be made by it to the other party under this Agreement. In making this representation, it may rely on (x) the accuracy of any representations made by the other party pursuant to Section 3(f) of this Agreement, (y) the satisfaction of the agreement contained in Section 4(a)(i) or 4(a)(iii) of this Agreement and the accuracy and effectiveness of any document provided by the other party pursuant to Section 4(a)(i) or 4(a)(iii) of this Agreement and (z) the satisfaction of the agreement of the other party contained in Section 4(d)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it shall not be a breach of this representation where reliance is placed on clause (y) and the other party does not deliver a form or document under Section 4(a)(iii) by reason of material prejudice to its legal or commercial position.</w:t>
      </w:r>
    </w:p>
    <w:p>
      <w:pPr>
        <w:spacing w:after="0" w:line="31" w:lineRule="exact"/>
        <w:rPr>
          <w:rFonts w:ascii="Arial" w:cs="Arial" w:eastAsia="Arial" w:hAnsi="Arial"/>
          <w:sz w:val="16"/>
          <w:szCs w:val="16"/>
          <w:color w:val="auto"/>
        </w:rPr>
      </w:pPr>
    </w:p>
    <w:p>
      <w:pPr>
        <w:ind w:left="460" w:hanging="452"/>
        <w:spacing w:after="0"/>
        <w:tabs>
          <w:tab w:leader="none" w:pos="460" w:val="left"/>
        </w:tabs>
        <w:numPr>
          <w:ilvl w:val="0"/>
          <w:numId w:val="150"/>
        </w:numPr>
        <w:rPr>
          <w:rFonts w:ascii="Arial" w:cs="Arial" w:eastAsia="Arial" w:hAnsi="Arial"/>
          <w:sz w:val="18"/>
          <w:szCs w:val="18"/>
          <w:color w:val="auto"/>
        </w:rPr>
      </w:pPr>
      <w:r>
        <w:rPr>
          <w:rFonts w:ascii="Arial" w:cs="Arial" w:eastAsia="Arial" w:hAnsi="Arial"/>
          <w:sz w:val="18"/>
          <w:szCs w:val="18"/>
          <w:b w:val="1"/>
          <w:bCs w:val="1"/>
          <w:color w:val="auto"/>
        </w:rPr>
        <w:t>Payee Tax Representations</w:t>
      </w:r>
      <w:r>
        <w:rPr>
          <w:rFonts w:ascii="Arial" w:cs="Arial" w:eastAsia="Arial" w:hAnsi="Arial"/>
          <w:sz w:val="18"/>
          <w:szCs w:val="18"/>
          <w:color w:val="auto"/>
        </w:rPr>
        <w:t>. For the purpose of Section 3(f) of this Agreement:</w:t>
      </w:r>
    </w:p>
    <w:p>
      <w:pPr>
        <w:spacing w:after="0" w:line="96" w:lineRule="exact"/>
        <w:rPr>
          <w:sz w:val="20"/>
          <w:szCs w:val="20"/>
          <w:color w:val="auto"/>
        </w:rPr>
      </w:pPr>
    </w:p>
    <w:p>
      <w:pPr>
        <w:ind w:left="220" w:hanging="212"/>
        <w:spacing w:after="0"/>
        <w:tabs>
          <w:tab w:leader="none" w:pos="220" w:val="left"/>
        </w:tabs>
        <w:numPr>
          <w:ilvl w:val="0"/>
          <w:numId w:val="151"/>
        </w:numPr>
        <w:rPr>
          <w:rFonts w:ascii="Arial" w:cs="Arial" w:eastAsia="Arial" w:hAnsi="Arial"/>
          <w:sz w:val="16"/>
          <w:szCs w:val="16"/>
          <w:color w:val="auto"/>
        </w:rPr>
      </w:pPr>
      <w:r>
        <w:rPr>
          <w:rFonts w:ascii="Arial" w:cs="Arial" w:eastAsia="Arial" w:hAnsi="Arial"/>
          <w:sz w:val="16"/>
          <w:szCs w:val="16"/>
          <w:color w:val="auto"/>
        </w:rPr>
        <w:t>Party A and Party B each represents, respectively, that it is the beneficial owner of each payment made or to be made under this Agreement.</w:t>
      </w:r>
    </w:p>
    <w:p>
      <w:pPr>
        <w:spacing w:after="0" w:line="194" w:lineRule="exact"/>
        <w:rPr>
          <w:rFonts w:ascii="Arial" w:cs="Arial" w:eastAsia="Arial" w:hAnsi="Arial"/>
          <w:sz w:val="16"/>
          <w:szCs w:val="16"/>
          <w:color w:val="auto"/>
        </w:rPr>
      </w:pPr>
    </w:p>
    <w:p>
      <w:pPr>
        <w:ind w:firstLine="8"/>
        <w:spacing w:after="0" w:line="268" w:lineRule="auto"/>
        <w:tabs>
          <w:tab w:leader="none" w:pos="258"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Party A represents that it is a national banking association organized under the laws of the United States of America and no Office for the Transaction of Party A is separately incorporated.</w:t>
      </w:r>
    </w:p>
    <w:p>
      <w:pPr>
        <w:spacing w:after="0" w:line="131" w:lineRule="exact"/>
        <w:rPr>
          <w:rFonts w:ascii="Arial" w:cs="Arial" w:eastAsia="Arial" w:hAnsi="Arial"/>
          <w:sz w:val="18"/>
          <w:szCs w:val="18"/>
          <w:color w:val="auto"/>
        </w:rPr>
      </w:pPr>
    </w:p>
    <w:p>
      <w:pPr>
        <w:ind w:left="320" w:hanging="312"/>
        <w:spacing w:after="0"/>
        <w:tabs>
          <w:tab w:leader="none" w:pos="320" w:val="left"/>
        </w:tabs>
        <w:numPr>
          <w:ilvl w:val="0"/>
          <w:numId w:val="151"/>
        </w:numPr>
        <w:rPr>
          <w:rFonts w:ascii="Arial" w:cs="Arial" w:eastAsia="Arial" w:hAnsi="Arial"/>
          <w:sz w:val="18"/>
          <w:szCs w:val="18"/>
          <w:color w:val="auto"/>
        </w:rPr>
      </w:pPr>
      <w:r>
        <w:rPr>
          <w:rFonts w:ascii="Arial" w:cs="Arial" w:eastAsia="Arial" w:hAnsi="Arial"/>
          <w:sz w:val="18"/>
          <w:szCs w:val="18"/>
          <w:color w:val="auto"/>
        </w:rPr>
        <w:t>Party B represents that, in respect of each Transaction where Party A’s Office for the Transaction is London:</w:t>
      </w:r>
    </w:p>
    <w:p>
      <w:pPr>
        <w:spacing w:after="0" w:line="17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Payments to Party B are fully eligible for the benefits of the “Business Profits” or “Industrial and Commercial Profits” provision, as the case may be, the “Interest” provision and the “Other Income” provision (if any) of the income tax treaty (if any), in effect between the United Kingdom and the United States of America with respect to any payment described in such provisions and received or to be received by it in connection with this Agreement and no such payment is attributable to a trade or business carried on by it through a permanent establishment in the jurisdiction through which Party B has entered the relevant Transaction.</w:t>
      </w:r>
    </w:p>
    <w:p>
      <w:pPr>
        <w:spacing w:after="0" w:line="143" w:lineRule="exact"/>
        <w:rPr>
          <w:sz w:val="20"/>
          <w:szCs w:val="20"/>
          <w:color w:val="auto"/>
        </w:rPr>
      </w:pPr>
    </w:p>
    <w:p>
      <w:pPr>
        <w:ind w:left="5620" w:right="3660" w:hanging="5612"/>
        <w:spacing w:after="0" w:line="440" w:lineRule="auto"/>
        <w:tabs>
          <w:tab w:leader="none" w:pos="299" w:val="left"/>
        </w:tabs>
        <w:numPr>
          <w:ilvl w:val="0"/>
          <w:numId w:val="152"/>
        </w:numPr>
        <w:rPr>
          <w:rFonts w:ascii="Arial" w:cs="Arial" w:eastAsia="Arial" w:hAnsi="Arial"/>
          <w:sz w:val="18"/>
          <w:szCs w:val="18"/>
          <w:color w:val="auto"/>
        </w:rPr>
      </w:pPr>
      <w:r>
        <w:rPr>
          <w:rFonts w:ascii="Arial" w:cs="Arial" w:eastAsia="Arial" w:hAnsi="Arial"/>
          <w:sz w:val="18"/>
          <w:szCs w:val="18"/>
          <w:color w:val="auto"/>
        </w:rPr>
        <w:t>Party B represents that it is a limited liability company organized under the laws of the State of Delaware. 21</w:t>
      </w:r>
    </w:p>
    <w:p>
      <w:pPr>
        <w:sectPr>
          <w:pgSz w:w="11900" w:h="16838" w:orient="portrait"/>
          <w:cols w:equalWidth="0" w:num="1">
            <w:col w:w="11400"/>
          </w:cols>
          <w:pgMar w:left="240" w:top="280" w:right="25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Part 3. </w:t>
      </w:r>
      <w:r>
        <w:rPr>
          <w:rFonts w:ascii="Arial" w:cs="Arial" w:eastAsia="Arial" w:hAnsi="Arial"/>
          <w:sz w:val="18"/>
          <w:szCs w:val="18"/>
          <w:b w:val="1"/>
          <w:bCs w:val="1"/>
          <w:u w:val="single" w:color="auto"/>
          <w:color w:val="auto"/>
        </w:rPr>
        <w:t>Agreement to Deliver Documents</w:t>
      </w:r>
      <w:r>
        <w:rPr>
          <w:rFonts w:ascii="Arial" w:cs="Arial" w:eastAsia="Arial" w:hAnsi="Arial"/>
          <w:sz w:val="18"/>
          <w:szCs w:val="18"/>
          <w:b w:val="1"/>
          <w:bCs w:val="1"/>
          <w:color w:val="auto"/>
        </w:rPr>
        <w: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 of Sections 4(a)(i) and (ii) of this Agreement, each party agrees to deliver the following documents, as applicable:</w:t>
      </w:r>
    </w:p>
    <w:p>
      <w:pPr>
        <w:spacing w:after="0" w:line="90" w:lineRule="exact"/>
        <w:rPr>
          <w:sz w:val="20"/>
          <w:szCs w:val="20"/>
          <w:color w:val="auto"/>
        </w:rPr>
      </w:pPr>
    </w:p>
    <w:p>
      <w:pPr>
        <w:ind w:left="460" w:right="120" w:hanging="452"/>
        <w:spacing w:after="0" w:line="256" w:lineRule="auto"/>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Tax forms, documents or certificates to be delivered are: For the purpose of Sections 4(a)(i) and (ii) of this Agreement, each party agrees to deliver two complete and accurate United States Internal Revenue Service Forms W-9 (or any successor applicable forms), in a manner reasonably satisfactory to the other party, (I) upon execution of this Agreement; (II) promptly upon reasonable demand of the other party, and (III) promptly upon learning that any such form previously filed by such party has become obsolete or incorrect.</w:t>
      </w:r>
    </w:p>
    <w:p>
      <w:pPr>
        <w:spacing w:after="0" w:line="62" w:lineRule="exact"/>
        <w:rPr>
          <w:rFonts w:ascii="Arial" w:cs="Arial" w:eastAsia="Arial" w:hAnsi="Arial"/>
          <w:sz w:val="18"/>
          <w:szCs w:val="18"/>
          <w:color w:val="auto"/>
        </w:rPr>
      </w:pPr>
    </w:p>
    <w:p>
      <w:pPr>
        <w:ind w:left="460" w:hanging="452"/>
        <w:spacing w:after="0"/>
        <w:tabs>
          <w:tab w:leader="none" w:pos="4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Other documents to be delivered 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20" w:type="dxa"/>
            <w:vAlign w:val="bottom"/>
          </w:tcPr>
          <w:p>
            <w:pPr>
              <w:jc w:val="center"/>
              <w:spacing w:after="0"/>
              <w:rPr>
                <w:sz w:val="20"/>
                <w:szCs w:val="20"/>
                <w:color w:val="auto"/>
              </w:rPr>
            </w:pPr>
            <w:r>
              <w:rPr>
                <w:rFonts w:ascii="Arial" w:cs="Arial" w:eastAsia="Arial" w:hAnsi="Arial"/>
                <w:sz w:val="14"/>
                <w:szCs w:val="14"/>
                <w:b w:val="1"/>
                <w:bCs w:val="1"/>
                <w:color w:val="auto"/>
                <w:w w:val="86"/>
              </w:rPr>
              <w:t>Covered by</w:t>
            </w:r>
          </w:p>
        </w:tc>
      </w:tr>
      <w:tr>
        <w:trPr>
          <w:trHeight w:val="149"/>
        </w:trPr>
        <w:tc>
          <w:tcPr>
            <w:tcW w:w="2740" w:type="dxa"/>
            <w:vAlign w:val="bottom"/>
          </w:tcPr>
          <w:p>
            <w:pPr>
              <w:spacing w:after="0" w:line="149" w:lineRule="exact"/>
              <w:rPr>
                <w:sz w:val="20"/>
                <w:szCs w:val="20"/>
                <w:color w:val="auto"/>
              </w:rPr>
            </w:pPr>
            <w:r>
              <w:rPr>
                <w:rFonts w:ascii="Arial" w:cs="Arial" w:eastAsia="Arial" w:hAnsi="Arial"/>
                <w:sz w:val="14"/>
                <w:szCs w:val="14"/>
                <w:b w:val="1"/>
                <w:bCs w:val="1"/>
                <w:color w:val="auto"/>
              </w:rPr>
              <w:t>Party required to</w:t>
            </w:r>
          </w:p>
        </w:tc>
        <w:tc>
          <w:tcPr>
            <w:tcW w:w="14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Section 3(d)</w:t>
            </w:r>
          </w:p>
        </w:tc>
      </w:tr>
      <w:tr>
        <w:trPr>
          <w:trHeight w:val="168"/>
        </w:trPr>
        <w:tc>
          <w:tcPr>
            <w:tcW w:w="2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Deliver document</w:t>
            </w:r>
          </w:p>
        </w:tc>
        <w:tc>
          <w:tcPr>
            <w:tcW w:w="140" w:type="dxa"/>
            <w:vAlign w:val="bottom"/>
          </w:tcPr>
          <w:p>
            <w:pPr>
              <w:spacing w:after="0"/>
              <w:rPr>
                <w:sz w:val="14"/>
                <w:szCs w:val="14"/>
                <w:color w:val="auto"/>
              </w:rPr>
            </w:pPr>
          </w:p>
        </w:tc>
        <w:tc>
          <w:tcPr>
            <w:tcW w:w="27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Form/Document/Certificate</w:t>
            </w:r>
          </w:p>
        </w:tc>
        <w:tc>
          <w:tcPr>
            <w:tcW w:w="120" w:type="dxa"/>
            <w:vAlign w:val="bottom"/>
          </w:tcPr>
          <w:p>
            <w:pPr>
              <w:spacing w:after="0"/>
              <w:rPr>
                <w:sz w:val="14"/>
                <w:szCs w:val="14"/>
                <w:color w:val="auto"/>
              </w:rPr>
            </w:pPr>
          </w:p>
        </w:tc>
        <w:tc>
          <w:tcPr>
            <w:tcW w:w="28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Date by which to be delivered</w:t>
            </w:r>
          </w:p>
        </w:tc>
        <w:tc>
          <w:tcPr>
            <w:tcW w:w="120" w:type="dxa"/>
            <w:vAlign w:val="bottom"/>
          </w:tcPr>
          <w:p>
            <w:pPr>
              <w:spacing w:after="0"/>
              <w:rPr>
                <w:sz w:val="14"/>
                <w:szCs w:val="14"/>
                <w:color w:val="auto"/>
              </w:rPr>
            </w:pPr>
          </w:p>
        </w:tc>
        <w:tc>
          <w:tcPr>
            <w:tcW w:w="2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Representation</w:t>
            </w:r>
          </w:p>
        </w:tc>
      </w:tr>
    </w:tbl>
    <w:p>
      <w:pPr>
        <w:spacing w:after="0" w:line="100" w:lineRule="exact"/>
        <w:rPr>
          <w:sz w:val="20"/>
          <w:szCs w:val="20"/>
          <w:color w:val="auto"/>
        </w:rPr>
      </w:pPr>
    </w:p>
    <w:p>
      <w:pPr>
        <w:sectPr>
          <w:pgSz w:w="11900" w:h="16838" w:orient="portrait"/>
          <w:cols w:equalWidth="0" w:num="1">
            <w:col w:w="11420"/>
          </w:cols>
          <w:pgMar w:left="240" w:top="274" w:right="239" w:bottom="1440" w:gutter="0" w:footer="0" w:header="0"/>
        </w:sectPr>
      </w:pPr>
    </w:p>
    <w:p>
      <w:pPr>
        <w:spacing w:after="0"/>
        <w:tabs>
          <w:tab w:leader="none" w:pos="2860" w:val="left"/>
        </w:tabs>
        <w:rPr>
          <w:sz w:val="20"/>
          <w:szCs w:val="20"/>
          <w:color w:val="auto"/>
        </w:rPr>
      </w:pPr>
      <w:r>
        <w:rPr>
          <w:rFonts w:ascii="Arial" w:cs="Arial" w:eastAsia="Arial" w:hAnsi="Arial"/>
          <w:sz w:val="18"/>
          <w:szCs w:val="18"/>
          <w:color w:val="auto"/>
        </w:rPr>
        <w:t>Party A and Party B</w:t>
      </w:r>
      <w:r>
        <w:rPr>
          <w:sz w:val="20"/>
          <w:szCs w:val="20"/>
          <w:color w:val="auto"/>
        </w:rPr>
        <w:tab/>
      </w:r>
      <w:r>
        <w:rPr>
          <w:rFonts w:ascii="Arial" w:cs="Arial" w:eastAsia="Arial" w:hAnsi="Arial"/>
          <w:sz w:val="15"/>
          <w:szCs w:val="15"/>
          <w:color w:val="auto"/>
        </w:rPr>
        <w:t>Either (i) a signature booklet</w:t>
      </w:r>
    </w:p>
    <w:p>
      <w:pPr>
        <w:spacing w:after="0" w:line="15"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containing a secretary’s certificate and</w:t>
      </w:r>
    </w:p>
    <w:p>
      <w:pPr>
        <w:spacing w:after="0" w:line="44"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resolutions (“authorizing resolutions”)</w:t>
      </w:r>
    </w:p>
    <w:p>
      <w:pPr>
        <w:spacing w:after="0" w:line="32"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or (ii) other authority documentation,</w:t>
      </w:r>
    </w:p>
    <w:p>
      <w:pPr>
        <w:spacing w:after="0" w:line="32"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in either case, which (x) authorizes the</w:t>
      </w:r>
    </w:p>
    <w:p>
      <w:pPr>
        <w:spacing w:after="0" w:line="44"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party to enter into derivatives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transactions of the type contemplated</w:t>
      </w:r>
    </w:p>
    <w:p>
      <w:pPr>
        <w:spacing w:after="0" w:line="32"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by the parties and (y) is reasonably</w:t>
      </w:r>
    </w:p>
    <w:p>
      <w:pPr>
        <w:spacing w:after="0" w:line="32"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satisfactory in form and substance to</w:t>
      </w:r>
    </w:p>
    <w:p>
      <w:pPr>
        <w:spacing w:after="0" w:line="3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the other party.</w:t>
      </w:r>
    </w:p>
    <w:p>
      <w:pPr>
        <w:spacing w:after="0" w:line="111" w:lineRule="exact"/>
        <w:rPr>
          <w:sz w:val="20"/>
          <w:szCs w:val="20"/>
          <w:color w:val="auto"/>
        </w:rPr>
      </w:pPr>
    </w:p>
    <w:p>
      <w:pPr>
        <w:spacing w:after="0"/>
        <w:tabs>
          <w:tab w:leader="none" w:pos="2860" w:val="left"/>
        </w:tabs>
        <w:rPr>
          <w:sz w:val="20"/>
          <w:szCs w:val="20"/>
          <w:color w:val="auto"/>
        </w:rPr>
      </w:pPr>
      <w:r>
        <w:rPr>
          <w:rFonts w:ascii="Arial" w:cs="Arial" w:eastAsia="Arial" w:hAnsi="Arial"/>
          <w:sz w:val="18"/>
          <w:szCs w:val="18"/>
          <w:color w:val="auto"/>
        </w:rPr>
        <w:t>Party A and Party B</w:t>
      </w:r>
      <w:r>
        <w:rPr>
          <w:sz w:val="20"/>
          <w:szCs w:val="20"/>
          <w:color w:val="auto"/>
        </w:rPr>
        <w:tab/>
      </w:r>
      <w:r>
        <w:rPr>
          <w:rFonts w:ascii="Arial" w:cs="Arial" w:eastAsia="Arial" w:hAnsi="Arial"/>
          <w:sz w:val="15"/>
          <w:szCs w:val="15"/>
          <w:color w:val="auto"/>
        </w:rPr>
        <w:t>Certified copies of documents</w:t>
      </w:r>
    </w:p>
    <w:p>
      <w:pPr>
        <w:spacing w:after="0" w:line="15"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evidencing each party’s capacity to</w:t>
      </w:r>
    </w:p>
    <w:p>
      <w:pPr>
        <w:spacing w:after="0" w:line="3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execute this Agreement, each</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Confirmation and any Credit Support</w:t>
      </w:r>
    </w:p>
    <w:p>
      <w:pPr>
        <w:spacing w:after="0" w:line="3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Document (if applicable) and to</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perform its obligations hereunder and</w:t>
      </w:r>
    </w:p>
    <w:p>
      <w:pPr>
        <w:spacing w:after="0" w:line="3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thereunder.</w:t>
      </w:r>
    </w:p>
    <w:p>
      <w:pPr>
        <w:spacing w:after="0" w:line="20" w:lineRule="exact"/>
        <w:rPr>
          <w:sz w:val="20"/>
          <w:szCs w:val="20"/>
          <w:color w:val="auto"/>
        </w:rPr>
      </w:pPr>
      <w:r>
        <w:rPr>
          <w:sz w:val="20"/>
          <w:szCs w:val="20"/>
          <w:color w:val="auto"/>
        </w:rPr>
        <w:br w:type="column"/>
      </w:r>
    </w:p>
    <w:p>
      <w:pPr>
        <w:ind w:right="2480"/>
        <w:spacing w:after="0" w:line="259" w:lineRule="auto"/>
        <w:rPr>
          <w:sz w:val="20"/>
          <w:szCs w:val="20"/>
          <w:color w:val="auto"/>
        </w:rPr>
      </w:pPr>
      <w:r>
        <w:rPr>
          <w:rFonts w:ascii="Arial" w:cs="Arial" w:eastAsia="Arial" w:hAnsi="Arial"/>
          <w:sz w:val="18"/>
          <w:szCs w:val="18"/>
          <w:color w:val="auto"/>
        </w:rPr>
        <w:t>Upon execution of this Agreement and Yes as deemed necessary for any future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2940" w:val="left"/>
        </w:tabs>
        <w:rPr>
          <w:sz w:val="20"/>
          <w:szCs w:val="20"/>
          <w:color w:val="auto"/>
        </w:rPr>
      </w:pPr>
      <w:r>
        <w:rPr>
          <w:rFonts w:ascii="Arial" w:cs="Arial" w:eastAsia="Arial" w:hAnsi="Arial"/>
          <w:sz w:val="18"/>
          <w:szCs w:val="18"/>
          <w:color w:val="auto"/>
        </w:rPr>
        <w:t>As soon as practicable after the</w:t>
      </w:r>
      <w:r>
        <w:rPr>
          <w:sz w:val="20"/>
          <w:szCs w:val="20"/>
          <w:color w:val="auto"/>
        </w:rPr>
        <w:tab/>
      </w:r>
      <w:r>
        <w:rPr>
          <w:rFonts w:ascii="Arial" w:cs="Arial" w:eastAsia="Arial" w:hAnsi="Arial"/>
          <w:sz w:val="13"/>
          <w:szCs w:val="13"/>
          <w:color w:val="auto"/>
        </w:rPr>
        <w:t>Yes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execution of this Agreement, and, with</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respect to a Confirmation, upon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other party’s request.</w:t>
      </w:r>
    </w:p>
    <w:p>
      <w:pPr>
        <w:spacing w:after="0" w:line="759" w:lineRule="exact"/>
        <w:rPr>
          <w:sz w:val="20"/>
          <w:szCs w:val="20"/>
          <w:color w:val="auto"/>
        </w:rPr>
      </w:pPr>
    </w:p>
    <w:p>
      <w:pPr>
        <w:sectPr>
          <w:pgSz w:w="11900" w:h="16838" w:orient="portrait"/>
          <w:cols w:equalWidth="0" w:num="2">
            <w:col w:w="5580" w:space="160"/>
            <w:col w:w="5680"/>
          </w:cols>
          <w:pgMar w:left="240" w:top="274" w:right="239" w:bottom="1440" w:gutter="0" w:footer="0" w:header="0"/>
          <w:type w:val="continuous"/>
        </w:sectPr>
      </w:pPr>
    </w:p>
    <w:p>
      <w:pPr>
        <w:spacing w:after="0"/>
        <w:tabs>
          <w:tab w:leader="none" w:pos="2860" w:val="left"/>
        </w:tabs>
        <w:rPr>
          <w:sz w:val="20"/>
          <w:szCs w:val="20"/>
          <w:color w:val="auto"/>
        </w:rPr>
      </w:pPr>
      <w:r>
        <w:rPr>
          <w:rFonts w:ascii="Arial" w:cs="Arial" w:eastAsia="Arial" w:hAnsi="Arial"/>
          <w:sz w:val="18"/>
          <w:szCs w:val="18"/>
          <w:color w:val="auto"/>
        </w:rPr>
        <w:t>Party A and Party B</w:t>
      </w:r>
      <w:r>
        <w:rPr>
          <w:sz w:val="20"/>
          <w:szCs w:val="20"/>
          <w:color w:val="auto"/>
        </w:rPr>
        <w:tab/>
      </w:r>
      <w:r>
        <w:rPr>
          <w:rFonts w:ascii="Arial" w:cs="Arial" w:eastAsia="Arial" w:hAnsi="Arial"/>
          <w:sz w:val="15"/>
          <w:szCs w:val="15"/>
          <w:color w:val="auto"/>
        </w:rPr>
        <w:t>A copy of the annual report of such</w:t>
      </w:r>
    </w:p>
    <w:p>
      <w:pPr>
        <w:spacing w:after="0" w:line="15"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party containing audited consolidated</w:t>
      </w:r>
    </w:p>
    <w:p>
      <w:pPr>
        <w:spacing w:after="0" w:line="32"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financial statements for each such</w:t>
      </w:r>
    </w:p>
    <w:p>
      <w:pPr>
        <w:spacing w:after="0" w:line="32"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fiscal year, certified by independent</w:t>
      </w:r>
    </w:p>
    <w:p>
      <w:pPr>
        <w:spacing w:after="0" w:line="3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certified public accountants and</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5"/>
          <w:szCs w:val="15"/>
          <w:color w:val="auto"/>
        </w:rPr>
        <w:t>prepared in accordance with generally</w:t>
      </w:r>
    </w:p>
    <w:p>
      <w:pPr>
        <w:spacing w:after="0" w:line="44"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accepted accounting principles in the</w:t>
      </w:r>
    </w:p>
    <w:p>
      <w:pPr>
        <w:spacing w:after="0" w:line="32"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country in which such party is</w:t>
      </w:r>
    </w:p>
    <w:p>
      <w:pPr>
        <w:spacing w:after="0" w:line="9" w:lineRule="exact"/>
        <w:rPr>
          <w:sz w:val="20"/>
          <w:szCs w:val="20"/>
          <w:color w:val="auto"/>
        </w:rPr>
      </w:pPr>
    </w:p>
    <w:p>
      <w:pPr>
        <w:ind w:left="2880"/>
        <w:spacing w:after="0"/>
        <w:rPr>
          <w:sz w:val="20"/>
          <w:szCs w:val="20"/>
          <w:color w:val="auto"/>
        </w:rPr>
      </w:pPr>
      <w:r>
        <w:rPr>
          <w:rFonts w:ascii="Arial" w:cs="Arial" w:eastAsia="Arial" w:hAnsi="Arial"/>
          <w:sz w:val="18"/>
          <w:szCs w:val="18"/>
          <w:color w:val="auto"/>
        </w:rPr>
        <w:t>organized.</w:t>
      </w:r>
    </w:p>
    <w:p>
      <w:pPr>
        <w:spacing w:after="0" w:line="20" w:lineRule="exact"/>
        <w:rPr>
          <w:sz w:val="20"/>
          <w:szCs w:val="20"/>
          <w:color w:val="auto"/>
        </w:rPr>
      </w:pPr>
      <w:r>
        <w:rPr>
          <w:sz w:val="20"/>
          <w:szCs w:val="20"/>
          <w:color w:val="auto"/>
        </w:rPr>
        <w:br w:type="column"/>
      </w:r>
    </w:p>
    <w:p>
      <w:pPr>
        <w:ind w:left="120"/>
        <w:spacing w:after="0"/>
        <w:tabs>
          <w:tab w:leader="none" w:pos="3060" w:val="left"/>
        </w:tabs>
        <w:rPr>
          <w:sz w:val="20"/>
          <w:szCs w:val="20"/>
          <w:color w:val="auto"/>
        </w:rPr>
      </w:pPr>
      <w:r>
        <w:rPr>
          <w:rFonts w:ascii="Arial" w:cs="Arial" w:eastAsia="Arial" w:hAnsi="Arial"/>
          <w:sz w:val="18"/>
          <w:szCs w:val="18"/>
          <w:color w:val="auto"/>
        </w:rPr>
        <w:t>As soon as practicable after the</w:t>
      </w:r>
      <w:r>
        <w:rPr>
          <w:sz w:val="20"/>
          <w:szCs w:val="20"/>
          <w:color w:val="auto"/>
        </w:rPr>
        <w:tab/>
      </w:r>
      <w:r>
        <w:rPr>
          <w:rFonts w:ascii="Arial" w:cs="Arial" w:eastAsia="Arial" w:hAnsi="Arial"/>
          <w:sz w:val="13"/>
          <w:szCs w:val="13"/>
          <w:color w:val="auto"/>
        </w:rPr>
        <w:t>Yes</w:t>
      </w:r>
    </w:p>
    <w:p>
      <w:pPr>
        <w:spacing w:after="0" w:line="1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execution of this Agreement and also (i)</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 the case of Party A, promptly upon</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request and (ii) in the case of Party B,</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within 120 calendar days after the end</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 each fiscal year while there are any</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obligations outstanding under this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Agreement; provided that the foregoing</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delivery obligation of Party B shall be</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deemed to be satisfied for so long as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Party A is a Lender (each term as</w:t>
      </w:r>
    </w:p>
    <w:p>
      <w:pPr>
        <w:spacing w:after="0" w:line="9"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defined in the Credit Agreement).</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22</w:t>
      </w:r>
    </w:p>
    <w:p>
      <w:pPr>
        <w:sectPr>
          <w:pgSz w:w="11900" w:h="16838" w:orient="portrait"/>
          <w:cols w:equalWidth="0" w:num="2">
            <w:col w:w="5560" w:space="60"/>
            <w:col w:w="5800"/>
          </w:cols>
          <w:pgMar w:left="240" w:top="274" w:right="239" w:bottom="1440" w:gutter="0" w:footer="0" w:header="0"/>
          <w:type w:val="continuous"/>
        </w:sectPr>
      </w:pPr>
    </w:p>
    <w:bookmarkStart w:id="93" w:name="page94"/>
    <w:bookmarkEnd w:id="9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Part 4. </w:t>
      </w: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90" w:lineRule="exact"/>
        <w:rPr>
          <w:sz w:val="20"/>
          <w:szCs w:val="20"/>
          <w:color w:val="auto"/>
        </w:rPr>
      </w:pPr>
    </w:p>
    <w:p>
      <w:pPr>
        <w:ind w:left="460" w:hanging="452"/>
        <w:spacing w:after="0"/>
        <w:tabs>
          <w:tab w:leader="none" w:pos="460" w:val="left"/>
        </w:tabs>
        <w:numPr>
          <w:ilvl w:val="0"/>
          <w:numId w:val="154"/>
        </w:numPr>
        <w:rPr>
          <w:rFonts w:ascii="Arial" w:cs="Arial" w:eastAsia="Arial" w:hAnsi="Arial"/>
          <w:sz w:val="18"/>
          <w:szCs w:val="18"/>
          <w:color w:val="auto"/>
        </w:rPr>
      </w:pPr>
      <w:r>
        <w:rPr>
          <w:rFonts w:ascii="Arial" w:cs="Arial" w:eastAsia="Arial" w:hAnsi="Arial"/>
          <w:sz w:val="18"/>
          <w:szCs w:val="18"/>
          <w:b w:val="1"/>
          <w:bCs w:val="1"/>
          <w:color w:val="auto"/>
        </w:rPr>
        <w:t xml:space="preserve">Addresses for Notices. </w:t>
      </w:r>
      <w:r>
        <w:rPr>
          <w:rFonts w:ascii="Arial" w:cs="Arial" w:eastAsia="Arial" w:hAnsi="Arial"/>
          <w:sz w:val="18"/>
          <w:szCs w:val="18"/>
          <w:color w:val="auto"/>
        </w:rPr>
        <w:t>For the purpose of Section 12(a) of this Agreement:</w:t>
      </w:r>
    </w:p>
    <w:p>
      <w:pPr>
        <w:spacing w:after="0" w:line="96" w:lineRule="exact"/>
        <w:rPr>
          <w:rFonts w:ascii="Arial" w:cs="Arial" w:eastAsia="Arial" w:hAnsi="Arial"/>
          <w:sz w:val="18"/>
          <w:szCs w:val="18"/>
          <w:color w:val="auto"/>
        </w:rPr>
      </w:pPr>
    </w:p>
    <w:p>
      <w:pPr>
        <w:ind w:left="900" w:hanging="446"/>
        <w:spacing w:after="0"/>
        <w:tabs>
          <w:tab w:leader="none" w:pos="900"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Address for notices or communications to Party A:</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6"/>
          <w:szCs w:val="16"/>
          <w:color w:val="auto"/>
        </w:rPr>
        <w:t>Any notice relating to a particular Transaction shall be delivered to the address or facsimile number specified in the Confirmation of such</w:t>
      </w:r>
    </w:p>
    <w:p>
      <w:pPr>
        <w:spacing w:after="0" w:line="3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Transaction. Any notice delivered for purposes of Sections 5 and 6 of this Agreement shall be delivered to the following address:</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JPMorgan Chase Bank, N.A.</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Legal Department—Derivatives Practice Group</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270 Park Avenue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New York 10017-2070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Facsimile No.: (212) 270-3625</w:t>
      </w:r>
    </w:p>
    <w:p>
      <w:pPr>
        <w:spacing w:after="0" w:line="84" w:lineRule="exact"/>
        <w:rPr>
          <w:sz w:val="20"/>
          <w:szCs w:val="20"/>
          <w:color w:val="auto"/>
        </w:rPr>
      </w:pPr>
    </w:p>
    <w:p>
      <w:pPr>
        <w:ind w:left="900" w:hanging="446"/>
        <w:spacing w:after="0"/>
        <w:tabs>
          <w:tab w:leader="none" w:pos="90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Address for notices or communications to Party B:</w:t>
      </w:r>
    </w:p>
    <w:p>
      <w:pPr>
        <w:spacing w:after="0" w:line="9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National CineMedia, LLC</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9110 East Nichols Avenue, Suite 200</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Centennial, CO 80112-3405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Gary Ferrera and David Oddo</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Telecopy: 303-792-8668</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303-792-3600</w:t>
      </w:r>
    </w:p>
    <w:p>
      <w:pPr>
        <w:spacing w:after="0" w:line="84" w:lineRule="exact"/>
        <w:rPr>
          <w:sz w:val="20"/>
          <w:szCs w:val="20"/>
          <w:color w:val="auto"/>
        </w:rPr>
      </w:pPr>
    </w:p>
    <w:p>
      <w:pPr>
        <w:ind w:left="920"/>
        <w:spacing w:after="0"/>
        <w:rPr>
          <w:sz w:val="20"/>
          <w:szCs w:val="20"/>
          <w:color w:val="auto"/>
        </w:rPr>
      </w:pPr>
      <w:r>
        <w:rPr>
          <w:rFonts w:ascii="Arial" w:cs="Arial" w:eastAsia="Arial" w:hAnsi="Arial"/>
          <w:sz w:val="18"/>
          <w:szCs w:val="18"/>
          <w:color w:val="auto"/>
        </w:rPr>
        <w:t>With a copy to:</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Ralph E. Hardy, General Counsel</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Telecopy: 303-792-8649</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Telephone: 303-792-3600</w:t>
      </w:r>
    </w:p>
    <w:p>
      <w:pPr>
        <w:spacing w:after="0" w:line="78" w:lineRule="exact"/>
        <w:rPr>
          <w:sz w:val="20"/>
          <w:szCs w:val="20"/>
          <w:color w:val="auto"/>
        </w:rPr>
      </w:pPr>
    </w:p>
    <w:p>
      <w:pPr>
        <w:ind w:left="460" w:hanging="452"/>
        <w:spacing w:after="0"/>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 xml:space="preserve">Process Agent. </w:t>
      </w:r>
      <w:r>
        <w:rPr>
          <w:rFonts w:ascii="Arial" w:cs="Arial" w:eastAsia="Arial" w:hAnsi="Arial"/>
          <w:sz w:val="18"/>
          <w:szCs w:val="18"/>
          <w:color w:val="auto"/>
        </w:rPr>
        <w:t>For the purpose of Section 13(c) of this Agreement:</w:t>
      </w:r>
    </w:p>
    <w:p>
      <w:pPr>
        <w:spacing w:after="0" w:line="96" w:lineRule="exact"/>
        <w:rPr>
          <w:rFonts w:ascii="Arial" w:cs="Arial" w:eastAsia="Arial" w:hAnsi="Arial"/>
          <w:sz w:val="18"/>
          <w:szCs w:val="18"/>
          <w:color w:val="auto"/>
        </w:rPr>
      </w:pPr>
    </w:p>
    <w:p>
      <w:pPr>
        <w:ind w:left="900" w:hanging="446"/>
        <w:spacing w:after="0"/>
        <w:tabs>
          <w:tab w:leader="none" w:pos="9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Party A does not appoint a Process Agent.</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1"/>
          <w:numId w:val="156"/>
        </w:numPr>
        <w:rPr>
          <w:rFonts w:ascii="Arial" w:cs="Arial" w:eastAsia="Arial" w:hAnsi="Arial"/>
          <w:sz w:val="18"/>
          <w:szCs w:val="18"/>
          <w:color w:val="auto"/>
        </w:rPr>
      </w:pPr>
      <w:r>
        <w:rPr>
          <w:rFonts w:ascii="Arial" w:cs="Arial" w:eastAsia="Arial" w:hAnsi="Arial"/>
          <w:sz w:val="18"/>
          <w:szCs w:val="18"/>
          <w:color w:val="auto"/>
        </w:rPr>
        <w:t>Party B does not appoint a Process Agent.</w:t>
      </w:r>
    </w:p>
    <w:p>
      <w:pPr>
        <w:spacing w:after="0" w:line="84" w:lineRule="exact"/>
        <w:rPr>
          <w:rFonts w:ascii="Arial" w:cs="Arial" w:eastAsia="Arial" w:hAnsi="Arial"/>
          <w:sz w:val="18"/>
          <w:szCs w:val="18"/>
          <w:color w:val="auto"/>
        </w:rPr>
      </w:pPr>
    </w:p>
    <w:p>
      <w:pPr>
        <w:ind w:left="460" w:hanging="452"/>
        <w:spacing w:after="0"/>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Offices</w:t>
      </w:r>
      <w:r>
        <w:rPr>
          <w:rFonts w:ascii="Arial" w:cs="Arial" w:eastAsia="Arial" w:hAnsi="Arial"/>
          <w:sz w:val="18"/>
          <w:szCs w:val="18"/>
          <w:color w:val="auto"/>
        </w:rPr>
        <w:t>. The provisions of Section 10(a) of this Agreement will apply to Party A and to Party B.</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Multibranch Party</w:t>
      </w:r>
      <w:r>
        <w:rPr>
          <w:rFonts w:ascii="Arial" w:cs="Arial" w:eastAsia="Arial" w:hAnsi="Arial"/>
          <w:sz w:val="18"/>
          <w:szCs w:val="18"/>
          <w:color w:val="auto"/>
        </w:rPr>
        <w:t>. For the purpose of Section 10(c) of this Agreement:</w:t>
      </w:r>
    </w:p>
    <w:p>
      <w:pPr>
        <w:spacing w:after="0" w:line="96" w:lineRule="exact"/>
        <w:rPr>
          <w:rFonts w:ascii="Arial" w:cs="Arial" w:eastAsia="Arial" w:hAnsi="Arial"/>
          <w:sz w:val="18"/>
          <w:szCs w:val="18"/>
          <w:color w:val="auto"/>
        </w:rPr>
      </w:pPr>
    </w:p>
    <w:p>
      <w:pPr>
        <w:ind w:left="460" w:right="3900"/>
        <w:spacing w:after="0" w:line="341" w:lineRule="auto"/>
        <w:rPr>
          <w:rFonts w:ascii="Arial" w:cs="Arial" w:eastAsia="Arial" w:hAnsi="Arial"/>
          <w:sz w:val="18"/>
          <w:szCs w:val="18"/>
          <w:color w:val="auto"/>
        </w:rPr>
      </w:pPr>
      <w:r>
        <w:rPr>
          <w:rFonts w:ascii="Arial" w:cs="Arial" w:eastAsia="Arial" w:hAnsi="Arial"/>
          <w:sz w:val="18"/>
          <w:szCs w:val="18"/>
          <w:color w:val="auto"/>
        </w:rPr>
        <w:t>Party A is a Multibranch Party and will act through the following Offices: New York and London. Party B is not a Multibranch Party.</w:t>
      </w:r>
    </w:p>
    <w:p>
      <w:pPr>
        <w:ind w:left="460" w:hanging="452"/>
        <w:spacing w:after="0" w:line="275" w:lineRule="auto"/>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 xml:space="preserve">“Calculation Agent” </w:t>
      </w:r>
      <w:r>
        <w:rPr>
          <w:rFonts w:ascii="Arial" w:cs="Arial" w:eastAsia="Arial" w:hAnsi="Arial"/>
          <w:sz w:val="18"/>
          <w:szCs w:val="18"/>
          <w:color w:val="auto"/>
        </w:rPr>
        <w:t>means Party A. All calculations and determinations made by the Calculation Agent shall be made in good faith and a commercially</w:t>
      </w:r>
      <w:r>
        <w:rPr>
          <w:rFonts w:ascii="Arial" w:cs="Arial" w:eastAsia="Arial" w:hAnsi="Arial"/>
          <w:sz w:val="18"/>
          <w:szCs w:val="18"/>
          <w:b w:val="1"/>
          <w:bCs w:val="1"/>
          <w:color w:val="auto"/>
        </w:rPr>
        <w:t xml:space="preserve"> </w:t>
      </w:r>
      <w:r>
        <w:rPr>
          <w:rFonts w:ascii="Arial" w:cs="Arial" w:eastAsia="Arial" w:hAnsi="Arial"/>
          <w:sz w:val="18"/>
          <w:szCs w:val="18"/>
          <w:color w:val="auto"/>
        </w:rPr>
        <w:t>reasonable manner.</w:t>
      </w:r>
    </w:p>
    <w:p>
      <w:pPr>
        <w:spacing w:after="0" w:line="38" w:lineRule="exact"/>
        <w:rPr>
          <w:rFonts w:ascii="Arial" w:cs="Arial" w:eastAsia="Arial" w:hAnsi="Arial"/>
          <w:sz w:val="18"/>
          <w:szCs w:val="18"/>
          <w:color w:val="auto"/>
        </w:rPr>
      </w:pPr>
    </w:p>
    <w:p>
      <w:pPr>
        <w:ind w:left="460" w:right="140" w:hanging="452"/>
        <w:spacing w:after="0" w:line="258" w:lineRule="auto"/>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 xml:space="preserve">Credit Support Document. </w:t>
      </w:r>
      <w:r>
        <w:rPr>
          <w:rFonts w:ascii="Arial" w:cs="Arial" w:eastAsia="Arial" w:hAnsi="Arial"/>
          <w:sz w:val="18"/>
          <w:szCs w:val="18"/>
          <w:color w:val="auto"/>
        </w:rPr>
        <w:t>With respect to Party B, any credit support annex, any Confirmation and any other document, any of which by its terms</w:t>
      </w:r>
      <w:r>
        <w:rPr>
          <w:rFonts w:ascii="Arial" w:cs="Arial" w:eastAsia="Arial" w:hAnsi="Arial"/>
          <w:sz w:val="18"/>
          <w:szCs w:val="18"/>
          <w:b w:val="1"/>
          <w:bCs w:val="1"/>
          <w:color w:val="auto"/>
        </w:rPr>
        <w:t xml:space="preserve"> </w:t>
      </w:r>
      <w:r>
        <w:rPr>
          <w:rFonts w:ascii="Arial" w:cs="Arial" w:eastAsia="Arial" w:hAnsi="Arial"/>
          <w:sz w:val="18"/>
          <w:szCs w:val="18"/>
          <w:color w:val="auto"/>
        </w:rPr>
        <w:t>secures, guarantees or otherwise supports such party’s obligations under this Agreement, including, but not limited to, the Credit Agreement and the Collateral Documents, including but not limited to that certain Guarantee and Collateral Agreement and the Mortgages (as such terms are defined in the Credit Agreement),</w:t>
      </w:r>
    </w:p>
    <w:p>
      <w:pPr>
        <w:spacing w:after="0" w:line="55" w:lineRule="exact"/>
        <w:rPr>
          <w:rFonts w:ascii="Arial" w:cs="Arial" w:eastAsia="Arial" w:hAnsi="Arial"/>
          <w:sz w:val="18"/>
          <w:szCs w:val="18"/>
          <w:color w:val="auto"/>
        </w:rPr>
      </w:pPr>
    </w:p>
    <w:p>
      <w:pPr>
        <w:ind w:left="460" w:hanging="452"/>
        <w:spacing w:after="0"/>
        <w:tabs>
          <w:tab w:leader="none" w:pos="460" w:val="left"/>
        </w:tabs>
        <w:numPr>
          <w:ilvl w:val="0"/>
          <w:numId w:val="156"/>
        </w:numPr>
        <w:rPr>
          <w:rFonts w:ascii="Arial" w:cs="Arial" w:eastAsia="Arial" w:hAnsi="Arial"/>
          <w:sz w:val="18"/>
          <w:szCs w:val="18"/>
          <w:color w:val="auto"/>
        </w:rPr>
      </w:pPr>
      <w:r>
        <w:rPr>
          <w:rFonts w:ascii="Arial" w:cs="Arial" w:eastAsia="Arial" w:hAnsi="Arial"/>
          <w:sz w:val="18"/>
          <w:szCs w:val="18"/>
          <w:b w:val="1"/>
          <w:bCs w:val="1"/>
          <w:color w:val="auto"/>
        </w:rPr>
        <w:t xml:space="preserve">Credit Support Provider. </w:t>
      </w:r>
      <w:r>
        <w:rPr>
          <w:rFonts w:ascii="Arial" w:cs="Arial" w:eastAsia="Arial" w:hAnsi="Arial"/>
          <w:sz w:val="18"/>
          <w:szCs w:val="18"/>
          <w:color w:val="auto"/>
        </w:rPr>
        <w:t>With respect to Party B, any party executing or delivering any Credit Support Document.</w:t>
      </w:r>
    </w:p>
    <w:p>
      <w:pPr>
        <w:spacing w:after="0" w:line="1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60"/>
          </w:cols>
          <w:pgMar w:left="240" w:top="274" w:right="399" w:bottom="1440" w:gutter="0" w:footer="0" w:header="0"/>
        </w:sectPr>
      </w:pPr>
    </w:p>
    <w:bookmarkStart w:id="94" w:name="page95"/>
    <w:bookmarkEnd w:id="94"/>
    <w:p>
      <w:pPr>
        <w:ind w:left="452" w:hanging="452"/>
        <w:spacing w:after="0"/>
        <w:tabs>
          <w:tab w:leader="none" w:pos="452"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Governing Law; Jurisdiction. </w:t>
      </w:r>
      <w:r>
        <w:rPr>
          <w:rFonts w:ascii="Arial" w:cs="Arial" w:eastAsia="Arial" w:hAnsi="Arial"/>
          <w:sz w:val="18"/>
          <w:szCs w:val="18"/>
          <w:color w:val="auto"/>
        </w:rPr>
        <w:t>Sections 13(a) and (b) of the Agreement shall be deleted and replaced with the following:</w:t>
      </w:r>
    </w:p>
    <w:p>
      <w:pPr>
        <w:spacing w:after="0" w:line="90" w:lineRule="exact"/>
        <w:rPr>
          <w:rFonts w:ascii="Arial" w:cs="Arial" w:eastAsia="Arial" w:hAnsi="Arial"/>
          <w:sz w:val="18"/>
          <w:szCs w:val="18"/>
          <w:color w:val="auto"/>
        </w:rPr>
      </w:pPr>
    </w:p>
    <w:p>
      <w:pPr>
        <w:ind w:left="452" w:right="48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Governing Law.</w:t>
      </w:r>
      <w:r>
        <w:rPr>
          <w:rFonts w:ascii="Arial" w:cs="Arial" w:eastAsia="Arial" w:hAnsi="Arial"/>
          <w:sz w:val="18"/>
          <w:szCs w:val="18"/>
          <w:color w:val="auto"/>
        </w:rPr>
        <w:t xml:space="preserve"> This Agreement will be governed by and construed in accordance with the laws of the State of New York (without reference to choice of law doctrine other than Sect. 5-1401 of</w:t>
      </w:r>
    </w:p>
    <w:p>
      <w:pPr>
        <w:spacing w:after="0" w:line="1"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the NY General Obligation Law).</w:t>
      </w:r>
    </w:p>
    <w:p>
      <w:pPr>
        <w:spacing w:after="0" w:line="77" w:lineRule="exact"/>
        <w:rPr>
          <w:rFonts w:ascii="Arial" w:cs="Arial" w:eastAsia="Arial" w:hAnsi="Arial"/>
          <w:sz w:val="18"/>
          <w:szCs w:val="18"/>
          <w:color w:val="auto"/>
        </w:rPr>
      </w:pPr>
    </w:p>
    <w:p>
      <w:pPr>
        <w:ind w:left="452" w:right="1200" w:firstLine="4"/>
        <w:spacing w:after="0" w:line="275" w:lineRule="auto"/>
        <w:tabs>
          <w:tab w:leader="none" w:pos="701" w:val="left"/>
        </w:tabs>
        <w:numPr>
          <w:ilvl w:val="1"/>
          <w:numId w:val="157"/>
        </w:numPr>
        <w:rPr>
          <w:rFonts w:ascii="Arial" w:cs="Arial" w:eastAsia="Arial" w:hAnsi="Arial"/>
          <w:sz w:val="18"/>
          <w:szCs w:val="18"/>
          <w:color w:val="auto"/>
        </w:rPr>
      </w:pPr>
      <w:r>
        <w:rPr>
          <w:rFonts w:ascii="Arial" w:cs="Arial" w:eastAsia="Arial" w:hAnsi="Arial"/>
          <w:sz w:val="18"/>
          <w:szCs w:val="18"/>
          <w:b w:val="1"/>
          <w:bCs w:val="1"/>
          <w:color w:val="auto"/>
        </w:rPr>
        <w:t>Jurisdiction</w:t>
      </w:r>
      <w:r>
        <w:rPr>
          <w:rFonts w:ascii="Arial" w:cs="Arial" w:eastAsia="Arial" w:hAnsi="Arial"/>
          <w:sz w:val="18"/>
          <w:szCs w:val="18"/>
          <w:color w:val="auto"/>
        </w:rPr>
        <w:t>. With respect to any suit, action or proceedings relating to any dispute arising out of or in connection with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each party:</w:t>
      </w:r>
    </w:p>
    <w:p>
      <w:pPr>
        <w:spacing w:after="0" w:line="44" w:lineRule="exact"/>
        <w:rPr>
          <w:rFonts w:ascii="Arial" w:cs="Arial" w:eastAsia="Arial" w:hAnsi="Arial"/>
          <w:sz w:val="18"/>
          <w:szCs w:val="18"/>
          <w:color w:val="auto"/>
        </w:rPr>
      </w:pPr>
    </w:p>
    <w:p>
      <w:pPr>
        <w:ind w:left="912" w:right="640" w:firstLine="1"/>
        <w:spacing w:after="0" w:line="268" w:lineRule="auto"/>
        <w:tabs>
          <w:tab w:leader="none" w:pos="1122" w:val="left"/>
        </w:tabs>
        <w:numPr>
          <w:ilvl w:val="2"/>
          <w:numId w:val="157"/>
        </w:numPr>
        <w:rPr>
          <w:rFonts w:ascii="Arial" w:cs="Arial" w:eastAsia="Arial" w:hAnsi="Arial"/>
          <w:sz w:val="18"/>
          <w:szCs w:val="18"/>
          <w:color w:val="auto"/>
        </w:rPr>
      </w:pPr>
      <w:r>
        <w:rPr>
          <w:rFonts w:ascii="Arial" w:cs="Arial" w:eastAsia="Arial" w:hAnsi="Arial"/>
          <w:sz w:val="18"/>
          <w:szCs w:val="18"/>
          <w:color w:val="auto"/>
        </w:rPr>
        <w:t>irrevocably submits to the exclusive jurisdiction of the courts of the State of New York and the United States District Court located in the Borough of Manhattan in New York City of the State of New York; and</w:t>
      </w:r>
    </w:p>
    <w:p>
      <w:pPr>
        <w:spacing w:after="0" w:line="50" w:lineRule="exact"/>
        <w:rPr>
          <w:rFonts w:ascii="Arial" w:cs="Arial" w:eastAsia="Arial" w:hAnsi="Arial"/>
          <w:sz w:val="18"/>
          <w:szCs w:val="18"/>
          <w:color w:val="auto"/>
        </w:rPr>
      </w:pPr>
    </w:p>
    <w:p>
      <w:pPr>
        <w:ind w:left="912" w:right="180" w:firstLine="1"/>
        <w:spacing w:after="0" w:line="259" w:lineRule="auto"/>
        <w:tabs>
          <w:tab w:leader="none" w:pos="1170" w:val="left"/>
        </w:tabs>
        <w:numPr>
          <w:ilvl w:val="2"/>
          <w:numId w:val="157"/>
        </w:numPr>
        <w:rPr>
          <w:rFonts w:ascii="Arial" w:cs="Arial" w:eastAsia="Arial" w:hAnsi="Arial"/>
          <w:sz w:val="18"/>
          <w:szCs w:val="18"/>
          <w:color w:val="auto"/>
        </w:rPr>
      </w:pPr>
      <w:r>
        <w:rPr>
          <w:rFonts w:ascii="Arial" w:cs="Arial" w:eastAsia="Arial" w:hAnsi="Arial"/>
          <w:sz w:val="18"/>
          <w:szCs w:val="18"/>
          <w:color w:val="auto"/>
        </w:rPr>
        <w:t>waives any objection which it may have at any time to the laying of venue of any Proceedings brought in any such court, waives any claim that such Proceedings have been brought in an inconvenient forum and further waives the right to object, with respect to such Proceedings, that such court does not have any jurisdiction over such party.”</w:t>
      </w:r>
    </w:p>
    <w:p>
      <w:pPr>
        <w:spacing w:after="0" w:line="59" w:lineRule="exact"/>
        <w:rPr>
          <w:rFonts w:ascii="Arial" w:cs="Arial" w:eastAsia="Arial" w:hAnsi="Arial"/>
          <w:sz w:val="18"/>
          <w:szCs w:val="18"/>
          <w:color w:val="auto"/>
        </w:rPr>
      </w:pPr>
    </w:p>
    <w:p>
      <w:pPr>
        <w:ind w:left="452" w:right="780" w:hanging="452"/>
        <w:spacing w:after="0" w:line="268" w:lineRule="auto"/>
        <w:tabs>
          <w:tab w:leader="none" w:pos="45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Waiver of Jury Trial. Each party waives, to the fullest extent permitted by applicable law, any right it may have to a trial by jury in respect of any Proceedings relating to this Agreement or any Credit Support Document.</w:t>
      </w:r>
    </w:p>
    <w:p>
      <w:pPr>
        <w:spacing w:after="0" w:line="44" w:lineRule="exact"/>
        <w:rPr>
          <w:rFonts w:ascii="Arial" w:cs="Arial" w:eastAsia="Arial" w:hAnsi="Arial"/>
          <w:sz w:val="18"/>
          <w:szCs w:val="18"/>
          <w:color w:val="auto"/>
        </w:rPr>
      </w:pPr>
    </w:p>
    <w:p>
      <w:pPr>
        <w:ind w:left="452" w:hanging="452"/>
        <w:spacing w:after="0"/>
        <w:tabs>
          <w:tab w:leader="none" w:pos="452"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 xml:space="preserve">Netting of Payments. </w:t>
      </w:r>
      <w:r>
        <w:rPr>
          <w:rFonts w:ascii="Arial" w:cs="Arial" w:eastAsia="Arial" w:hAnsi="Arial"/>
          <w:sz w:val="18"/>
          <w:szCs w:val="18"/>
          <w:color w:val="auto"/>
        </w:rPr>
        <w:t>Subparagraph (ii) of Section 2(c) of this Agreement will not apply to all Transactions under this Agreement.</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15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xml:space="preserve"> has the meaning specified in Section 14 of this Agreement.</w:t>
      </w:r>
    </w:p>
    <w:p>
      <w:pPr>
        <w:spacing w:after="0" w:line="90" w:lineRule="exact"/>
        <w:rPr>
          <w:rFonts w:ascii="Arial" w:cs="Arial" w:eastAsia="Arial" w:hAnsi="Arial"/>
          <w:sz w:val="18"/>
          <w:szCs w:val="18"/>
          <w:color w:val="auto"/>
        </w:rPr>
      </w:pPr>
    </w:p>
    <w:p>
      <w:pPr>
        <w:ind w:left="452" w:right="120" w:hanging="452"/>
        <w:spacing w:after="0" w:line="275" w:lineRule="auto"/>
        <w:tabs>
          <w:tab w:leader="none" w:pos="452"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 xml:space="preserve">Absence of Litigation. </w:t>
      </w:r>
      <w:r>
        <w:rPr>
          <w:rFonts w:ascii="Arial" w:cs="Arial" w:eastAsia="Arial" w:hAnsi="Arial"/>
          <w:sz w:val="18"/>
          <w:szCs w:val="18"/>
          <w:color w:val="auto"/>
        </w:rPr>
        <w:t>For the purpose of Section 3(c) of this Agreement, “Affiliates” shall mean (i) all Affiliates, in relation to Party A, and (ii) 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CineMedia, Inc. only, in relation to Party B.</w:t>
      </w:r>
    </w:p>
    <w:p>
      <w:pPr>
        <w:spacing w:after="0" w:line="38" w:lineRule="exact"/>
        <w:rPr>
          <w:rFonts w:ascii="Arial" w:cs="Arial" w:eastAsia="Arial" w:hAnsi="Arial"/>
          <w:sz w:val="18"/>
          <w:szCs w:val="18"/>
          <w:color w:val="auto"/>
        </w:rPr>
      </w:pPr>
    </w:p>
    <w:p>
      <w:pPr>
        <w:ind w:left="452" w:right="920" w:hanging="452"/>
        <w:spacing w:after="0" w:line="275" w:lineRule="auto"/>
        <w:tabs>
          <w:tab w:leader="none" w:pos="452" w:val="left"/>
        </w:tabs>
        <w:numPr>
          <w:ilvl w:val="0"/>
          <w:numId w:val="157"/>
        </w:numPr>
        <w:rPr>
          <w:rFonts w:ascii="Arial" w:cs="Arial" w:eastAsia="Arial" w:hAnsi="Arial"/>
          <w:sz w:val="18"/>
          <w:szCs w:val="18"/>
          <w:color w:val="auto"/>
        </w:rPr>
      </w:pPr>
      <w:r>
        <w:rPr>
          <w:rFonts w:ascii="Arial" w:cs="Arial" w:eastAsia="Arial" w:hAnsi="Arial"/>
          <w:sz w:val="18"/>
          <w:szCs w:val="18"/>
          <w:b w:val="1"/>
          <w:bCs w:val="1"/>
          <w:color w:val="auto"/>
        </w:rPr>
        <w:t xml:space="preserve">Additional Representation </w:t>
      </w:r>
      <w:r>
        <w:rPr>
          <w:rFonts w:ascii="Arial" w:cs="Arial" w:eastAsia="Arial" w:hAnsi="Arial"/>
          <w:sz w:val="18"/>
          <w:szCs w:val="18"/>
          <w:color w:val="auto"/>
        </w:rPr>
        <w:t>will apply. For the purpose of Section 3 of this Agreement the following Section 3(h) will constitute an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w:t>
      </w:r>
    </w:p>
    <w:p>
      <w:pPr>
        <w:spacing w:after="0" w:line="39" w:lineRule="exact"/>
        <w:rPr>
          <w:sz w:val="20"/>
          <w:szCs w:val="20"/>
          <w:color w:val="auto"/>
        </w:rPr>
      </w:pPr>
    </w:p>
    <w:p>
      <w:pPr>
        <w:ind w:left="452" w:right="80"/>
        <w:spacing w:after="0" w:line="334" w:lineRule="auto"/>
        <w:rPr>
          <w:sz w:val="20"/>
          <w:szCs w:val="20"/>
          <w:color w:val="auto"/>
        </w:rPr>
      </w:pPr>
      <w:r>
        <w:rPr>
          <w:rFonts w:ascii="Arial" w:cs="Arial" w:eastAsia="Arial" w:hAnsi="Arial"/>
          <w:sz w:val="16"/>
          <w:szCs w:val="16"/>
          <w:color w:val="auto"/>
        </w:rPr>
        <w:t xml:space="preserve">“(h) </w:t>
      </w:r>
      <w:r>
        <w:rPr>
          <w:rFonts w:ascii="Arial" w:cs="Arial" w:eastAsia="Arial" w:hAnsi="Arial"/>
          <w:sz w:val="16"/>
          <w:szCs w:val="16"/>
          <w:b w:val="1"/>
          <w:bCs w:val="1"/>
          <w:color w:val="auto"/>
        </w:rPr>
        <w:t>Relationship Between Parties.</w:t>
      </w:r>
      <w:r>
        <w:rPr>
          <w:rFonts w:ascii="Arial" w:cs="Arial" w:eastAsia="Arial" w:hAnsi="Arial"/>
          <w:sz w:val="16"/>
          <w:szCs w:val="16"/>
          <w:color w:val="auto"/>
        </w:rPr>
        <w:t xml:space="preserve"> Each party will be deemed to represent to the other party on the date on which it enters into a Transaction that (absent a written agreement between the parties that expressly imposes affirmative obligations to the contrary for that Transaction):</w:t>
      </w:r>
    </w:p>
    <w:p>
      <w:pPr>
        <w:spacing w:after="0" w:line="1" w:lineRule="exact"/>
        <w:rPr>
          <w:sz w:val="20"/>
          <w:szCs w:val="20"/>
          <w:color w:val="auto"/>
        </w:rPr>
      </w:pPr>
    </w:p>
    <w:p>
      <w:pPr>
        <w:ind w:left="912" w:firstLine="1"/>
        <w:spacing w:after="0" w:line="293" w:lineRule="auto"/>
        <w:tabs>
          <w:tab w:leader="none" w:pos="1160" w:val="left"/>
        </w:tabs>
        <w:numPr>
          <w:ilvl w:val="0"/>
          <w:numId w:val="158"/>
        </w:numPr>
        <w:rPr>
          <w:rFonts w:ascii="Arial" w:cs="Arial" w:eastAsia="Arial" w:hAnsi="Arial"/>
          <w:sz w:val="16"/>
          <w:szCs w:val="16"/>
          <w:color w:val="auto"/>
        </w:rPr>
      </w:pPr>
      <w:r>
        <w:rPr>
          <w:rFonts w:ascii="Arial" w:cs="Arial" w:eastAsia="Arial" w:hAnsi="Arial"/>
          <w:sz w:val="16"/>
          <w:szCs w:val="16"/>
          <w:b w:val="1"/>
          <w:bCs w:val="1"/>
          <w:color w:val="auto"/>
        </w:rPr>
        <w:t xml:space="preserve">Non-Reliance. </w:t>
      </w:r>
      <w:r>
        <w:rPr>
          <w:rFonts w:ascii="Arial" w:cs="Arial" w:eastAsia="Arial" w:hAnsi="Arial"/>
          <w:sz w:val="16"/>
          <w:szCs w:val="16"/>
          <w:color w:val="auto"/>
        </w:rPr>
        <w:t>It is acting for its own account, and it has made its own independent decisions to enter into that Transaction and as to whether that</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is appropriate or proper for it based upon its own judgment and upon advice from such advisers as it has deemed necessary. It is not relying on any communication (written or oral) of the other party as investment advice or as a recommendation to enter into that Transaction; it being understood that information and explanations related to the terms and conditions of a Transaction shall not be considered investment advice or a recommendation to enter into that Transaction. No communication (written or oral) received from the other party shall be deemed to be an assurance or guarantee as to the expected results of that Transaction.</w:t>
      </w:r>
    </w:p>
    <w:p>
      <w:pPr>
        <w:spacing w:after="0" w:line="29" w:lineRule="exact"/>
        <w:rPr>
          <w:rFonts w:ascii="Arial" w:cs="Arial" w:eastAsia="Arial" w:hAnsi="Arial"/>
          <w:sz w:val="16"/>
          <w:szCs w:val="16"/>
          <w:color w:val="auto"/>
        </w:rPr>
      </w:pPr>
    </w:p>
    <w:p>
      <w:pPr>
        <w:ind w:left="912" w:right="240" w:firstLine="1"/>
        <w:spacing w:after="0" w:line="262" w:lineRule="auto"/>
        <w:tabs>
          <w:tab w:leader="none" w:pos="1160"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 xml:space="preserve">Assessment and Understanding. </w:t>
      </w:r>
      <w:r>
        <w:rPr>
          <w:rFonts w:ascii="Arial" w:cs="Arial" w:eastAsia="Arial" w:hAnsi="Arial"/>
          <w:sz w:val="18"/>
          <w:szCs w:val="18"/>
          <w:color w:val="auto"/>
        </w:rPr>
        <w:t>It is capable of assessing the merits of and understanding (on its own behalf or through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 advice), and understands and accepts, the terms, conditions and risks of that Transaction. It is also capable of assuming, and assumes, the risks of that Transaction.</w:t>
      </w:r>
    </w:p>
    <w:p>
      <w:pPr>
        <w:spacing w:after="0" w:line="51" w:lineRule="exact"/>
        <w:rPr>
          <w:rFonts w:ascii="Arial" w:cs="Arial" w:eastAsia="Arial" w:hAnsi="Arial"/>
          <w:sz w:val="18"/>
          <w:szCs w:val="18"/>
          <w:color w:val="auto"/>
        </w:rPr>
      </w:pPr>
    </w:p>
    <w:p>
      <w:pPr>
        <w:ind w:left="1152" w:hanging="239"/>
        <w:spacing w:after="0"/>
        <w:tabs>
          <w:tab w:leader="none" w:pos="1152" w:val="left"/>
        </w:tabs>
        <w:numPr>
          <w:ilvl w:val="0"/>
          <w:numId w:val="158"/>
        </w:numPr>
        <w:rPr>
          <w:rFonts w:ascii="Arial" w:cs="Arial" w:eastAsia="Arial" w:hAnsi="Arial"/>
          <w:sz w:val="18"/>
          <w:szCs w:val="18"/>
          <w:color w:val="auto"/>
        </w:rPr>
      </w:pPr>
      <w:r>
        <w:rPr>
          <w:rFonts w:ascii="Arial" w:cs="Arial" w:eastAsia="Arial" w:hAnsi="Arial"/>
          <w:sz w:val="18"/>
          <w:szCs w:val="18"/>
          <w:b w:val="1"/>
          <w:bCs w:val="1"/>
          <w:color w:val="auto"/>
        </w:rPr>
        <w:t xml:space="preserve">Status of Parties. </w:t>
      </w:r>
      <w:r>
        <w:rPr>
          <w:rFonts w:ascii="Arial" w:cs="Arial" w:eastAsia="Arial" w:hAnsi="Arial"/>
          <w:sz w:val="18"/>
          <w:szCs w:val="18"/>
          <w:color w:val="auto"/>
        </w:rPr>
        <w:t>The other party is not acting as a fiduciary for or an adviser to it in respect of that Transaction.”</w:t>
      </w:r>
    </w:p>
    <w:p>
      <w:pPr>
        <w:spacing w:after="0" w:line="16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12"/>
          </w:cols>
          <w:pgMar w:left="248" w:top="274" w:right="239" w:bottom="1440" w:gutter="0" w:footer="0" w:header="0"/>
        </w:sectPr>
      </w:pPr>
    </w:p>
    <w:bookmarkStart w:id="95" w:name="page96"/>
    <w:bookmarkEnd w:id="95"/>
    <w:p>
      <w:pPr>
        <w:ind w:left="452" w:right="280" w:firstLine="4"/>
        <w:spacing w:after="0" w:line="334" w:lineRule="auto"/>
        <w:tabs>
          <w:tab w:leader="none" w:pos="662" w:val="left"/>
        </w:tabs>
        <w:numPr>
          <w:ilvl w:val="1"/>
          <w:numId w:val="159"/>
        </w:numPr>
        <w:rPr>
          <w:rFonts w:ascii="Arial" w:cs="Arial" w:eastAsia="Arial" w:hAnsi="Arial"/>
          <w:sz w:val="16"/>
          <w:szCs w:val="16"/>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Non-Agency. </w:t>
      </w:r>
      <w:r>
        <w:rPr>
          <w:rFonts w:ascii="Arial" w:cs="Arial" w:eastAsia="Arial" w:hAnsi="Arial"/>
          <w:sz w:val="16"/>
          <w:szCs w:val="16"/>
          <w:color w:val="auto"/>
        </w:rPr>
        <w:t>It is entering into this Agreement, any Credit Support Document to which it is a party, each Transaction and any other documentation</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this Agreement or any Transaction as principal (and not as agent or in any other capacity, fiduciary or otherwise).</w:t>
      </w:r>
    </w:p>
    <w:p>
      <w:pPr>
        <w:spacing w:after="0" w:line="1" w:lineRule="exact"/>
        <w:rPr>
          <w:rFonts w:ascii="Arial" w:cs="Arial" w:eastAsia="Arial" w:hAnsi="Arial"/>
          <w:sz w:val="16"/>
          <w:szCs w:val="16"/>
          <w:color w:val="auto"/>
        </w:rPr>
      </w:pPr>
    </w:p>
    <w:p>
      <w:pPr>
        <w:ind w:left="452" w:right="20" w:hanging="452"/>
        <w:spacing w:after="0" w:line="258" w:lineRule="auto"/>
        <w:tabs>
          <w:tab w:leader="none" w:pos="452" w:val="left"/>
        </w:tabs>
        <w:numPr>
          <w:ilvl w:val="0"/>
          <w:numId w:val="160"/>
        </w:numPr>
        <w:rPr>
          <w:rFonts w:ascii="Arial" w:cs="Arial" w:eastAsia="Arial" w:hAnsi="Arial"/>
          <w:sz w:val="18"/>
          <w:szCs w:val="18"/>
          <w:color w:val="auto"/>
        </w:rPr>
      </w:pPr>
      <w:r>
        <w:rPr>
          <w:rFonts w:ascii="Arial" w:cs="Arial" w:eastAsia="Arial" w:hAnsi="Arial"/>
          <w:sz w:val="18"/>
          <w:szCs w:val="18"/>
          <w:b w:val="1"/>
          <w:bCs w:val="1"/>
          <w:color w:val="auto"/>
        </w:rPr>
        <w:t>Recording of Conversations</w:t>
      </w:r>
      <w:r>
        <w:rPr>
          <w:rFonts w:ascii="Arial" w:cs="Arial" w:eastAsia="Arial" w:hAnsi="Arial"/>
          <w:sz w:val="18"/>
          <w:szCs w:val="18"/>
          <w:color w:val="auto"/>
        </w:rPr>
        <w:t>. Each party (i) consents to the recording of telephone conversations between the trading, marketing and other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personnel of the parties in connection with this Agreement or any potential Transaction, (ii) agrees to obtain any necessary consent of, and give any necessary notice of such recording to, its relevant personnel and (iii) agrees, to the extent permitted by applicable law, that recordings may be submitted in evidence in any Proceedings.</w:t>
      </w:r>
    </w:p>
    <w:p>
      <w:pPr>
        <w:spacing w:after="0" w:line="55" w:lineRule="exact"/>
        <w:rPr>
          <w:rFonts w:ascii="Arial" w:cs="Arial" w:eastAsia="Arial" w:hAnsi="Arial"/>
          <w:sz w:val="18"/>
          <w:szCs w:val="18"/>
          <w:color w:val="auto"/>
        </w:rPr>
      </w:pPr>
    </w:p>
    <w:p>
      <w:pPr>
        <w:ind w:left="452" w:hanging="452"/>
        <w:spacing w:after="0" w:line="339" w:lineRule="auto"/>
        <w:tabs>
          <w:tab w:leader="none" w:pos="452" w:val="left"/>
        </w:tabs>
        <w:numPr>
          <w:ilvl w:val="0"/>
          <w:numId w:val="160"/>
        </w:numPr>
        <w:rPr>
          <w:rFonts w:ascii="Arial" w:cs="Arial" w:eastAsia="Arial" w:hAnsi="Arial"/>
          <w:sz w:val="16"/>
          <w:szCs w:val="16"/>
          <w:color w:val="auto"/>
        </w:rPr>
      </w:pPr>
      <w:r>
        <w:rPr>
          <w:rFonts w:ascii="Arial" w:cs="Arial" w:eastAsia="Arial" w:hAnsi="Arial"/>
          <w:sz w:val="16"/>
          <w:szCs w:val="16"/>
          <w:b w:val="1"/>
          <w:bCs w:val="1"/>
          <w:u w:val="single" w:color="auto"/>
          <w:color w:val="auto"/>
        </w:rPr>
        <w:t>Accuracy of Specified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3(d) is hereby amended by adding in the third line thereof after the word “respect” and before the period, the</w:t>
      </w:r>
      <w:r>
        <w:rPr>
          <w:rFonts w:ascii="Arial" w:cs="Arial" w:eastAsia="Arial" w:hAnsi="Arial"/>
          <w:sz w:val="16"/>
          <w:szCs w:val="16"/>
          <w:b w:val="1"/>
          <w:bCs w:val="1"/>
          <w:color w:val="auto"/>
        </w:rPr>
        <w:t xml:space="preserve"> </w:t>
      </w:r>
      <w:r>
        <w:rPr>
          <w:rFonts w:ascii="Arial" w:cs="Arial" w:eastAsia="Arial" w:hAnsi="Arial"/>
          <w:sz w:val="16"/>
          <w:szCs w:val="16"/>
          <w:color w:val="auto"/>
        </w:rPr>
        <w:t>phrase “or, in the case of audited or unaudited financial statements, a fair presentation of the financial condition of the relevant person.”</w:t>
      </w:r>
    </w:p>
    <w:p>
      <w:pPr>
        <w:spacing w:after="0" w:line="67"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12"/>
          </w:cols>
          <w:pgMar w:left="248" w:top="274"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Part 5. </w:t>
      </w:r>
      <w:r>
        <w:rPr>
          <w:rFonts w:ascii="Arial" w:cs="Arial" w:eastAsia="Arial" w:hAnsi="Arial"/>
          <w:sz w:val="18"/>
          <w:szCs w:val="18"/>
          <w:b w:val="1"/>
          <w:bCs w:val="1"/>
          <w:u w:val="single" w:color="auto"/>
          <w:color w:val="auto"/>
        </w:rPr>
        <w:t>Other Provisions</w:t>
      </w:r>
      <w:r>
        <w:rPr>
          <w:rFonts w:ascii="Arial" w:cs="Arial" w:eastAsia="Arial" w:hAnsi="Arial"/>
          <w:sz w:val="18"/>
          <w:szCs w:val="18"/>
          <w:b w:val="1"/>
          <w:bCs w:val="1"/>
          <w:color w:val="auto"/>
        </w:rPr>
        <w:t>.</w:t>
      </w:r>
    </w:p>
    <w:p>
      <w:pPr>
        <w:spacing w:after="0" w:line="90" w:lineRule="exact"/>
        <w:rPr>
          <w:sz w:val="20"/>
          <w:szCs w:val="20"/>
          <w:color w:val="auto"/>
        </w:rPr>
      </w:pPr>
    </w:p>
    <w:p>
      <w:pPr>
        <w:ind w:left="460" w:right="200" w:hanging="452"/>
        <w:spacing w:after="0" w:line="275" w:lineRule="auto"/>
        <w:tabs>
          <w:tab w:leader="none" w:pos="460" w:val="left"/>
        </w:tabs>
        <w:numPr>
          <w:ilvl w:val="0"/>
          <w:numId w:val="161"/>
        </w:numPr>
        <w:rPr>
          <w:rFonts w:ascii="Arial" w:cs="Arial" w:eastAsia="Arial" w:hAnsi="Arial"/>
          <w:sz w:val="18"/>
          <w:szCs w:val="18"/>
          <w:color w:val="auto"/>
        </w:rPr>
      </w:pPr>
      <w:r>
        <w:rPr>
          <w:rFonts w:ascii="Arial" w:cs="Arial" w:eastAsia="Arial" w:hAnsi="Arial"/>
          <w:sz w:val="18"/>
          <w:szCs w:val="18"/>
          <w:b w:val="1"/>
          <w:bCs w:val="1"/>
          <w:color w:val="auto"/>
        </w:rPr>
        <w:t xml:space="preserve">Additional Representations. </w:t>
      </w:r>
      <w:r>
        <w:rPr>
          <w:rFonts w:ascii="Arial" w:cs="Arial" w:eastAsia="Arial" w:hAnsi="Arial"/>
          <w:sz w:val="18"/>
          <w:szCs w:val="18"/>
          <w:color w:val="auto"/>
        </w:rPr>
        <w:t>In addition to the provisions addressed above in Part 4 of the Schedule, Section 3 of this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adding at the end thereof the following sub-paragraphs:</w:t>
      </w:r>
    </w:p>
    <w:p>
      <w:pPr>
        <w:spacing w:after="0" w:line="39" w:lineRule="exact"/>
        <w:rPr>
          <w:sz w:val="20"/>
          <w:szCs w:val="20"/>
          <w:color w:val="auto"/>
        </w:rPr>
      </w:pPr>
    </w:p>
    <w:p>
      <w:pPr>
        <w:ind w:left="920" w:right="480"/>
        <w:spacing w:after="0" w:line="275"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Eligible Contract Participant.</w:t>
      </w:r>
      <w:r>
        <w:rPr>
          <w:rFonts w:ascii="Arial" w:cs="Arial" w:eastAsia="Arial" w:hAnsi="Arial"/>
          <w:sz w:val="18"/>
          <w:szCs w:val="18"/>
          <w:color w:val="auto"/>
        </w:rPr>
        <w:t xml:space="preserve"> It is an “Eligible Contract Participant” as defined in Section 1(a)(12) of the Commodity Exchange Act, as amended.</w:t>
      </w:r>
    </w:p>
    <w:p>
      <w:pPr>
        <w:spacing w:after="0" w:line="39" w:lineRule="exact"/>
        <w:rPr>
          <w:sz w:val="20"/>
          <w:szCs w:val="20"/>
          <w:color w:val="auto"/>
        </w:rPr>
      </w:pPr>
    </w:p>
    <w:p>
      <w:pPr>
        <w:ind w:left="920" w:firstLine="1"/>
        <w:spacing w:after="0" w:line="291" w:lineRule="auto"/>
        <w:tabs>
          <w:tab w:leader="none" w:pos="1129" w:val="left"/>
        </w:tabs>
        <w:numPr>
          <w:ilvl w:val="2"/>
          <w:numId w:val="162"/>
        </w:numPr>
        <w:rPr>
          <w:rFonts w:ascii="Arial" w:cs="Arial" w:eastAsia="Arial" w:hAnsi="Arial"/>
          <w:sz w:val="16"/>
          <w:szCs w:val="16"/>
          <w:color w:val="auto"/>
        </w:rPr>
      </w:pPr>
      <w:r>
        <w:rPr>
          <w:rFonts w:ascii="Arial" w:cs="Arial" w:eastAsia="Arial" w:hAnsi="Arial"/>
          <w:sz w:val="16"/>
          <w:szCs w:val="16"/>
          <w:b w:val="1"/>
          <w:bCs w:val="1"/>
          <w:color w:val="auto"/>
        </w:rPr>
        <w:t xml:space="preserve">Non-ERISA Representation. </w:t>
      </w:r>
      <w:r>
        <w:rPr>
          <w:rFonts w:ascii="Arial" w:cs="Arial" w:eastAsia="Arial" w:hAnsi="Arial"/>
          <w:sz w:val="16"/>
          <w:szCs w:val="16"/>
          <w:color w:val="auto"/>
        </w:rPr>
        <w:t>It continuously represents that it is not (i) an employee benefit plan (hereinafter an “ERISA Plan”), as defined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3(3) of the Employee Retirement Income Security Act of 1974, as amended (“ERISA”), subject to Title I of ERISA or a plan subject to Section 4975 of the Internal Revenue Code of 1986, as amended, or subject to any other statute, regulation, procedure or restriction that is materially similar to Section 406 of ERISA or Section 4975 of the Code (together with ERISA Plans, “Plans”), (ii) a person any of the assets of whom constitute assets of a Plan, or (iii) in connection with any Transaction under this Agreement, a person acting on behalf of a Plan, or using the assets of a Plan. It will provide notice to the other party in the event that it is aware that it is in breach of any aspect of this representation or is aware that with the passing of time, giving of notice or expiry of any applicable grace period it will breach this representation.”</w:t>
      </w:r>
    </w:p>
    <w:p>
      <w:pPr>
        <w:spacing w:after="0" w:line="32" w:lineRule="exact"/>
        <w:rPr>
          <w:rFonts w:ascii="Arial" w:cs="Arial" w:eastAsia="Arial" w:hAnsi="Arial"/>
          <w:sz w:val="16"/>
          <w:szCs w:val="16"/>
          <w:color w:val="auto"/>
        </w:rPr>
      </w:pPr>
    </w:p>
    <w:p>
      <w:pPr>
        <w:ind w:left="460" w:right="40" w:hanging="452"/>
        <w:spacing w:after="0" w:line="291" w:lineRule="auto"/>
        <w:tabs>
          <w:tab w:leader="none" w:pos="460" w:val="left"/>
        </w:tabs>
        <w:numPr>
          <w:ilvl w:val="0"/>
          <w:numId w:val="163"/>
        </w:numPr>
        <w:rPr>
          <w:rFonts w:ascii="Arial" w:cs="Arial" w:eastAsia="Arial" w:hAnsi="Arial"/>
          <w:sz w:val="16"/>
          <w:szCs w:val="16"/>
          <w:color w:val="auto"/>
        </w:rPr>
      </w:pPr>
      <w:r>
        <w:rPr>
          <w:rFonts w:ascii="Arial" w:cs="Arial" w:eastAsia="Arial" w:hAnsi="Arial"/>
          <w:sz w:val="16"/>
          <w:szCs w:val="16"/>
          <w:b w:val="1"/>
          <w:bCs w:val="1"/>
          <w:color w:val="auto"/>
        </w:rPr>
        <w:t xml:space="preserve">Set-Off. </w:t>
      </w:r>
      <w:r>
        <w:rPr>
          <w:rFonts w:ascii="Arial" w:cs="Arial" w:eastAsia="Arial" w:hAnsi="Arial"/>
          <w:sz w:val="16"/>
          <w:szCs w:val="16"/>
          <w:color w:val="auto"/>
        </w:rPr>
        <w:t>(i) In addition to any rights of set-off a party may have as a matter of law or otherwise, upon the occurrence of an Event of Default with respect to</w:t>
      </w:r>
      <w:r>
        <w:rPr>
          <w:rFonts w:ascii="Arial" w:cs="Arial" w:eastAsia="Arial" w:hAnsi="Arial"/>
          <w:sz w:val="16"/>
          <w:szCs w:val="16"/>
          <w:b w:val="1"/>
          <w:bCs w:val="1"/>
          <w:color w:val="auto"/>
        </w:rPr>
        <w:t xml:space="preserve"> </w:t>
      </w:r>
      <w:r>
        <w:rPr>
          <w:rFonts w:ascii="Arial" w:cs="Arial" w:eastAsia="Arial" w:hAnsi="Arial"/>
          <w:sz w:val="16"/>
          <w:szCs w:val="16"/>
          <w:color w:val="auto"/>
        </w:rPr>
        <w:t>Party (“X”) hereof (or a provision analogous thereto) or where there is one Affected Party in the case where either a Credit Event Upon Merger has occurred, or any Additional Termination Event where X is the sole Affected Party, the other party (“Y”) shall have the right (but shall not be obliged) without prior notice to X or any other person to set off any obligation of X owing to Y or any Affiliate of Y (whether or not arising under this Agreement, whether or not matured, whether or not contingent and regardless of the currency, place of payment or booking office of the obligation) against any obligations of Y or any Affiliate of Y owing to X (whether or not arising under this Agreement, whether or not matured, whether or not contingent and regardless of the currency, place of payment or booking office of the obligation).</w:t>
      </w:r>
    </w:p>
    <w:p>
      <w:pPr>
        <w:spacing w:after="0" w:line="38" w:lineRule="exact"/>
        <w:rPr>
          <w:rFonts w:ascii="Arial" w:cs="Arial" w:eastAsia="Arial" w:hAnsi="Arial"/>
          <w:sz w:val="16"/>
          <w:szCs w:val="16"/>
          <w:color w:val="auto"/>
        </w:rPr>
      </w:pPr>
    </w:p>
    <w:p>
      <w:pPr>
        <w:ind w:left="720" w:hanging="256"/>
        <w:spacing w:after="0"/>
        <w:tabs>
          <w:tab w:leader="none" w:pos="720" w:val="left"/>
        </w:tabs>
        <w:numPr>
          <w:ilvl w:val="1"/>
          <w:numId w:val="163"/>
        </w:numPr>
        <w:rPr>
          <w:rFonts w:ascii="Arial" w:cs="Arial" w:eastAsia="Arial" w:hAnsi="Arial"/>
          <w:sz w:val="18"/>
          <w:szCs w:val="18"/>
          <w:color w:val="auto"/>
        </w:rPr>
      </w:pPr>
      <w:r>
        <w:rPr>
          <w:rFonts w:ascii="Arial" w:cs="Arial" w:eastAsia="Arial" w:hAnsi="Arial"/>
          <w:sz w:val="18"/>
          <w:szCs w:val="18"/>
          <w:color w:val="auto"/>
        </w:rPr>
        <w:t>For the purpose of cross-currency set off, Y may convert any obligation to another currency at a market rate determined by Y.</w:t>
      </w:r>
    </w:p>
    <w:p>
      <w:pPr>
        <w:spacing w:after="0" w:line="90" w:lineRule="exact"/>
        <w:rPr>
          <w:rFonts w:ascii="Arial" w:cs="Arial" w:eastAsia="Arial" w:hAnsi="Arial"/>
          <w:sz w:val="18"/>
          <w:szCs w:val="18"/>
          <w:color w:val="auto"/>
        </w:rPr>
      </w:pPr>
    </w:p>
    <w:p>
      <w:pPr>
        <w:ind w:left="460" w:right="460" w:firstLine="4"/>
        <w:spacing w:after="0" w:line="268" w:lineRule="auto"/>
        <w:tabs>
          <w:tab w:leader="none" w:pos="767" w:val="left"/>
        </w:tabs>
        <w:numPr>
          <w:ilvl w:val="1"/>
          <w:numId w:val="163"/>
        </w:numPr>
        <w:rPr>
          <w:rFonts w:ascii="Arial" w:cs="Arial" w:eastAsia="Arial" w:hAnsi="Arial"/>
          <w:sz w:val="18"/>
          <w:szCs w:val="18"/>
          <w:color w:val="auto"/>
        </w:rPr>
      </w:pPr>
      <w:r>
        <w:rPr>
          <w:rFonts w:ascii="Arial" w:cs="Arial" w:eastAsia="Arial" w:hAnsi="Arial"/>
          <w:sz w:val="18"/>
          <w:szCs w:val="18"/>
          <w:color w:val="auto"/>
        </w:rPr>
        <w:t>If any obligation is unascertained, Y may in good faith estimate that obligation and set off in respect of the estimate, subject to the relevant party accounting to the other when the obligation is ascertained.</w:t>
      </w:r>
    </w:p>
    <w:p>
      <w:pPr>
        <w:spacing w:after="0" w:line="50" w:lineRule="exact"/>
        <w:rPr>
          <w:rFonts w:ascii="Arial" w:cs="Arial" w:eastAsia="Arial" w:hAnsi="Arial"/>
          <w:sz w:val="18"/>
          <w:szCs w:val="18"/>
          <w:color w:val="auto"/>
        </w:rPr>
      </w:pPr>
    </w:p>
    <w:p>
      <w:pPr>
        <w:ind w:left="460" w:right="140" w:firstLine="4"/>
        <w:spacing w:after="0" w:line="259" w:lineRule="auto"/>
        <w:tabs>
          <w:tab w:leader="none" w:pos="757" w:val="left"/>
        </w:tabs>
        <w:numPr>
          <w:ilvl w:val="1"/>
          <w:numId w:val="163"/>
        </w:numPr>
        <w:rPr>
          <w:rFonts w:ascii="Arial" w:cs="Arial" w:eastAsia="Arial" w:hAnsi="Arial"/>
          <w:sz w:val="18"/>
          <w:szCs w:val="18"/>
          <w:color w:val="auto"/>
        </w:rPr>
      </w:pPr>
      <w:r>
        <w:rPr>
          <w:rFonts w:ascii="Arial" w:cs="Arial" w:eastAsia="Arial" w:hAnsi="Arial"/>
          <w:sz w:val="18"/>
          <w:szCs w:val="18"/>
          <w:color w:val="auto"/>
        </w:rPr>
        <w:t>Nothing in this paragraph will have the effect of creating a charge or other security interest. This paragraph shall be without prejudice and in addition to any right of set-off, combination of accounts, lien or other right to which any party is at any time otherwise entitled (whether by operation of law, contract or otherwise).”</w:t>
      </w:r>
    </w:p>
    <w:p>
      <w:pPr>
        <w:spacing w:after="0" w:line="53" w:lineRule="exact"/>
        <w:rPr>
          <w:rFonts w:ascii="Arial" w:cs="Arial" w:eastAsia="Arial" w:hAnsi="Arial"/>
          <w:sz w:val="18"/>
          <w:szCs w:val="18"/>
          <w:color w:val="auto"/>
        </w:rPr>
      </w:pPr>
    </w:p>
    <w:p>
      <w:pPr>
        <w:ind w:left="460" w:hanging="452"/>
        <w:spacing w:after="0"/>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Procedures for Entering Into Transactions. </w:t>
      </w:r>
      <w:r>
        <w:rPr>
          <w:rFonts w:ascii="Arial" w:cs="Arial" w:eastAsia="Arial" w:hAnsi="Arial"/>
          <w:sz w:val="18"/>
          <w:szCs w:val="18"/>
          <w:color w:val="auto"/>
        </w:rPr>
        <w:t>Party A will deliver to Party B a Confirmation relating to each Transaction.</w:t>
      </w:r>
    </w:p>
    <w:p>
      <w:pPr>
        <w:spacing w:after="0" w:line="90" w:lineRule="exact"/>
        <w:rPr>
          <w:rFonts w:ascii="Arial" w:cs="Arial" w:eastAsia="Arial" w:hAnsi="Arial"/>
          <w:sz w:val="18"/>
          <w:szCs w:val="18"/>
          <w:color w:val="auto"/>
        </w:rPr>
      </w:pPr>
    </w:p>
    <w:p>
      <w:pPr>
        <w:ind w:left="460" w:right="680" w:hanging="452"/>
        <w:spacing w:after="0" w:line="275" w:lineRule="auto"/>
        <w:tabs>
          <w:tab w:leader="none" w:pos="460" w:val="left"/>
        </w:tabs>
        <w:numPr>
          <w:ilvl w:val="0"/>
          <w:numId w:val="163"/>
        </w:numPr>
        <w:rPr>
          <w:rFonts w:ascii="Arial" w:cs="Arial" w:eastAsia="Arial" w:hAnsi="Arial"/>
          <w:sz w:val="18"/>
          <w:szCs w:val="18"/>
          <w:color w:val="auto"/>
        </w:rPr>
      </w:pPr>
      <w:r>
        <w:rPr>
          <w:rFonts w:ascii="Arial" w:cs="Arial" w:eastAsia="Arial" w:hAnsi="Arial"/>
          <w:sz w:val="18"/>
          <w:szCs w:val="18"/>
          <w:b w:val="1"/>
          <w:bCs w:val="1"/>
          <w:color w:val="auto"/>
        </w:rPr>
        <w:t xml:space="preserve">Form of Agreement. </w:t>
      </w:r>
      <w:r>
        <w:rPr>
          <w:rFonts w:ascii="Arial" w:cs="Arial" w:eastAsia="Arial" w:hAnsi="Arial"/>
          <w:sz w:val="18"/>
          <w:szCs w:val="18"/>
          <w:color w:val="auto"/>
        </w:rPr>
        <w:t>The parties hereby agree that the text of the body of the Agreement is intended to be the printed form of 1992 ISDA Master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published and copyrighted by the International Swaps and Derivatives Association, Inc.</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274" w:right="279" w:bottom="1440" w:gutter="0" w:footer="0" w:header="0"/>
        </w:sectPr>
      </w:pPr>
    </w:p>
    <w:bookmarkStart w:id="97" w:name="page98"/>
    <w:bookmarkEnd w:id="97"/>
    <w:p>
      <w:pPr>
        <w:ind w:left="460" w:hanging="452"/>
        <w:spacing w:after="0"/>
        <w:tabs>
          <w:tab w:leader="none" w:pos="460" w:val="left"/>
        </w:tabs>
        <w:numPr>
          <w:ilvl w:val="0"/>
          <w:numId w:val="164"/>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Transfers</w:t>
      </w:r>
      <w:r>
        <w:rPr>
          <w:rFonts w:ascii="Arial" w:cs="Arial" w:eastAsia="Arial" w:hAnsi="Arial"/>
          <w:sz w:val="18"/>
          <w:szCs w:val="18"/>
          <w:color w:val="auto"/>
        </w:rPr>
        <w:t>. The following provision (c) is hereby added to Section 7 of this Agreement:</w:t>
      </w:r>
    </w:p>
    <w:p>
      <w:pPr>
        <w:spacing w:after="0" w:line="96" w:lineRule="exact"/>
        <w:rPr>
          <w:sz w:val="20"/>
          <w:szCs w:val="20"/>
          <w:color w:val="auto"/>
        </w:rPr>
      </w:pPr>
    </w:p>
    <w:p>
      <w:pPr>
        <w:ind w:left="920" w:right="20"/>
        <w:spacing w:after="0" w:line="291" w:lineRule="auto"/>
        <w:rPr>
          <w:sz w:val="20"/>
          <w:szCs w:val="20"/>
          <w:color w:val="auto"/>
        </w:rPr>
      </w:pPr>
      <w:r>
        <w:rPr>
          <w:rFonts w:ascii="Arial" w:cs="Arial" w:eastAsia="Arial" w:hAnsi="Arial"/>
          <w:sz w:val="16"/>
          <w:szCs w:val="16"/>
          <w:color w:val="auto"/>
        </w:rPr>
        <w:t>“(c) Party A may, if it has reasonable grounds for insecurity regarding a potential default under this Agreement or any Specified Transaction by Party B, or for any legal, tax, accounting, regulatory or other reason, transfer its rights and obligations under this Agreement or any agreement for a Specified Transaction to any Affiliate of Party A, and Party B hereto agrees to such transfer; provided, however, that both Party A and the Affiliate transferee are ‘dealers in notional principal contracts’ within the meaning of U.S. Treasury Regulation Section 1.1001-4, and provided further that either (1) Party B shall have received a guarantee by Party A, in favor of Party B, of the obligations of such Affiliate, or (2) such transferee shall have the same or higher long term senior unsecured debt rating (as determined by S&amp;P or Moody’s) as Party A at the time of such transfer.”</w:t>
      </w:r>
    </w:p>
    <w:p>
      <w:pPr>
        <w:spacing w:after="0" w:line="33" w:lineRule="exact"/>
        <w:rPr>
          <w:sz w:val="20"/>
          <w:szCs w:val="20"/>
          <w:color w:val="auto"/>
        </w:rPr>
      </w:pPr>
    </w:p>
    <w:p>
      <w:pPr>
        <w:ind w:left="460" w:right="20" w:hanging="452"/>
        <w:spacing w:after="0" w:line="287" w:lineRule="auto"/>
        <w:tabs>
          <w:tab w:leader="none" w:pos="460" w:val="left"/>
        </w:tabs>
        <w:numPr>
          <w:ilvl w:val="0"/>
          <w:numId w:val="165"/>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Any provision of this Agreement which is prohibited or unenforceable in any jurisdiction in respect of any Transaction shall, as to such</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be ineffective to the extent of such prohibition or unenforceability without invalidating the remaining provisions of the Agreement or affecting the validity or enforceability of such provision as to any other jurisdiction or Transaction; provided, however, that nothing in this provision shall adversely affect the rights of each party under the Agreement; and provided further that this severability provision shall not be applicable if any provision of Section 1, 2, 5, 6, or 13 (or any definition or provision in Section 14 to the extent it relates to, or is used in or connection with any such Section) shall be so held to be invalid or unenforceable. The parties hereto shall endeavor in good faith negotiations to replace the prohibited or unenforceable provision with a valid provision, the economic effect of which comes as close as possible to that of the prohibited or unenforceable provision. The remaining terms, provisions, covenants, and conditions hereof shall continue in full force and effect as if this Agreement had been executed with the invalid or unenforceable portion eliminated, so long as this Agreement as so modified continues to express, without material change, the original intentions of the parties as to the subject matter of this Agreement and the deletion of such portion of this Agreement will not substantially impair the respective benefits or expectations of the parties to this Agreement.</w:t>
      </w:r>
    </w:p>
    <w:p>
      <w:pPr>
        <w:spacing w:after="0" w:line="11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parties have executed this Schedule by their duly authorized officers as of the date hereof.</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JPMORGAN CHASE BANK, N.A.</w:t>
            </w:r>
          </w:p>
        </w:tc>
        <w:tc>
          <w:tcPr>
            <w:tcW w:w="6380" w:type="dxa"/>
            <w:vAlign w:val="bottom"/>
            <w:gridSpan w:val="3"/>
          </w:tcPr>
          <w:p>
            <w:pPr>
              <w:ind w:left="1220"/>
              <w:spacing w:after="0"/>
              <w:rPr>
                <w:sz w:val="20"/>
                <w:szCs w:val="20"/>
                <w:color w:val="auto"/>
              </w:rPr>
            </w:pPr>
            <w:r>
              <w:rPr>
                <w:rFonts w:ascii="Arial" w:cs="Arial" w:eastAsia="Arial" w:hAnsi="Arial"/>
                <w:sz w:val="18"/>
                <w:szCs w:val="18"/>
                <w:b w:val="1"/>
                <w:bCs w:val="1"/>
                <w:color w:val="auto"/>
              </w:rPr>
              <w:t>NATIONAL CINEMEDIA, LLC</w:t>
            </w:r>
          </w:p>
        </w:tc>
      </w:tr>
      <w:tr>
        <w:trPr>
          <w:trHeight w:val="43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Melissa McMahon</w:t>
            </w:r>
          </w:p>
        </w:tc>
        <w:tc>
          <w:tcPr>
            <w:tcW w:w="1740" w:type="dxa"/>
            <w:vAlign w:val="bottom"/>
          </w:tcPr>
          <w:p>
            <w:pPr>
              <w:ind w:left="122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W. Ferrera</w:t>
            </w:r>
          </w:p>
        </w:tc>
      </w:tr>
      <w:tr>
        <w:trPr>
          <w:trHeight w:val="215"/>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Pr>
          <w:p>
            <w:pPr>
              <w:spacing w:after="0"/>
              <w:rPr>
                <w:sz w:val="20"/>
                <w:szCs w:val="20"/>
                <w:color w:val="auto"/>
              </w:rPr>
            </w:pPr>
            <w:r>
              <w:rPr>
                <w:rFonts w:ascii="Arial" w:cs="Arial" w:eastAsia="Arial" w:hAnsi="Arial"/>
                <w:sz w:val="18"/>
                <w:szCs w:val="18"/>
                <w:color w:val="auto"/>
              </w:rPr>
              <w:t>Melissa McMahon</w:t>
            </w:r>
          </w:p>
        </w:tc>
        <w:tc>
          <w:tcPr>
            <w:tcW w:w="1740" w:type="dxa"/>
            <w:vAlign w:val="bottom"/>
          </w:tcPr>
          <w:p>
            <w:pPr>
              <w:ind w:left="1220"/>
              <w:spacing w:after="0"/>
              <w:rPr>
                <w:sz w:val="20"/>
                <w:szCs w:val="20"/>
                <w:color w:val="auto"/>
              </w:rPr>
            </w:pPr>
            <w:r>
              <w:rPr>
                <w:rFonts w:ascii="Arial" w:cs="Arial" w:eastAsia="Arial" w:hAnsi="Arial"/>
                <w:sz w:val="18"/>
                <w:szCs w:val="18"/>
                <w:color w:val="auto"/>
                <w:w w:val="94"/>
              </w:rPr>
              <w:t>Name:</w:t>
            </w:r>
          </w:p>
        </w:tc>
        <w:tc>
          <w:tcPr>
            <w:tcW w:w="4640" w:type="dxa"/>
            <w:vAlign w:val="bottom"/>
            <w:gridSpan w:val="2"/>
          </w:tcPr>
          <w:p>
            <w:pPr>
              <w:ind w:left="60"/>
              <w:spacing w:after="0"/>
              <w:rPr>
                <w:sz w:val="20"/>
                <w:szCs w:val="20"/>
                <w:color w:val="auto"/>
              </w:rPr>
            </w:pPr>
            <w:r>
              <w:rPr>
                <w:rFonts w:ascii="Arial" w:cs="Arial" w:eastAsia="Arial" w:hAnsi="Arial"/>
                <w:sz w:val="18"/>
                <w:szCs w:val="18"/>
                <w:color w:val="auto"/>
              </w:rPr>
              <w:t>Gary W. Ferrera</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spacing w:after="0"/>
              <w:rPr>
                <w:sz w:val="20"/>
                <w:szCs w:val="20"/>
                <w:color w:val="auto"/>
              </w:rPr>
            </w:pPr>
            <w:r>
              <w:rPr>
                <w:rFonts w:ascii="Arial" w:cs="Arial" w:eastAsia="Arial" w:hAnsi="Arial"/>
                <w:sz w:val="18"/>
                <w:szCs w:val="18"/>
                <w:color w:val="auto"/>
              </w:rPr>
              <w:t>Managing Director and Associate General Counsel</w:t>
            </w:r>
          </w:p>
        </w:tc>
        <w:tc>
          <w:tcPr>
            <w:tcW w:w="1740" w:type="dxa"/>
            <w:vAlign w:val="bottom"/>
          </w:tcPr>
          <w:p>
            <w:pPr>
              <w:ind w:left="1220"/>
              <w:spacing w:after="0"/>
              <w:rPr>
                <w:sz w:val="20"/>
                <w:szCs w:val="20"/>
                <w:color w:val="auto"/>
              </w:rPr>
            </w:pPr>
            <w:r>
              <w:rPr>
                <w:rFonts w:ascii="Arial" w:cs="Arial" w:eastAsia="Arial" w:hAnsi="Arial"/>
                <w:sz w:val="18"/>
                <w:szCs w:val="18"/>
                <w:color w:val="auto"/>
              </w:rPr>
              <w:t>Title:</w:t>
            </w:r>
          </w:p>
        </w:tc>
        <w:tc>
          <w:tcPr>
            <w:tcW w:w="4640" w:type="dxa"/>
            <w:vAlign w:val="bottom"/>
            <w:gridSpan w:val="2"/>
          </w:tcPr>
          <w:p>
            <w:pPr>
              <w:ind w:left="60"/>
              <w:spacing w:after="0"/>
              <w:rPr>
                <w:sz w:val="20"/>
                <w:szCs w:val="20"/>
                <w:color w:val="auto"/>
              </w:rPr>
            </w:pPr>
            <w:r>
              <w:rPr>
                <w:rFonts w:ascii="Arial" w:cs="Arial" w:eastAsia="Arial" w:hAnsi="Arial"/>
                <w:sz w:val="18"/>
                <w:szCs w:val="18"/>
                <w:color w:val="auto"/>
              </w:rPr>
              <w:t>CFO/EVP</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460" w:type="dxa"/>
            <w:vAlign w:val="bottom"/>
          </w:tcPr>
          <w:p>
            <w:pPr>
              <w:spacing w:after="0"/>
              <w:rPr>
                <w:sz w:val="20"/>
                <w:szCs w:val="20"/>
                <w:color w:val="auto"/>
              </w:rPr>
            </w:pPr>
            <w:r>
              <w:rPr>
                <w:rFonts w:ascii="Arial" w:cs="Arial" w:eastAsia="Arial" w:hAnsi="Arial"/>
                <w:sz w:val="18"/>
                <w:szCs w:val="18"/>
                <w:color w:val="auto"/>
              </w:rPr>
              <w:t>August 6, 2007</w:t>
            </w:r>
          </w:p>
        </w:tc>
        <w:tc>
          <w:tcPr>
            <w:tcW w:w="1740" w:type="dxa"/>
            <w:vAlign w:val="bottom"/>
          </w:tcPr>
          <w:p>
            <w:pPr>
              <w:ind w:left="1220"/>
              <w:spacing w:after="0"/>
              <w:rPr>
                <w:sz w:val="20"/>
                <w:szCs w:val="20"/>
                <w:color w:val="auto"/>
              </w:rPr>
            </w:pPr>
            <w:r>
              <w:rPr>
                <w:rFonts w:ascii="Arial" w:cs="Arial" w:eastAsia="Arial" w:hAnsi="Arial"/>
                <w:sz w:val="18"/>
                <w:szCs w:val="18"/>
                <w:color w:val="auto"/>
              </w:rPr>
              <w:t>Date:</w:t>
            </w:r>
          </w:p>
        </w:tc>
        <w:tc>
          <w:tcPr>
            <w:tcW w:w="4640" w:type="dxa"/>
            <w:vAlign w:val="bottom"/>
            <w:gridSpan w:val="2"/>
          </w:tcPr>
          <w:p>
            <w:pPr>
              <w:ind w:left="60"/>
              <w:spacing w:after="0"/>
              <w:rPr>
                <w:sz w:val="20"/>
                <w:szCs w:val="20"/>
                <w:color w:val="auto"/>
              </w:rPr>
            </w:pPr>
            <w:r>
              <w:rPr>
                <w:rFonts w:ascii="Arial" w:cs="Arial" w:eastAsia="Arial" w:hAnsi="Arial"/>
                <w:sz w:val="18"/>
                <w:szCs w:val="18"/>
                <w:color w:val="auto"/>
              </w:rPr>
              <w:t>August 10, 2007</w:t>
            </w:r>
          </w:p>
        </w:tc>
      </w:tr>
      <w:tr>
        <w:trPr>
          <w:trHeight w:val="365"/>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40" w:type="dxa"/>
            <w:vAlign w:val="bottom"/>
          </w:tcPr>
          <w:p>
            <w:pPr>
              <w:ind w:left="580"/>
              <w:spacing w:after="0"/>
              <w:rPr>
                <w:sz w:val="20"/>
                <w:szCs w:val="20"/>
                <w:color w:val="auto"/>
              </w:rPr>
            </w:pPr>
            <w:r>
              <w:rPr>
                <w:rFonts w:ascii="Arial" w:cs="Arial" w:eastAsia="Arial" w:hAnsi="Arial"/>
                <w:sz w:val="18"/>
                <w:szCs w:val="18"/>
                <w:color w:val="auto"/>
              </w:rPr>
              <w:t>27</w:t>
            </w:r>
          </w:p>
        </w:tc>
        <w:tc>
          <w:tcPr>
            <w:tcW w:w="60" w:type="dxa"/>
            <w:vAlign w:val="bottom"/>
          </w:tcPr>
          <w:p>
            <w:pPr>
              <w:spacing w:after="0"/>
              <w:rPr>
                <w:sz w:val="24"/>
                <w:szCs w:val="24"/>
                <w:color w:val="auto"/>
              </w:rPr>
            </w:pPr>
          </w:p>
        </w:tc>
        <w:tc>
          <w:tcPr>
            <w:tcW w:w="458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118110</wp:posOffset>
            </wp:positionV>
            <wp:extent cx="2470150" cy="19748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470150" cy="19748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900" w:type="dxa"/>
            <w:vAlign w:val="bottom"/>
          </w:tcPr>
          <w:p>
            <w:pPr>
              <w:ind w:left="2380"/>
              <w:spacing w:after="0"/>
              <w:rPr>
                <w:sz w:val="20"/>
                <w:szCs w:val="20"/>
                <w:color w:val="auto"/>
              </w:rPr>
            </w:pPr>
            <w:r>
              <w:rPr>
                <w:rFonts w:ascii="Arial" w:cs="Arial" w:eastAsia="Arial" w:hAnsi="Arial"/>
                <w:sz w:val="18"/>
                <w:szCs w:val="18"/>
                <w:b w:val="1"/>
                <w:bCs w:val="1"/>
                <w:color w:val="auto"/>
                <w:w w:val="85"/>
              </w:rPr>
              <w:t>Revised Transaction</w:t>
            </w:r>
          </w:p>
        </w:tc>
      </w:tr>
      <w:tr>
        <w:trPr>
          <w:trHeight w:val="419"/>
        </w:trPr>
        <w:tc>
          <w:tcPr>
            <w:tcW w:w="1280" w:type="dxa"/>
            <w:vAlign w:val="bottom"/>
          </w:tcPr>
          <w:p>
            <w:pPr>
              <w:spacing w:after="0"/>
              <w:rPr>
                <w:sz w:val="20"/>
                <w:szCs w:val="20"/>
                <w:color w:val="auto"/>
              </w:rPr>
            </w:pPr>
            <w:r>
              <w:rPr>
                <w:rFonts w:ascii="Arial" w:cs="Arial" w:eastAsia="Arial" w:hAnsi="Arial"/>
                <w:sz w:val="18"/>
                <w:szCs w:val="18"/>
                <w:color w:val="auto"/>
              </w:rPr>
              <w:t>Date:</w:t>
            </w:r>
          </w:p>
        </w:tc>
        <w:tc>
          <w:tcPr>
            <w:tcW w:w="5200" w:type="dxa"/>
            <w:vAlign w:val="bottom"/>
            <w:gridSpan w:val="2"/>
          </w:tcPr>
          <w:p>
            <w:pPr>
              <w:ind w:left="220"/>
              <w:spacing w:after="0"/>
              <w:rPr>
                <w:sz w:val="20"/>
                <w:szCs w:val="20"/>
                <w:color w:val="auto"/>
              </w:rPr>
            </w:pPr>
            <w:r>
              <w:rPr>
                <w:rFonts w:ascii="Arial" w:cs="Arial" w:eastAsia="Arial" w:hAnsi="Arial"/>
                <w:sz w:val="18"/>
                <w:szCs w:val="18"/>
                <w:color w:val="auto"/>
              </w:rPr>
              <w:t>8 November, 2007</w:t>
            </w: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To:</w:t>
            </w:r>
          </w:p>
        </w:tc>
        <w:tc>
          <w:tcPr>
            <w:tcW w:w="5200" w:type="dxa"/>
            <w:vAlign w:val="bottom"/>
            <w:gridSpan w:val="2"/>
          </w:tcPr>
          <w:p>
            <w:pPr>
              <w:ind w:left="220"/>
              <w:spacing w:after="0"/>
              <w:rPr>
                <w:sz w:val="20"/>
                <w:szCs w:val="20"/>
                <w:color w:val="auto"/>
              </w:rPr>
            </w:pPr>
            <w:r>
              <w:rPr>
                <w:rFonts w:ascii="Arial" w:cs="Arial" w:eastAsia="Arial" w:hAnsi="Arial"/>
                <w:sz w:val="18"/>
                <w:szCs w:val="18"/>
                <w:color w:val="auto"/>
              </w:rPr>
              <w:t>National Cinemedia LLC</w:t>
            </w:r>
          </w:p>
        </w:tc>
      </w:tr>
      <w:tr>
        <w:trPr>
          <w:trHeight w:val="222"/>
        </w:trPr>
        <w:tc>
          <w:tcPr>
            <w:tcW w:w="128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rPr>
              <w:t>Attention:</w:t>
            </w:r>
          </w:p>
        </w:tc>
        <w:tc>
          <w:tcPr>
            <w:tcW w:w="3900" w:type="dxa"/>
            <w:vAlign w:val="bottom"/>
          </w:tcPr>
          <w:p>
            <w:pPr>
              <w:ind w:left="160"/>
              <w:spacing w:after="0"/>
              <w:rPr>
                <w:sz w:val="20"/>
                <w:szCs w:val="20"/>
                <w:color w:val="auto"/>
              </w:rPr>
            </w:pPr>
            <w:r>
              <w:rPr>
                <w:rFonts w:ascii="Arial" w:cs="Arial" w:eastAsia="Arial" w:hAnsi="Arial"/>
                <w:sz w:val="18"/>
                <w:szCs w:val="18"/>
                <w:color w:val="auto"/>
              </w:rPr>
              <w:t>Documentation Unit</w:t>
            </w:r>
          </w:p>
        </w:tc>
      </w:tr>
      <w:tr>
        <w:trPr>
          <w:trHeight w:val="318"/>
        </w:trPr>
        <w:tc>
          <w:tcPr>
            <w:tcW w:w="1280" w:type="dxa"/>
            <w:vAlign w:val="bottom"/>
          </w:tcPr>
          <w:p>
            <w:pPr>
              <w:spacing w:after="0"/>
              <w:rPr>
                <w:sz w:val="20"/>
                <w:szCs w:val="20"/>
                <w:color w:val="auto"/>
              </w:rPr>
            </w:pPr>
            <w:r>
              <w:rPr>
                <w:rFonts w:ascii="Arial" w:cs="Arial" w:eastAsia="Arial" w:hAnsi="Arial"/>
                <w:sz w:val="18"/>
                <w:szCs w:val="18"/>
                <w:color w:val="auto"/>
              </w:rPr>
              <w:t>From:</w:t>
            </w:r>
          </w:p>
        </w:tc>
        <w:tc>
          <w:tcPr>
            <w:tcW w:w="5200" w:type="dxa"/>
            <w:vAlign w:val="bottom"/>
            <w:gridSpan w:val="2"/>
          </w:tcPr>
          <w:p>
            <w:pPr>
              <w:ind w:left="220"/>
              <w:spacing w:after="0"/>
              <w:rPr>
                <w:sz w:val="20"/>
                <w:szCs w:val="20"/>
                <w:color w:val="auto"/>
              </w:rPr>
            </w:pPr>
            <w:r>
              <w:rPr>
                <w:rFonts w:ascii="Arial" w:cs="Arial" w:eastAsia="Arial" w:hAnsi="Arial"/>
                <w:sz w:val="18"/>
                <w:szCs w:val="18"/>
                <w:color w:val="auto"/>
              </w:rPr>
              <w:t>Lehman Brothers Special Financing Inc.</w:t>
            </w:r>
          </w:p>
        </w:tc>
      </w:tr>
      <w:tr>
        <w:trPr>
          <w:trHeight w:val="216"/>
        </w:trPr>
        <w:tc>
          <w:tcPr>
            <w:tcW w:w="1280" w:type="dxa"/>
            <w:vAlign w:val="bottom"/>
          </w:tcPr>
          <w:p>
            <w:pPr>
              <w:spacing w:after="0"/>
              <w:rPr>
                <w:sz w:val="18"/>
                <w:szCs w:val="18"/>
                <w:color w:val="auto"/>
              </w:rPr>
            </w:pPr>
          </w:p>
        </w:tc>
        <w:tc>
          <w:tcPr>
            <w:tcW w:w="5200" w:type="dxa"/>
            <w:vAlign w:val="bottom"/>
            <w:gridSpan w:val="2"/>
          </w:tcPr>
          <w:p>
            <w:pPr>
              <w:ind w:left="220"/>
              <w:spacing w:after="0"/>
              <w:rPr>
                <w:sz w:val="20"/>
                <w:szCs w:val="20"/>
                <w:color w:val="auto"/>
              </w:rPr>
            </w:pPr>
            <w:r>
              <w:rPr>
                <w:rFonts w:ascii="Arial" w:cs="Arial" w:eastAsia="Arial" w:hAnsi="Arial"/>
                <w:sz w:val="18"/>
                <w:szCs w:val="18"/>
                <w:color w:val="auto"/>
              </w:rPr>
              <w:t>Confirmations Group</w:t>
            </w:r>
          </w:p>
        </w:tc>
      </w:tr>
      <w:tr>
        <w:trPr>
          <w:trHeight w:val="216"/>
        </w:trPr>
        <w:tc>
          <w:tcPr>
            <w:tcW w:w="1280" w:type="dxa"/>
            <w:vAlign w:val="bottom"/>
          </w:tcPr>
          <w:p>
            <w:pPr>
              <w:spacing w:after="0"/>
              <w:rPr>
                <w:sz w:val="18"/>
                <w:szCs w:val="18"/>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rPr>
              <w:t>Kathy Tsang</w:t>
            </w:r>
          </w:p>
        </w:tc>
        <w:tc>
          <w:tcPr>
            <w:tcW w:w="390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rPr>
              <w:t>Facsimile:</w:t>
            </w:r>
          </w:p>
        </w:tc>
        <w:tc>
          <w:tcPr>
            <w:tcW w:w="3900" w:type="dxa"/>
            <w:vAlign w:val="bottom"/>
          </w:tcPr>
          <w:p>
            <w:pPr>
              <w:ind w:left="160"/>
              <w:spacing w:after="0"/>
              <w:rPr>
                <w:sz w:val="20"/>
                <w:szCs w:val="20"/>
                <w:color w:val="auto"/>
              </w:rPr>
            </w:pPr>
            <w:r>
              <w:rPr>
                <w:rFonts w:ascii="Arial" w:cs="Arial" w:eastAsia="Arial" w:hAnsi="Arial"/>
                <w:sz w:val="18"/>
                <w:szCs w:val="18"/>
                <w:color w:val="auto"/>
              </w:rPr>
              <w:t>(+1) 646-885-9551 (United States of America)</w:t>
            </w:r>
          </w:p>
        </w:tc>
      </w:tr>
      <w:tr>
        <w:trPr>
          <w:trHeight w:val="222"/>
        </w:trPr>
        <w:tc>
          <w:tcPr>
            <w:tcW w:w="1280" w:type="dxa"/>
            <w:vAlign w:val="bottom"/>
          </w:tcPr>
          <w:p>
            <w:pPr>
              <w:spacing w:after="0"/>
              <w:rPr>
                <w:sz w:val="19"/>
                <w:szCs w:val="19"/>
                <w:color w:val="auto"/>
              </w:rPr>
            </w:pPr>
          </w:p>
        </w:tc>
        <w:tc>
          <w:tcPr>
            <w:tcW w:w="1300" w:type="dxa"/>
            <w:vAlign w:val="bottom"/>
          </w:tcPr>
          <w:p>
            <w:pPr>
              <w:ind w:left="220"/>
              <w:spacing w:after="0"/>
              <w:rPr>
                <w:sz w:val="20"/>
                <w:szCs w:val="20"/>
                <w:color w:val="auto"/>
              </w:rPr>
            </w:pPr>
            <w:r>
              <w:rPr>
                <w:rFonts w:ascii="Arial" w:cs="Arial" w:eastAsia="Arial" w:hAnsi="Arial"/>
                <w:sz w:val="18"/>
                <w:szCs w:val="18"/>
                <w:color w:val="auto"/>
              </w:rPr>
              <w:t>Telephone:</w:t>
            </w:r>
          </w:p>
        </w:tc>
        <w:tc>
          <w:tcPr>
            <w:tcW w:w="3900" w:type="dxa"/>
            <w:vAlign w:val="bottom"/>
          </w:tcPr>
          <w:p>
            <w:pPr>
              <w:ind w:left="160"/>
              <w:spacing w:after="0"/>
              <w:rPr>
                <w:sz w:val="20"/>
                <w:szCs w:val="20"/>
                <w:color w:val="auto"/>
              </w:rPr>
            </w:pPr>
            <w:r>
              <w:rPr>
                <w:rFonts w:ascii="Arial" w:cs="Arial" w:eastAsia="Arial" w:hAnsi="Arial"/>
                <w:sz w:val="18"/>
                <w:szCs w:val="18"/>
                <w:color w:val="auto"/>
              </w:rPr>
              <w:t>212-526-9080</w:t>
            </w:r>
          </w:p>
        </w:tc>
      </w:tr>
      <w:tr>
        <w:trPr>
          <w:trHeight w:val="324"/>
        </w:trPr>
        <w:tc>
          <w:tcPr>
            <w:tcW w:w="1280" w:type="dxa"/>
            <w:vAlign w:val="bottom"/>
          </w:tcPr>
          <w:p>
            <w:pPr>
              <w:spacing w:after="0"/>
              <w:rPr>
                <w:sz w:val="20"/>
                <w:szCs w:val="20"/>
                <w:color w:val="auto"/>
              </w:rPr>
            </w:pPr>
            <w:r>
              <w:rPr>
                <w:rFonts w:ascii="Arial" w:cs="Arial" w:eastAsia="Arial" w:hAnsi="Arial"/>
                <w:sz w:val="18"/>
                <w:szCs w:val="18"/>
                <w:color w:val="auto"/>
              </w:rPr>
              <w:t>Ref. Numbers:</w:t>
            </w:r>
          </w:p>
        </w:tc>
        <w:tc>
          <w:tcPr>
            <w:tcW w:w="5200" w:type="dxa"/>
            <w:vAlign w:val="bottom"/>
            <w:gridSpan w:val="2"/>
          </w:tcPr>
          <w:p>
            <w:pPr>
              <w:ind w:left="220"/>
              <w:spacing w:after="0"/>
              <w:rPr>
                <w:sz w:val="20"/>
                <w:szCs w:val="20"/>
                <w:color w:val="auto"/>
              </w:rPr>
            </w:pPr>
            <w:r>
              <w:rPr>
                <w:rFonts w:ascii="Arial" w:cs="Arial" w:eastAsia="Arial" w:hAnsi="Arial"/>
                <w:sz w:val="18"/>
                <w:szCs w:val="18"/>
                <w:color w:val="auto"/>
              </w:rPr>
              <w:t>Global Deal ID: 2910522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Dear Sir or Madam:</w:t>
      </w:r>
    </w:p>
    <w:p>
      <w:pPr>
        <w:spacing w:after="0" w:line="90"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The purpose of this communication (this “Confirmation”) is to confirm the terms and conditions of the transaction (the “Transaction”) entered into between Lehman Brothers Special Financing Inc. (“Party A”) and National Cinemedia LLC (“Party B”) on the Trade Date specified below. This Confirmation constitutes a “Confirmation” as referred to in the Agreement specified below. </w:t>
      </w:r>
      <w:r>
        <w:rPr>
          <w:rFonts w:ascii="Arial" w:cs="Arial" w:eastAsia="Arial" w:hAnsi="Arial"/>
          <w:sz w:val="18"/>
          <w:szCs w:val="18"/>
          <w:b w:val="1"/>
          <w:bCs w:val="1"/>
          <w:color w:val="auto"/>
        </w:rPr>
        <w:t>This Confirmation supersedes and replaces in its entirety any other confirmation</w:t>
      </w:r>
      <w:r>
        <w:rPr>
          <w:rFonts w:ascii="Arial" w:cs="Arial" w:eastAsia="Arial" w:hAnsi="Arial"/>
          <w:sz w:val="18"/>
          <w:szCs w:val="18"/>
          <w:color w:val="auto"/>
        </w:rPr>
        <w:t xml:space="preserve"> </w:t>
      </w:r>
      <w:r>
        <w:rPr>
          <w:rFonts w:ascii="Arial" w:cs="Arial" w:eastAsia="Arial" w:hAnsi="Arial"/>
          <w:sz w:val="18"/>
          <w:szCs w:val="18"/>
          <w:b w:val="1"/>
          <w:bCs w:val="1"/>
          <w:color w:val="auto"/>
        </w:rPr>
        <w:t>referencing the Transaction to which this Confirmation relates.</w:t>
      </w:r>
    </w:p>
    <w:p>
      <w:pPr>
        <w:spacing w:after="0" w:line="143"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This Confirmation supplements, forms part of, and is subject to, the ISDA Master Agreement dated as of 02 March, 2007, as amended and supplemented from time to time, between Party A and Party B (the “Agreement”). All provisions contained in the Agreement shall govern this Confirmation except as expressly modified below.</w:t>
      </w:r>
    </w:p>
    <w:p>
      <w:pPr>
        <w:spacing w:after="0" w:line="140"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The definitions and provisions contained in the 2000 ISDA Definitions as published by the International Swaps and Derivatives Association, Inc. (the “Definitions”) are incorporated into this Confirmation. In the event of any inconsistency between the Definitions and the terms of this Confirmation, this Confirmation will govern. For the purpose of the Definitions, references herein to a “Transaction” shall be deemed to be references to a “Swap Transaction”.</w:t>
      </w:r>
    </w:p>
    <w:p>
      <w:pPr>
        <w:spacing w:after="0" w:line="10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Party A and Party B each represents that entering into the Transaction is within its capacity, is duly authorized and does not violate any laws of its jurisdiction of organization or residence or the terms of any agreement to which it is a party. Party A and Party B each represents that (a) it is not relying on the other party in connection with its decision to enter into this Transaction, and neither party is acting as an advisor to or fiduciary of the other party in connection with this Transaction regardless of whether the other party provides it with market information or its views; (b) it understands the risks of the Transaction and any legal, regulatory, tax, accounting and economic consequences resulting therefrom; and (c) it has determined based upon its own judgment and upon any advice received from its own professional advisors as it has deemed necessary to consult that entering into the Transaction is appropriate for such party in light of its financial capabilities and objectives. Party A and Party B each represents that upon due execution and delivery of this Confirmation, it will constitute a legally valid and binding obligation, enforceable against it in accordance with its terms, subject to applicable principles of bankruptcy and creditors’ rights generally and to equitable principles of general application.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LEHMAN BROTHERS SPECIAL FINANCING INC.</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LEHMAN BROTHERS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745 SEVENTH AVENUE, NEW YORK NY 10019</w:t>
      </w:r>
    </w:p>
    <w:p>
      <w:pPr>
        <w:sectPr>
          <w:pgSz w:w="11900" w:h="16838" w:orient="portrait"/>
          <w:cols w:equalWidth="0" w:num="1">
            <w:col w:w="11420"/>
          </w:cols>
          <w:pgMar w:left="240" w:top="125" w:right="239" w:bottom="1440" w:gutter="0" w:footer="0" w:header="0"/>
        </w:sectPr>
      </w:pPr>
    </w:p>
    <w:bookmarkStart w:id="99" w:name="page100"/>
    <w:bookmarkEnd w:id="99"/>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terms of the particular Transaction to which this Confirmation relates are as follows:</w:t>
      </w:r>
    </w:p>
    <w:p>
      <w:pPr>
        <w:spacing w:after="0" w:line="2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General Terms:</w:t>
      </w:r>
    </w:p>
    <w:p>
      <w:pPr>
        <w:sectPr>
          <w:pgSz w:w="11900" w:h="16838" w:orient="portrait"/>
          <w:cols w:equalWidth="0" w:num="1">
            <w:col w:w="11380"/>
          </w:cols>
          <w:pgMar w:left="240" w:top="280" w:right="279" w:bottom="1440" w:gutter="0" w:footer="0" w:header="0"/>
        </w:sectPr>
      </w:pPr>
    </w:p>
    <w:p>
      <w:pPr>
        <w:spacing w:after="0" w:line="123" w:lineRule="exact"/>
        <w:rPr>
          <w:sz w:val="20"/>
          <w:szCs w:val="20"/>
          <w:color w:val="auto"/>
        </w:rPr>
      </w:pPr>
    </w:p>
    <w:p>
      <w:pPr>
        <w:ind w:left="720"/>
        <w:spacing w:after="0"/>
        <w:rPr>
          <w:sz w:val="20"/>
          <w:szCs w:val="20"/>
          <w:color w:val="auto"/>
        </w:rPr>
      </w:pPr>
      <w:r>
        <w:rPr>
          <w:rFonts w:ascii="Arial" w:cs="Arial" w:eastAsia="Arial" w:hAnsi="Arial"/>
          <w:sz w:val="15"/>
          <w:szCs w:val="15"/>
          <w:color w:val="auto"/>
        </w:rPr>
        <w:t>Trade Date:</w:t>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rPr>
          <w:sz w:val="20"/>
          <w:szCs w:val="20"/>
          <w:color w:val="auto"/>
        </w:rPr>
      </w:pPr>
      <w:r>
        <w:rPr>
          <w:rFonts w:ascii="Arial" w:cs="Arial" w:eastAsia="Arial" w:hAnsi="Arial"/>
          <w:sz w:val="16"/>
          <w:szCs w:val="16"/>
          <w:color w:val="auto"/>
        </w:rPr>
        <w:t>02 March, 2007</w:t>
      </w:r>
    </w:p>
    <w:p>
      <w:pPr>
        <w:spacing w:after="0" w:line="140" w:lineRule="exact"/>
        <w:rPr>
          <w:sz w:val="20"/>
          <w:szCs w:val="20"/>
          <w:color w:val="auto"/>
        </w:rPr>
      </w:pPr>
    </w:p>
    <w:p>
      <w:pPr>
        <w:sectPr>
          <w:pgSz w:w="11900" w:h="16838" w:orient="portrait"/>
          <w:cols w:equalWidth="0" w:num="2">
            <w:col w:w="3400" w:space="720"/>
            <w:col w:w="7260"/>
          </w:cols>
          <w:pgMar w:left="240" w:top="280" w:right="27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Effective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13 March, 2007</w:t>
      </w:r>
    </w:p>
    <w:p>
      <w:pPr>
        <w:spacing w:after="0" w:line="140" w:lineRule="exact"/>
        <w:rPr>
          <w:sz w:val="20"/>
          <w:szCs w:val="20"/>
          <w:color w:val="auto"/>
        </w:rPr>
      </w:pPr>
    </w:p>
    <w:p>
      <w:pPr>
        <w:sectPr>
          <w:pgSz w:w="11900" w:h="16838" w:orient="portrait"/>
          <w:cols w:equalWidth="0" w:num="2">
            <w:col w:w="3400" w:space="720"/>
            <w:col w:w="7260"/>
          </w:cols>
          <w:pgMar w:left="240" w:top="280" w:right="27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Termination Date:</w:t>
      </w:r>
    </w:p>
    <w:p>
      <w:pPr>
        <w:spacing w:after="0" w:line="20" w:lineRule="exact"/>
        <w:rPr>
          <w:sz w:val="20"/>
          <w:szCs w:val="20"/>
          <w:color w:val="auto"/>
        </w:rPr>
      </w:pPr>
      <w:r>
        <w:rPr>
          <w:sz w:val="20"/>
          <w:szCs w:val="20"/>
          <w:color w:val="auto"/>
        </w:rPr>
        <w:br w:type="column"/>
      </w:r>
    </w:p>
    <w:p>
      <w:pPr>
        <w:ind w:right="300"/>
        <w:spacing w:after="0" w:line="268" w:lineRule="auto"/>
        <w:rPr>
          <w:sz w:val="20"/>
          <w:szCs w:val="20"/>
          <w:color w:val="auto"/>
        </w:rPr>
      </w:pPr>
      <w:r>
        <w:rPr>
          <w:rFonts w:ascii="Arial" w:cs="Arial" w:eastAsia="Arial" w:hAnsi="Arial"/>
          <w:sz w:val="18"/>
          <w:szCs w:val="18"/>
          <w:color w:val="auto"/>
        </w:rPr>
        <w:t>13 February, 2015, subject to adjustment in accordance with the Modified Following Business Day Convention.</w:t>
      </w:r>
    </w:p>
    <w:p>
      <w:pPr>
        <w:spacing w:after="0" w:line="78" w:lineRule="exact"/>
        <w:rPr>
          <w:sz w:val="20"/>
          <w:szCs w:val="20"/>
          <w:color w:val="auto"/>
        </w:rPr>
      </w:pPr>
    </w:p>
    <w:p>
      <w:pPr>
        <w:sectPr>
          <w:pgSz w:w="11900" w:h="16838" w:orient="portrait"/>
          <w:cols w:equalWidth="0" w:num="2">
            <w:col w:w="3400" w:space="720"/>
            <w:col w:w="7260"/>
          </w:cols>
          <w:pgMar w:left="240" w:top="280" w:right="27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Notional Amount: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USD 137,500,000.00</w:t>
      </w:r>
    </w:p>
    <w:p>
      <w:pPr>
        <w:spacing w:after="0" w:line="200" w:lineRule="exact"/>
        <w:rPr>
          <w:sz w:val="20"/>
          <w:szCs w:val="20"/>
          <w:color w:val="auto"/>
        </w:rPr>
      </w:pPr>
    </w:p>
    <w:p>
      <w:pPr>
        <w:sectPr>
          <w:pgSz w:w="11900" w:h="16838" w:orient="portrait"/>
          <w:cols w:equalWidth="0" w:num="2">
            <w:col w:w="3400" w:space="720"/>
            <w:col w:w="7260"/>
          </w:cols>
          <w:pgMar w:left="240" w:top="280" w:right="279" w:bottom="1440" w:gutter="0" w:footer="0" w:header="0"/>
          <w:type w:val="continuous"/>
        </w:sectPr>
      </w:pPr>
    </w:p>
    <w:p>
      <w:pPr>
        <w:spacing w:after="0" w:line="4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Fixed Amounts:</w:t>
      </w:r>
    </w:p>
    <w:p>
      <w:pPr>
        <w:sectPr>
          <w:pgSz w:w="11900" w:h="16838" w:orient="portrait"/>
          <w:cols w:equalWidth="0" w:num="1">
            <w:col w:w="11380"/>
          </w:cols>
          <w:pgMar w:left="240" w:top="280" w:right="279" w:bottom="1440" w:gutter="0" w:footer="0" w:header="0"/>
          <w:type w:val="continuous"/>
        </w:sectPr>
      </w:pPr>
    </w:p>
    <w:p>
      <w:pPr>
        <w:spacing w:after="0" w:line="15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Fixed Amount Payer: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Party B</w:t>
      </w:r>
    </w:p>
    <w:p>
      <w:pPr>
        <w:spacing w:after="0" w:line="140" w:lineRule="exact"/>
        <w:rPr>
          <w:sz w:val="20"/>
          <w:szCs w:val="20"/>
          <w:color w:val="auto"/>
        </w:rPr>
      </w:pPr>
    </w:p>
    <w:p>
      <w:pPr>
        <w:sectPr>
          <w:pgSz w:w="11900" w:h="16838" w:orient="portrait"/>
          <w:cols w:equalWidth="0" w:num="2">
            <w:col w:w="3400" w:space="720"/>
            <w:col w:w="7260"/>
          </w:cols>
          <w:pgMar w:left="240" w:top="280" w:right="279" w:bottom="1440" w:gutter="0" w:footer="0" w:header="0"/>
          <w:type w:val="continuous"/>
        </w:sectPr>
      </w:pPr>
    </w:p>
    <w:p>
      <w:pPr>
        <w:ind w:left="720"/>
        <w:spacing w:after="0"/>
        <w:rPr>
          <w:sz w:val="20"/>
          <w:szCs w:val="20"/>
          <w:color w:val="auto"/>
        </w:rPr>
      </w:pPr>
      <w:r>
        <w:rPr>
          <w:rFonts w:ascii="Arial" w:cs="Arial" w:eastAsia="Arial" w:hAnsi="Arial"/>
          <w:sz w:val="15"/>
          <w:szCs w:val="15"/>
          <w:color w:val="auto"/>
        </w:rPr>
        <w:t>Fixed Amount Payer Payment Dates: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13</w:t>
      </w:r>
      <w:r>
        <w:rPr>
          <w:rFonts w:ascii="Arial" w:cs="Arial" w:eastAsia="Arial" w:hAnsi="Arial"/>
          <w:sz w:val="11"/>
          <w:szCs w:val="11"/>
          <w:color w:val="auto"/>
        </w:rPr>
        <w:t>th</w:t>
      </w:r>
      <w:r>
        <w:rPr>
          <w:rFonts w:ascii="Arial" w:cs="Arial" w:eastAsia="Arial" w:hAnsi="Arial"/>
          <w:sz w:val="18"/>
          <w:szCs w:val="18"/>
          <w:color w:val="auto"/>
        </w:rPr>
        <w:t xml:space="preserve"> March, June, September and December, from and including 13 June, 2007 to and including 13 December, 2014 and the Termination Date, subject to adjustment in accordance with the Modified Following Business Day Convention.</w:t>
      </w:r>
    </w:p>
    <w:p>
      <w:pPr>
        <w:spacing w:after="0" w:line="86" w:lineRule="exact"/>
        <w:rPr>
          <w:sz w:val="20"/>
          <w:szCs w:val="20"/>
          <w:color w:val="auto"/>
        </w:rPr>
      </w:pPr>
    </w:p>
    <w:p>
      <w:pPr>
        <w:sectPr>
          <w:pgSz w:w="11900" w:h="16838" w:orient="portrait"/>
          <w:cols w:equalWidth="0" w:num="2">
            <w:col w:w="3400" w:space="720"/>
            <w:col w:w="7260"/>
          </w:cols>
          <w:pgMar w:left="240" w:top="280" w:right="279" w:bottom="1440" w:gutter="0" w:footer="0" w:header="0"/>
          <w:type w:val="continuous"/>
        </w:sectPr>
      </w:pPr>
    </w:p>
    <w:p>
      <w:pPr>
        <w:ind w:left="720"/>
        <w:spacing w:after="0"/>
        <w:rPr>
          <w:sz w:val="20"/>
          <w:szCs w:val="20"/>
          <w:color w:val="auto"/>
        </w:rPr>
      </w:pPr>
      <w:r>
        <w:rPr>
          <w:rFonts w:ascii="Arial" w:cs="Arial" w:eastAsia="Arial" w:hAnsi="Arial"/>
          <w:sz w:val="15"/>
          <w:szCs w:val="15"/>
          <w:color w:val="auto"/>
        </w:rPr>
        <w:t>Fixed Rate: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4.984% per annum</w:t>
      </w:r>
    </w:p>
    <w:p>
      <w:pPr>
        <w:spacing w:after="0" w:line="152" w:lineRule="exact"/>
        <w:rPr>
          <w:sz w:val="20"/>
          <w:szCs w:val="20"/>
          <w:color w:val="auto"/>
        </w:rPr>
      </w:pPr>
    </w:p>
    <w:p>
      <w:pPr>
        <w:sectPr>
          <w:pgSz w:w="11900" w:h="16838" w:orient="portrait"/>
          <w:cols w:equalWidth="0" w:num="2">
            <w:col w:w="3400" w:space="720"/>
            <w:col w:w="7260"/>
          </w:cols>
          <w:pgMar w:left="240" w:top="280" w:right="279" w:bottom="1440" w:gutter="0" w:footer="0" w:header="0"/>
          <w:type w:val="continuous"/>
        </w:sectPr>
      </w:pPr>
    </w:p>
    <w:p>
      <w:pPr>
        <w:ind w:left="720"/>
        <w:spacing w:after="0"/>
        <w:rPr>
          <w:sz w:val="20"/>
          <w:szCs w:val="20"/>
          <w:color w:val="auto"/>
        </w:rPr>
      </w:pPr>
      <w:r>
        <w:rPr>
          <w:rFonts w:ascii="Arial" w:cs="Arial" w:eastAsia="Arial" w:hAnsi="Arial"/>
          <w:sz w:val="15"/>
          <w:szCs w:val="15"/>
          <w:color w:val="auto"/>
        </w:rPr>
        <w:t>Fixed Rate Day Count Fraction: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Actual/360</w:t>
      </w:r>
    </w:p>
    <w:p>
      <w:pPr>
        <w:spacing w:after="0" w:line="200" w:lineRule="exact"/>
        <w:rPr>
          <w:sz w:val="20"/>
          <w:szCs w:val="20"/>
          <w:color w:val="auto"/>
        </w:rPr>
      </w:pPr>
    </w:p>
    <w:p>
      <w:pPr>
        <w:sectPr>
          <w:pgSz w:w="11900" w:h="16838" w:orient="portrait"/>
          <w:cols w:equalWidth="0" w:num="2">
            <w:col w:w="3400" w:space="720"/>
            <w:col w:w="7260"/>
          </w:cols>
          <w:pgMar w:left="240" w:top="280" w:right="279" w:bottom="1440" w:gutter="0" w:footer="0" w:header="0"/>
          <w:type w:val="continuous"/>
        </w:sectPr>
      </w:pPr>
    </w:p>
    <w:p>
      <w:pPr>
        <w:spacing w:after="0" w:line="4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Floating Amounts:</w:t>
      </w:r>
    </w:p>
    <w:p>
      <w:pPr>
        <w:sectPr>
          <w:pgSz w:w="11900" w:h="16838" w:orient="portrait"/>
          <w:cols w:equalWidth="0" w:num="1">
            <w:col w:w="11380"/>
          </w:cols>
          <w:pgMar w:left="240" w:top="280" w:right="279" w:bottom="1440" w:gutter="0" w:footer="0" w:header="0"/>
          <w:type w:val="continuous"/>
        </w:sectPr>
      </w:pPr>
    </w:p>
    <w:p>
      <w:pPr>
        <w:spacing w:after="0" w:line="158" w:lineRule="exact"/>
        <w:rPr>
          <w:sz w:val="20"/>
          <w:szCs w:val="20"/>
          <w:color w:val="auto"/>
        </w:rPr>
      </w:pPr>
    </w:p>
    <w:p>
      <w:pPr>
        <w:ind w:left="720"/>
        <w:spacing w:after="0"/>
        <w:rPr>
          <w:sz w:val="20"/>
          <w:szCs w:val="20"/>
          <w:color w:val="auto"/>
        </w:rPr>
      </w:pPr>
      <w:r>
        <w:rPr>
          <w:rFonts w:ascii="Arial" w:cs="Arial" w:eastAsia="Arial" w:hAnsi="Arial"/>
          <w:sz w:val="16"/>
          <w:szCs w:val="16"/>
          <w:color w:val="auto"/>
        </w:rPr>
        <w:t>Floating Amount Payer:</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Party A</w:t>
      </w:r>
    </w:p>
    <w:p>
      <w:pPr>
        <w:spacing w:after="0" w:line="140" w:lineRule="exact"/>
        <w:rPr>
          <w:sz w:val="20"/>
          <w:szCs w:val="20"/>
          <w:color w:val="auto"/>
        </w:rPr>
      </w:pPr>
    </w:p>
    <w:p>
      <w:pPr>
        <w:sectPr>
          <w:pgSz w:w="11900" w:h="16838" w:orient="portrait"/>
          <w:cols w:equalWidth="0" w:num="2">
            <w:col w:w="3400" w:space="720"/>
            <w:col w:w="7260"/>
          </w:cols>
          <w:pgMar w:left="240" w:top="280" w:right="279" w:bottom="1440" w:gutter="0" w:footer="0" w:header="0"/>
          <w:type w:val="continuous"/>
        </w:sectPr>
      </w:pPr>
    </w:p>
    <w:p>
      <w:pPr>
        <w:ind w:left="720"/>
        <w:spacing w:after="0"/>
        <w:rPr>
          <w:sz w:val="20"/>
          <w:szCs w:val="20"/>
          <w:color w:val="auto"/>
        </w:rPr>
      </w:pPr>
      <w:r>
        <w:rPr>
          <w:rFonts w:ascii="Arial" w:cs="Arial" w:eastAsia="Arial" w:hAnsi="Arial"/>
          <w:sz w:val="15"/>
          <w:szCs w:val="15"/>
          <w:color w:val="auto"/>
        </w:rPr>
        <w:t>Floating Amount Payer Payment Dates:</w:t>
      </w:r>
    </w:p>
    <w:p>
      <w:pPr>
        <w:spacing w:after="0" w:line="20" w:lineRule="exact"/>
        <w:rPr>
          <w:sz w:val="20"/>
          <w:szCs w:val="20"/>
          <w:color w:val="auto"/>
        </w:rPr>
      </w:pPr>
      <w:r>
        <w:rPr>
          <w:sz w:val="20"/>
          <w:szCs w:val="20"/>
          <w:color w:val="auto"/>
        </w:rPr>
        <w:br w:type="column"/>
      </w:r>
    </w:p>
    <w:p>
      <w:pPr>
        <w:spacing w:after="0" w:line="259" w:lineRule="auto"/>
        <w:rPr>
          <w:sz w:val="20"/>
          <w:szCs w:val="20"/>
          <w:color w:val="auto"/>
        </w:rPr>
      </w:pPr>
      <w:r>
        <w:rPr>
          <w:rFonts w:ascii="Arial" w:cs="Arial" w:eastAsia="Arial" w:hAnsi="Arial"/>
          <w:sz w:val="18"/>
          <w:szCs w:val="18"/>
          <w:color w:val="auto"/>
        </w:rPr>
        <w:t>The 13</w:t>
      </w:r>
      <w:r>
        <w:rPr>
          <w:rFonts w:ascii="Arial" w:cs="Arial" w:eastAsia="Arial" w:hAnsi="Arial"/>
          <w:sz w:val="11"/>
          <w:szCs w:val="11"/>
          <w:color w:val="auto"/>
        </w:rPr>
        <w:t>th</w:t>
      </w:r>
      <w:r>
        <w:rPr>
          <w:rFonts w:ascii="Arial" w:cs="Arial" w:eastAsia="Arial" w:hAnsi="Arial"/>
          <w:sz w:val="18"/>
          <w:szCs w:val="18"/>
          <w:color w:val="auto"/>
        </w:rPr>
        <w:t xml:space="preserve"> March, June, September and December, from and including 13 June, 2007 to and including 13 December, 2014 and the Termination Date, subject to adjustment in accordance with the Modified Following Business Day Convention.</w:t>
      </w:r>
    </w:p>
    <w:p>
      <w:pPr>
        <w:spacing w:after="0" w:line="86" w:lineRule="exact"/>
        <w:rPr>
          <w:sz w:val="20"/>
          <w:szCs w:val="20"/>
          <w:color w:val="auto"/>
        </w:rPr>
      </w:pPr>
    </w:p>
    <w:p>
      <w:pPr>
        <w:sectPr>
          <w:pgSz w:w="11900" w:h="16838" w:orient="portrait"/>
          <w:cols w:equalWidth="0" w:num="2">
            <w:col w:w="3500" w:space="620"/>
            <w:col w:w="7260"/>
          </w:cols>
          <w:pgMar w:left="240" w:top="280" w:right="27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Floating Rate Option: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USD-LIBOR-BBA</w:t>
      </w:r>
    </w:p>
    <w:p>
      <w:pPr>
        <w:spacing w:after="0" w:line="140" w:lineRule="exact"/>
        <w:rPr>
          <w:sz w:val="20"/>
          <w:szCs w:val="20"/>
          <w:color w:val="auto"/>
        </w:rPr>
      </w:pPr>
    </w:p>
    <w:p>
      <w:pPr>
        <w:sectPr>
          <w:pgSz w:w="11900" w:h="16838" w:orient="portrait"/>
          <w:cols w:equalWidth="0" w:num="2">
            <w:col w:w="3400" w:space="720"/>
            <w:col w:w="7260"/>
          </w:cols>
          <w:pgMar w:left="240" w:top="280" w:right="27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Designated 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3 months</w:t>
      </w:r>
    </w:p>
    <w:p>
      <w:pPr>
        <w:spacing w:after="0" w:line="140" w:lineRule="exact"/>
        <w:rPr>
          <w:sz w:val="20"/>
          <w:szCs w:val="20"/>
          <w:color w:val="auto"/>
        </w:rPr>
      </w:pPr>
    </w:p>
    <w:p>
      <w:pPr>
        <w:sectPr>
          <w:pgSz w:w="11900" w:h="16838" w:orient="portrait"/>
          <w:cols w:equalWidth="0" w:num="2">
            <w:col w:w="3400" w:space="720"/>
            <w:col w:w="7260"/>
          </w:cols>
          <w:pgMar w:left="240" w:top="280" w:right="279" w:bottom="1440" w:gutter="0" w:footer="0" w:header="0"/>
          <w:type w:val="continuous"/>
        </w:sectPr>
      </w:pPr>
    </w:p>
    <w:p>
      <w:pPr>
        <w:ind w:left="720"/>
        <w:spacing w:after="0"/>
        <w:rPr>
          <w:sz w:val="20"/>
          <w:szCs w:val="20"/>
          <w:color w:val="auto"/>
        </w:rPr>
      </w:pPr>
      <w:r>
        <w:rPr>
          <w:rFonts w:ascii="Arial" w:cs="Arial" w:eastAsia="Arial" w:hAnsi="Arial"/>
          <w:sz w:val="14"/>
          <w:szCs w:val="14"/>
          <w:color w:val="auto"/>
        </w:rPr>
        <w:t>Spread: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Inapplicable</w:t>
      </w:r>
    </w:p>
    <w:p>
      <w:pPr>
        <w:spacing w:after="0" w:line="140" w:lineRule="exact"/>
        <w:rPr>
          <w:sz w:val="20"/>
          <w:szCs w:val="20"/>
          <w:color w:val="auto"/>
        </w:rPr>
      </w:pPr>
    </w:p>
    <w:p>
      <w:pPr>
        <w:sectPr>
          <w:pgSz w:w="11900" w:h="16838" w:orient="portrait"/>
          <w:cols w:equalWidth="0" w:num="2">
            <w:col w:w="3400" w:space="720"/>
            <w:col w:w="7260"/>
          </w:cols>
          <w:pgMar w:left="240" w:top="280" w:right="279" w:bottom="1440" w:gutter="0" w:footer="0" w:header="0"/>
          <w:type w:val="continuous"/>
        </w:sectPr>
      </w:pPr>
    </w:p>
    <w:p>
      <w:pPr>
        <w:ind w:left="720"/>
        <w:spacing w:after="0"/>
        <w:rPr>
          <w:sz w:val="20"/>
          <w:szCs w:val="20"/>
          <w:color w:val="auto"/>
        </w:rPr>
      </w:pPr>
      <w:r>
        <w:rPr>
          <w:rFonts w:ascii="Arial" w:cs="Arial" w:eastAsia="Arial" w:hAnsi="Arial"/>
          <w:sz w:val="16"/>
          <w:szCs w:val="16"/>
          <w:color w:val="auto"/>
        </w:rPr>
        <w:t>Floating Rate Day Count Fraction: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Actual/360</w:t>
      </w:r>
    </w:p>
    <w:p>
      <w:pPr>
        <w:spacing w:after="0" w:line="140" w:lineRule="exact"/>
        <w:rPr>
          <w:sz w:val="20"/>
          <w:szCs w:val="20"/>
          <w:color w:val="auto"/>
        </w:rPr>
      </w:pPr>
    </w:p>
    <w:p>
      <w:pPr>
        <w:sectPr>
          <w:pgSz w:w="11900" w:h="16838" w:orient="portrait"/>
          <w:cols w:equalWidth="0" w:num="2">
            <w:col w:w="3400" w:space="720"/>
            <w:col w:w="7260"/>
          </w:cols>
          <w:pgMar w:left="240" w:top="280" w:right="279" w:bottom="1440" w:gutter="0" w:footer="0" w:header="0"/>
          <w:type w:val="continuous"/>
        </w:sectPr>
      </w:pPr>
    </w:p>
    <w:p>
      <w:pPr>
        <w:ind w:left="720"/>
        <w:spacing w:after="0"/>
        <w:rPr>
          <w:sz w:val="20"/>
          <w:szCs w:val="20"/>
          <w:color w:val="auto"/>
        </w:rPr>
      </w:pPr>
      <w:r>
        <w:rPr>
          <w:rFonts w:ascii="Arial" w:cs="Arial" w:eastAsia="Arial" w:hAnsi="Arial"/>
          <w:sz w:val="15"/>
          <w:szCs w:val="15"/>
          <w:color w:val="auto"/>
        </w:rPr>
        <w:t>Reset Dates: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first day of each Calculation Period</w:t>
      </w:r>
    </w:p>
    <w:p>
      <w:pPr>
        <w:spacing w:after="0" w:line="200" w:lineRule="exact"/>
        <w:rPr>
          <w:sz w:val="20"/>
          <w:szCs w:val="20"/>
          <w:color w:val="auto"/>
        </w:rPr>
      </w:pPr>
    </w:p>
    <w:p>
      <w:pPr>
        <w:sectPr>
          <w:pgSz w:w="11900" w:h="16838" w:orient="portrait"/>
          <w:cols w:equalWidth="0" w:num="2">
            <w:col w:w="3400" w:space="720"/>
            <w:col w:w="7260"/>
          </w:cols>
          <w:pgMar w:left="240" w:top="280" w:right="279" w:bottom="1440" w:gutter="0" w:footer="0" w:header="0"/>
          <w:type w:val="continuous"/>
        </w:sectPr>
      </w:pPr>
    </w:p>
    <w:p>
      <w:pPr>
        <w:spacing w:after="0" w:line="42" w:lineRule="exact"/>
        <w:rPr>
          <w:sz w:val="20"/>
          <w:szCs w:val="20"/>
          <w:color w:val="auto"/>
        </w:rPr>
      </w:pPr>
    </w:p>
    <w:p>
      <w:pPr>
        <w:ind w:left="360"/>
        <w:spacing w:after="0"/>
        <w:rPr>
          <w:sz w:val="20"/>
          <w:szCs w:val="20"/>
          <w:color w:val="auto"/>
        </w:rPr>
      </w:pPr>
      <w:r>
        <w:rPr>
          <w:rFonts w:ascii="Arial" w:cs="Arial" w:eastAsia="Arial" w:hAnsi="Arial"/>
          <w:sz w:val="15"/>
          <w:szCs w:val="15"/>
          <w:b w:val="1"/>
          <w:bCs w:val="1"/>
          <w:color w:val="auto"/>
        </w:rPr>
        <w:t>Business Days: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New York and London</w:t>
      </w:r>
    </w:p>
    <w:p>
      <w:pPr>
        <w:spacing w:after="0" w:line="181" w:lineRule="exact"/>
        <w:rPr>
          <w:sz w:val="20"/>
          <w:szCs w:val="20"/>
          <w:color w:val="auto"/>
        </w:rPr>
      </w:pPr>
    </w:p>
    <w:p>
      <w:pPr>
        <w:sectPr>
          <w:pgSz w:w="11900" w:h="16838" w:orient="portrait"/>
          <w:cols w:equalWidth="0" w:num="2">
            <w:col w:w="3400" w:space="720"/>
            <w:col w:w="7260"/>
          </w:cols>
          <w:pgMar w:left="240" w:top="280" w:right="279" w:bottom="1440" w:gutter="0" w:footer="0" w:header="0"/>
          <w:type w:val="continuous"/>
        </w:sectPr>
      </w:pPr>
    </w:p>
    <w:p>
      <w:pPr>
        <w:jc w:val="center"/>
        <w:ind w:right="-59"/>
        <w:spacing w:after="0"/>
        <w:rPr>
          <w:sz w:val="20"/>
          <w:szCs w:val="20"/>
          <w:color w:val="auto"/>
        </w:rPr>
      </w:pPr>
      <w:r>
        <w:rPr>
          <w:rFonts w:ascii="Arial" w:cs="Arial" w:eastAsia="Arial" w:hAnsi="Arial"/>
          <w:sz w:val="15"/>
          <w:szCs w:val="15"/>
          <w:color w:val="auto"/>
        </w:rPr>
        <w:t>Page 2 of 3</w:t>
      </w:r>
    </w:p>
    <w:p>
      <w:pPr>
        <w:sectPr>
          <w:pgSz w:w="11900" w:h="16838" w:orient="portrait"/>
          <w:cols w:equalWidth="0" w:num="1">
            <w:col w:w="11380"/>
          </w:cols>
          <w:pgMar w:left="240" w:top="280" w:right="279" w:bottom="1440" w:gutter="0" w:footer="0" w:header="0"/>
          <w:type w:val="continuous"/>
        </w:sectPr>
      </w:pPr>
    </w:p>
    <w:bookmarkStart w:id="100" w:name="page101"/>
    <w:bookmarkEnd w:id="100"/>
    <w:p>
      <w:pPr>
        <w:ind w:left="260"/>
        <w:spacing w:after="0"/>
        <w:rPr>
          <w:sz w:val="20"/>
          <w:szCs w:val="20"/>
          <w:color w:val="auto"/>
        </w:rPr>
      </w:pPr>
      <w:r>
        <w:rPr>
          <w:rFonts w:ascii="Arial" w:cs="Arial" w:eastAsia="Arial" w:hAnsi="Arial"/>
          <w:sz w:val="15"/>
          <w:szCs w:val="15"/>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p>
    <w:p>
      <w:pPr>
        <w:sectPr>
          <w:pgSz w:w="11900" w:h="16838" w:orient="portrait"/>
          <w:cols w:equalWidth="0" w:num="1">
            <w:col w:w="11420"/>
          </w:cols>
          <w:pgMar w:left="240" w:top="490" w:right="239" w:bottom="1440" w:gutter="0" w:footer="0" w:header="0"/>
        </w:sectPr>
      </w:pPr>
    </w:p>
    <w:p>
      <w:pPr>
        <w:spacing w:after="0" w:line="15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Calculation Agent:</w:t>
      </w:r>
    </w:p>
    <w:p>
      <w:pPr>
        <w:spacing w:after="0" w:line="20" w:lineRule="exact"/>
        <w:rPr>
          <w:sz w:val="20"/>
          <w:szCs w:val="20"/>
          <w:color w:val="auto"/>
        </w:rPr>
      </w:pPr>
      <w:r>
        <w:rPr>
          <w:sz w:val="20"/>
          <w:szCs w:val="20"/>
          <w:color w:val="auto"/>
        </w:rPr>
        <w:br w:type="column"/>
      </w:r>
    </w:p>
    <w:p>
      <w:pPr>
        <w:spacing w:after="0" w:line="138" w:lineRule="exact"/>
        <w:rPr>
          <w:sz w:val="20"/>
          <w:szCs w:val="20"/>
          <w:color w:val="auto"/>
        </w:rPr>
      </w:pPr>
    </w:p>
    <w:p>
      <w:pPr>
        <w:spacing w:after="0"/>
        <w:rPr>
          <w:sz w:val="20"/>
          <w:szCs w:val="20"/>
          <w:color w:val="auto"/>
        </w:rPr>
      </w:pPr>
      <w:r>
        <w:rPr>
          <w:rFonts w:ascii="Arial" w:cs="Arial" w:eastAsia="Arial" w:hAnsi="Arial"/>
          <w:sz w:val="16"/>
          <w:szCs w:val="16"/>
          <w:color w:val="auto"/>
        </w:rPr>
        <w:t>Party A</w:t>
      </w:r>
    </w:p>
    <w:p>
      <w:pPr>
        <w:spacing w:after="0" w:line="140" w:lineRule="exact"/>
        <w:rPr>
          <w:sz w:val="20"/>
          <w:szCs w:val="20"/>
          <w:color w:val="auto"/>
        </w:rPr>
      </w:pPr>
    </w:p>
    <w:p>
      <w:pPr>
        <w:sectPr>
          <w:pgSz w:w="11900" w:h="16838" w:orient="portrait"/>
          <w:cols w:equalWidth="0" w:num="2">
            <w:col w:w="1800" w:space="380"/>
            <w:col w:w="9240"/>
          </w:cols>
          <w:pgMar w:left="240" w:top="490" w:right="239" w:bottom="1440" w:gutter="0" w:footer="0" w:header="0"/>
          <w:type w:val="continuous"/>
        </w:sectPr>
      </w:pPr>
    </w:p>
    <w:p>
      <w:pPr>
        <w:ind w:left="480"/>
        <w:spacing w:after="0"/>
        <w:rPr>
          <w:sz w:val="20"/>
          <w:szCs w:val="20"/>
          <w:color w:val="auto"/>
        </w:rPr>
      </w:pPr>
      <w:r>
        <w:rPr>
          <w:rFonts w:ascii="Arial" w:cs="Arial" w:eastAsia="Arial" w:hAnsi="Arial"/>
          <w:sz w:val="16"/>
          <w:szCs w:val="16"/>
          <w:color w:val="auto"/>
        </w:rPr>
        <w:t>Office: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For the purposes of this Transaction, Party A is not a Multibranch Party, and the Office of Party B is its Head Office Branch.</w:t>
      </w:r>
    </w:p>
    <w:p>
      <w:pPr>
        <w:spacing w:after="0" w:line="194" w:lineRule="exact"/>
        <w:rPr>
          <w:sz w:val="20"/>
          <w:szCs w:val="20"/>
          <w:color w:val="auto"/>
        </w:rPr>
      </w:pPr>
    </w:p>
    <w:p>
      <w:pPr>
        <w:sectPr>
          <w:pgSz w:w="11900" w:h="16838" w:orient="portrait"/>
          <w:cols w:equalWidth="0" w:num="2">
            <w:col w:w="1460" w:space="720"/>
            <w:col w:w="9240"/>
          </w:cols>
          <w:pgMar w:left="240" w:top="490" w:right="239" w:bottom="1440" w:gutter="0" w:footer="0" w:header="0"/>
          <w:type w:val="continuous"/>
        </w:sectPr>
      </w:pPr>
    </w:p>
    <w:p>
      <w:pPr>
        <w:ind w:right="440"/>
        <w:spacing w:after="0" w:line="268" w:lineRule="auto"/>
        <w:rPr>
          <w:sz w:val="20"/>
          <w:szCs w:val="20"/>
          <w:color w:val="auto"/>
        </w:rPr>
      </w:pPr>
      <w:r>
        <w:rPr>
          <w:rFonts w:ascii="Arial" w:cs="Arial" w:eastAsia="Arial" w:hAnsi="Arial"/>
          <w:sz w:val="18"/>
          <w:szCs w:val="18"/>
          <w:color w:val="auto"/>
        </w:rPr>
        <w:t>Please confirm your agreement with the foregoing by executing this Confirmation and returning such Confirmation, in its entirety, to us at facsimile number (+1) 646-885-9551 (United States of America), Attention: Confirmations Group.</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620" w:type="dxa"/>
            <w:vAlign w:val="bottom"/>
            <w:gridSpan w:val="2"/>
          </w:tcPr>
          <w:p>
            <w:pPr>
              <w:spacing w:after="0"/>
              <w:rPr>
                <w:sz w:val="20"/>
                <w:szCs w:val="20"/>
                <w:color w:val="auto"/>
              </w:rPr>
            </w:pPr>
            <w:r>
              <w:rPr>
                <w:rFonts w:ascii="Arial" w:cs="Arial" w:eastAsia="Arial" w:hAnsi="Arial"/>
                <w:sz w:val="18"/>
                <w:szCs w:val="18"/>
                <w:color w:val="auto"/>
              </w:rPr>
              <w:t>Yours sincerely,</w:t>
            </w:r>
          </w:p>
        </w:tc>
        <w:tc>
          <w:tcPr>
            <w:tcW w:w="6800" w:type="dxa"/>
            <w:vAlign w:val="bottom"/>
            <w:gridSpan w:val="2"/>
          </w:tcPr>
          <w:p>
            <w:pPr>
              <w:ind w:left="2160"/>
              <w:spacing w:after="0"/>
              <w:rPr>
                <w:sz w:val="20"/>
                <w:szCs w:val="20"/>
                <w:color w:val="auto"/>
              </w:rPr>
            </w:pPr>
            <w:r>
              <w:rPr>
                <w:rFonts w:ascii="Arial" w:cs="Arial" w:eastAsia="Arial" w:hAnsi="Arial"/>
                <w:sz w:val="18"/>
                <w:szCs w:val="18"/>
                <w:color w:val="auto"/>
              </w:rPr>
              <w:t>Accepted and agreed to:</w:t>
            </w:r>
          </w:p>
        </w:tc>
      </w:tr>
      <w:tr>
        <w:trPr>
          <w:trHeight w:val="432"/>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Lehman Brothers Special Financing Inc.</w:t>
            </w:r>
          </w:p>
        </w:tc>
        <w:tc>
          <w:tcPr>
            <w:tcW w:w="6800" w:type="dxa"/>
            <w:vAlign w:val="bottom"/>
            <w:gridSpan w:val="2"/>
          </w:tcPr>
          <w:p>
            <w:pPr>
              <w:ind w:left="2160"/>
              <w:spacing w:after="0"/>
              <w:rPr>
                <w:sz w:val="20"/>
                <w:szCs w:val="20"/>
                <w:color w:val="auto"/>
              </w:rPr>
            </w:pPr>
            <w:r>
              <w:rPr>
                <w:rFonts w:ascii="Arial" w:cs="Arial" w:eastAsia="Arial" w:hAnsi="Arial"/>
                <w:sz w:val="18"/>
                <w:szCs w:val="18"/>
                <w:b w:val="1"/>
                <w:bCs w:val="1"/>
                <w:color w:val="auto"/>
              </w:rPr>
              <w:t>National Cinemedia LLC</w:t>
            </w:r>
          </w:p>
        </w:tc>
      </w:tr>
      <w:tr>
        <w:trPr>
          <w:trHeight w:val="434"/>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Anatoly Kozlov</w:t>
            </w:r>
          </w:p>
        </w:tc>
        <w:tc>
          <w:tcPr>
            <w:tcW w:w="2740" w:type="dxa"/>
            <w:vAlign w:val="bottom"/>
          </w:tcPr>
          <w:p>
            <w:pPr>
              <w:ind w:left="2160"/>
              <w:spacing w:after="0"/>
              <w:rPr>
                <w:sz w:val="20"/>
                <w:szCs w:val="20"/>
                <w:color w:val="auto"/>
              </w:rPr>
            </w:pPr>
            <w:r>
              <w:rPr>
                <w:rFonts w:ascii="Arial" w:cs="Arial" w:eastAsia="Arial" w:hAnsi="Arial"/>
                <w:sz w:val="18"/>
                <w:szCs w:val="18"/>
                <w:color w:val="auto"/>
              </w:rPr>
              <w:t>By:</w:t>
            </w:r>
          </w:p>
        </w:tc>
        <w:tc>
          <w:tcPr>
            <w:tcW w:w="40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W. Ferrera</w:t>
            </w:r>
          </w:p>
        </w:tc>
      </w:tr>
      <w:tr>
        <w:trPr>
          <w:trHeight w:val="215"/>
        </w:trPr>
        <w:tc>
          <w:tcPr>
            <w:tcW w:w="4620" w:type="dxa"/>
            <w:vAlign w:val="bottom"/>
            <w:gridSpan w:val="2"/>
          </w:tcPr>
          <w:p>
            <w:pPr>
              <w:spacing w:after="0"/>
              <w:rPr>
                <w:sz w:val="20"/>
                <w:szCs w:val="20"/>
                <w:color w:val="auto"/>
              </w:rPr>
            </w:pPr>
            <w:r>
              <w:rPr>
                <w:rFonts w:ascii="Arial" w:cs="Arial" w:eastAsia="Arial" w:hAnsi="Arial"/>
                <w:sz w:val="18"/>
                <w:szCs w:val="18"/>
                <w:color w:val="auto"/>
              </w:rPr>
              <w:t>Name: Anatoly Kozlov</w:t>
            </w:r>
          </w:p>
        </w:tc>
        <w:tc>
          <w:tcPr>
            <w:tcW w:w="2740" w:type="dxa"/>
            <w:vAlign w:val="bottom"/>
          </w:tcPr>
          <w:p>
            <w:pPr>
              <w:ind w:left="2160"/>
              <w:spacing w:after="0"/>
              <w:rPr>
                <w:sz w:val="20"/>
                <w:szCs w:val="20"/>
                <w:color w:val="auto"/>
              </w:rPr>
            </w:pPr>
            <w:r>
              <w:rPr>
                <w:rFonts w:ascii="Arial" w:cs="Arial" w:eastAsia="Arial" w:hAnsi="Arial"/>
                <w:sz w:val="18"/>
                <w:szCs w:val="18"/>
                <w:color w:val="auto"/>
              </w:rPr>
              <w:t>Name:</w:t>
            </w:r>
          </w:p>
        </w:tc>
        <w:tc>
          <w:tcPr>
            <w:tcW w:w="4060" w:type="dxa"/>
            <w:vAlign w:val="bottom"/>
          </w:tcPr>
          <w:p>
            <w:pPr>
              <w:spacing w:after="0"/>
              <w:rPr>
                <w:sz w:val="20"/>
                <w:szCs w:val="20"/>
                <w:color w:val="auto"/>
              </w:rPr>
            </w:pPr>
            <w:r>
              <w:rPr>
                <w:rFonts w:ascii="Arial" w:cs="Arial" w:eastAsia="Arial" w:hAnsi="Arial"/>
                <w:sz w:val="18"/>
                <w:szCs w:val="18"/>
                <w:color w:val="auto"/>
              </w:rPr>
              <w:t>Gary W. Ferrera</w:t>
            </w:r>
          </w:p>
        </w:tc>
      </w:tr>
      <w:tr>
        <w:trPr>
          <w:trHeight w:val="222"/>
        </w:trPr>
        <w:tc>
          <w:tcPr>
            <w:tcW w:w="580" w:type="dxa"/>
            <w:vAlign w:val="bottom"/>
          </w:tcPr>
          <w:p>
            <w:pPr>
              <w:spacing w:after="0"/>
              <w:rPr>
                <w:sz w:val="19"/>
                <w:szCs w:val="19"/>
                <w:color w:val="auto"/>
              </w:rPr>
            </w:pPr>
          </w:p>
        </w:tc>
        <w:tc>
          <w:tcPr>
            <w:tcW w:w="4040" w:type="dxa"/>
            <w:vAlign w:val="bottom"/>
          </w:tcPr>
          <w:p>
            <w:pPr>
              <w:spacing w:after="0"/>
              <w:rPr>
                <w:sz w:val="19"/>
                <w:szCs w:val="19"/>
                <w:color w:val="auto"/>
              </w:rPr>
            </w:pPr>
          </w:p>
        </w:tc>
        <w:tc>
          <w:tcPr>
            <w:tcW w:w="2740" w:type="dxa"/>
            <w:vAlign w:val="bottom"/>
          </w:tcPr>
          <w:p>
            <w:pPr>
              <w:ind w:left="2160"/>
              <w:spacing w:after="0"/>
              <w:rPr>
                <w:sz w:val="20"/>
                <w:szCs w:val="20"/>
                <w:color w:val="auto"/>
              </w:rPr>
            </w:pPr>
            <w:r>
              <w:rPr>
                <w:rFonts w:ascii="Arial" w:cs="Arial" w:eastAsia="Arial" w:hAnsi="Arial"/>
                <w:sz w:val="18"/>
                <w:szCs w:val="18"/>
                <w:color w:val="auto"/>
              </w:rPr>
              <w:t>Title:</w:t>
            </w:r>
          </w:p>
        </w:tc>
        <w:tc>
          <w:tcPr>
            <w:tcW w:w="4060" w:type="dxa"/>
            <w:vAlign w:val="bottom"/>
          </w:tcPr>
          <w:p>
            <w:pPr>
              <w:spacing w:after="0"/>
              <w:rPr>
                <w:sz w:val="20"/>
                <w:szCs w:val="20"/>
                <w:color w:val="auto"/>
              </w:rPr>
            </w:pPr>
            <w:r>
              <w:rPr>
                <w:rFonts w:ascii="Arial" w:cs="Arial" w:eastAsia="Arial" w:hAnsi="Arial"/>
                <w:sz w:val="18"/>
                <w:szCs w:val="18"/>
                <w:color w:val="auto"/>
              </w:rPr>
              <w:t>CFO/EVP</w:t>
            </w:r>
          </w:p>
        </w:tc>
      </w:tr>
    </w:tbl>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3 of 3</w:t>
      </w:r>
    </w:p>
    <w:p>
      <w:pPr>
        <w:sectPr>
          <w:pgSz w:w="11900" w:h="16838" w:orient="portrait"/>
          <w:cols w:equalWidth="0" w:num="1">
            <w:col w:w="11420"/>
          </w:cols>
          <w:pgMar w:left="240" w:top="490" w:right="239" w:bottom="1440" w:gutter="0" w:footer="0" w:header="0"/>
          <w:type w:val="continuous"/>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10.6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(Multicurrency-Cross Border)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118110</wp:posOffset>
            </wp:positionV>
            <wp:extent cx="1629410" cy="44577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62941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International Swaps and Derivatives Association, Inc.</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MASTER AGREEMENT</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March 2nd, 2007</w:t>
      </w:r>
    </w:p>
    <w:p>
      <w:pPr>
        <w:sectPr>
          <w:pgSz w:w="11900" w:h="16838" w:orient="portrait"/>
          <w:cols w:equalWidth="0" w:num="1">
            <w:col w:w="11420"/>
          </w:cols>
          <w:pgMar w:left="240" w:top="125" w:right="239" w:bottom="1440" w:gutter="0" w:footer="0" w:header="0"/>
        </w:sectPr>
      </w:pPr>
    </w:p>
    <w:p>
      <w:pPr>
        <w:spacing w:after="0" w:line="206" w:lineRule="exact"/>
        <w:rPr>
          <w:sz w:val="20"/>
          <w:szCs w:val="20"/>
          <w:color w:val="auto"/>
        </w:rPr>
      </w:pPr>
    </w:p>
    <w:p>
      <w:pPr>
        <w:ind w:left="1040"/>
        <w:spacing w:after="0"/>
        <w:rPr>
          <w:sz w:val="20"/>
          <w:szCs w:val="20"/>
          <w:color w:val="auto"/>
        </w:rPr>
      </w:pPr>
      <w:r>
        <w:rPr>
          <w:rFonts w:ascii="Arial" w:cs="Arial" w:eastAsia="Arial" w:hAnsi="Arial"/>
          <w:sz w:val="16"/>
          <w:szCs w:val="16"/>
          <w:b w:val="1"/>
          <w:bCs w:val="1"/>
          <w:color w:val="auto"/>
        </w:rPr>
        <w:t>LEHMAN BROTHERS</w:t>
      </w:r>
    </w:p>
    <w:p>
      <w:pPr>
        <w:spacing w:after="0" w:line="20" w:lineRule="exact"/>
        <w:rPr>
          <w:sz w:val="20"/>
          <w:szCs w:val="20"/>
          <w:color w:val="auto"/>
        </w:rPr>
      </w:pPr>
      <w:r>
        <w:rPr>
          <w:sz w:val="20"/>
          <w:szCs w:val="20"/>
          <w:color w:val="auto"/>
        </w:rPr>
        <w:br w:type="column"/>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CINEMEDIA, LLC</w:t>
      </w:r>
    </w:p>
    <w:p>
      <w:pPr>
        <w:spacing w:after="0" w:line="21" w:lineRule="exact"/>
        <w:rPr>
          <w:sz w:val="20"/>
          <w:szCs w:val="20"/>
          <w:color w:val="auto"/>
        </w:rPr>
      </w:pPr>
    </w:p>
    <w:p>
      <w:pPr>
        <w:sectPr>
          <w:pgSz w:w="11900" w:h="16838" w:orient="portrait"/>
          <w:cols w:equalWidth="0" w:num="2">
            <w:col w:w="7640" w:space="720"/>
            <w:col w:w="3060"/>
          </w:cols>
          <w:pgMar w:left="240" w:top="125" w:right="239" w:bottom="1440" w:gutter="0" w:footer="0" w:header="0"/>
          <w:type w:val="continuous"/>
        </w:sectPr>
      </w:pPr>
    </w:p>
    <w:p>
      <w:pPr>
        <w:ind w:left="840"/>
        <w:spacing w:after="0"/>
        <w:rPr>
          <w:sz w:val="20"/>
          <w:szCs w:val="20"/>
          <w:color w:val="auto"/>
        </w:rPr>
      </w:pPr>
      <w:r>
        <w:rPr>
          <w:rFonts w:ascii="Arial" w:cs="Arial" w:eastAsia="Arial" w:hAnsi="Arial"/>
          <w:sz w:val="18"/>
          <w:szCs w:val="18"/>
          <w:b w:val="1"/>
          <w:bCs w:val="1"/>
          <w:color w:val="auto"/>
        </w:rPr>
        <w:t>SPECIAL FINANCING INC.</w:t>
      </w:r>
    </w:p>
    <w:p>
      <w:pPr>
        <w:spacing w:after="0" w:line="178" w:lineRule="exact"/>
        <w:rPr>
          <w:sz w:val="20"/>
          <w:szCs w:val="20"/>
          <w:color w:val="auto"/>
        </w:rPr>
      </w:pPr>
    </w:p>
    <w:p>
      <w:pPr>
        <w:ind w:left="1880"/>
        <w:spacing w:after="0"/>
        <w:rPr>
          <w:sz w:val="20"/>
          <w:szCs w:val="20"/>
          <w:color w:val="auto"/>
        </w:rPr>
      </w:pPr>
      <w:r>
        <w:rPr>
          <w:rFonts w:ascii="Arial" w:cs="Arial" w:eastAsia="Arial" w:hAnsi="Arial"/>
          <w:sz w:val="18"/>
          <w:szCs w:val="18"/>
          <w:color w:val="auto"/>
        </w:rPr>
        <w:t>………………………………………………………and ………………………………………………………</w:t>
      </w:r>
    </w:p>
    <w:p>
      <w:pPr>
        <w:spacing w:after="0" w:line="171" w:lineRule="exact"/>
        <w:rPr>
          <w:sz w:val="20"/>
          <w:szCs w:val="20"/>
          <w:color w:val="auto"/>
        </w:rPr>
      </w:pPr>
    </w:p>
    <w:p>
      <w:pPr>
        <w:ind w:right="600"/>
        <w:spacing w:after="0" w:line="259" w:lineRule="auto"/>
        <w:rPr>
          <w:sz w:val="20"/>
          <w:szCs w:val="20"/>
          <w:color w:val="auto"/>
        </w:rPr>
      </w:pPr>
      <w:r>
        <w:rPr>
          <w:rFonts w:ascii="Arial" w:cs="Arial" w:eastAsia="Arial" w:hAnsi="Arial"/>
          <w:sz w:val="18"/>
          <w:szCs w:val="18"/>
          <w:color w:val="auto"/>
        </w:rPr>
        <w:t>have entered and/or anticipate entering into one or more transactions (each a “Transaction”) that are or will be governed by this Master Agreement, which includes the schedule (the “Schedule”), and the documents and other confirming evidence (each a “Confirmation”) exchanged between the parties confirming those Transactions.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color w:val="auto"/>
        </w:rPr>
        <w:t>Accordingly, the parties agree as follows:—</w:t>
      </w:r>
    </w:p>
    <w:p>
      <w:pPr>
        <w:spacing w:after="0" w:line="84" w:lineRule="exact"/>
        <w:rPr>
          <w:sz w:val="20"/>
          <w:szCs w:val="20"/>
          <w:color w:val="auto"/>
        </w:rPr>
      </w:pPr>
    </w:p>
    <w:p>
      <w:pPr>
        <w:ind w:left="460" w:hanging="452"/>
        <w:spacing w:after="0"/>
        <w:tabs>
          <w:tab w:leader="none" w:pos="460" w:val="left"/>
        </w:tabs>
        <w:numPr>
          <w:ilvl w:val="0"/>
          <w:numId w:val="166"/>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w:t>
      </w:r>
    </w:p>
    <w:p>
      <w:pPr>
        <w:spacing w:after="0" w:line="96" w:lineRule="exact"/>
        <w:rPr>
          <w:sz w:val="20"/>
          <w:szCs w:val="20"/>
          <w:color w:val="auto"/>
        </w:rPr>
      </w:pPr>
    </w:p>
    <w:p>
      <w:pPr>
        <w:ind w:left="240" w:hanging="232"/>
        <w:spacing w:after="0"/>
        <w:tabs>
          <w:tab w:leader="none" w:pos="240" w:val="left"/>
        </w:tabs>
        <w:numPr>
          <w:ilvl w:val="0"/>
          <w:numId w:val="16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The terms defined in Section 14 and in the Schedule will have the meanings therein specified for the purpose of this Master Agreement.</w:t>
      </w:r>
    </w:p>
    <w:p>
      <w:pPr>
        <w:spacing w:after="0" w:line="194" w:lineRule="exact"/>
        <w:rPr>
          <w:rFonts w:ascii="Arial" w:cs="Arial" w:eastAsia="Arial" w:hAnsi="Arial"/>
          <w:sz w:val="16"/>
          <w:szCs w:val="16"/>
          <w:color w:val="auto"/>
        </w:rPr>
      </w:pPr>
    </w:p>
    <w:p>
      <w:pPr>
        <w:ind w:right="80" w:firstLine="8"/>
        <w:spacing w:after="0" w:line="259" w:lineRule="auto"/>
        <w:tabs>
          <w:tab w:leader="none" w:pos="249" w:val="left"/>
        </w:tabs>
        <w:numPr>
          <w:ilvl w:val="0"/>
          <w:numId w:val="1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Inconsistency. </w:t>
      </w:r>
      <w:r>
        <w:rPr>
          <w:rFonts w:ascii="Arial" w:cs="Arial" w:eastAsia="Arial" w:hAnsi="Arial"/>
          <w:sz w:val="18"/>
          <w:szCs w:val="18"/>
          <w:color w:val="auto"/>
        </w:rPr>
        <w:t>In the event of any inconsistency between the provisions of the Schedule and the other provisions of this Master Agreement, the Schedule will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prevail. In the event of any inconsistency between the provisions of any Confirmation and this Master Agreement (including the Schedule), such Confirmation will prevail for the purpose of the relevant Transaction.</w:t>
      </w:r>
    </w:p>
    <w:p>
      <w:pPr>
        <w:spacing w:after="0" w:line="140" w:lineRule="exact"/>
        <w:rPr>
          <w:rFonts w:ascii="Arial" w:cs="Arial" w:eastAsia="Arial" w:hAnsi="Arial"/>
          <w:sz w:val="18"/>
          <w:szCs w:val="18"/>
          <w:color w:val="auto"/>
        </w:rPr>
      </w:pPr>
    </w:p>
    <w:p>
      <w:pPr>
        <w:ind w:right="20" w:firstLine="8"/>
        <w:spacing w:after="0" w:line="268" w:lineRule="auto"/>
        <w:tabs>
          <w:tab w:leader="none" w:pos="239" w:val="left"/>
        </w:tabs>
        <w:numPr>
          <w:ilvl w:val="0"/>
          <w:numId w:val="16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Single Agreement. </w:t>
      </w:r>
      <w:r>
        <w:rPr>
          <w:rFonts w:ascii="Arial" w:cs="Arial" w:eastAsia="Arial" w:hAnsi="Arial"/>
          <w:sz w:val="18"/>
          <w:szCs w:val="18"/>
          <w:color w:val="auto"/>
        </w:rPr>
        <w:t>All Transactions are entered into in reliance on the fact that this Master Agreement and all Confirmations form a single agreement between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parties (collectively referred to as this “Agreement”), and the parties would not otherwise enter into any Transactions.</w:t>
      </w:r>
    </w:p>
    <w:p>
      <w:pPr>
        <w:spacing w:after="0" w:line="248" w:lineRule="exact"/>
        <w:rPr>
          <w:sz w:val="20"/>
          <w:szCs w:val="20"/>
          <w:color w:val="auto"/>
        </w:rPr>
      </w:pPr>
    </w:p>
    <w:p>
      <w:pPr>
        <w:ind w:left="460" w:hanging="452"/>
        <w:spacing w:after="0"/>
        <w:tabs>
          <w:tab w:leader="none" w:pos="460" w:val="left"/>
        </w:tabs>
        <w:numPr>
          <w:ilvl w:val="0"/>
          <w:numId w:val="168"/>
        </w:numPr>
        <w:rPr>
          <w:rFonts w:ascii="Arial" w:cs="Arial" w:eastAsia="Arial" w:hAnsi="Arial"/>
          <w:sz w:val="18"/>
          <w:szCs w:val="18"/>
          <w:b w:val="1"/>
          <w:bCs w:val="1"/>
          <w:color w:val="auto"/>
        </w:rPr>
      </w:pPr>
      <w:r>
        <w:rPr>
          <w:rFonts w:ascii="Arial" w:cs="Arial" w:eastAsia="Arial" w:hAnsi="Arial"/>
          <w:sz w:val="18"/>
          <w:szCs w:val="18"/>
          <w:b w:val="1"/>
          <w:bCs w:val="1"/>
          <w:color w:val="auto"/>
        </w:rPr>
        <w:t>Obligations</w:t>
      </w:r>
    </w:p>
    <w:p>
      <w:pPr>
        <w:spacing w:after="0" w:line="96" w:lineRule="exact"/>
        <w:rPr>
          <w:sz w:val="20"/>
          <w:szCs w:val="20"/>
          <w:color w:val="auto"/>
        </w:rPr>
      </w:pPr>
    </w:p>
    <w:p>
      <w:pPr>
        <w:ind w:left="240" w:hanging="232"/>
        <w:spacing w:after="0"/>
        <w:tabs>
          <w:tab w:leader="none" w:pos="240" w:val="left"/>
        </w:tabs>
        <w:numPr>
          <w:ilvl w:val="0"/>
          <w:numId w:val="169"/>
        </w:numPr>
        <w:rPr>
          <w:rFonts w:ascii="Arial" w:cs="Arial" w:eastAsia="Arial" w:hAnsi="Arial"/>
          <w:sz w:val="18"/>
          <w:szCs w:val="18"/>
          <w:color w:val="auto"/>
        </w:rPr>
      </w:pPr>
      <w:r>
        <w:rPr>
          <w:rFonts w:ascii="Arial" w:cs="Arial" w:eastAsia="Arial" w:hAnsi="Arial"/>
          <w:sz w:val="18"/>
          <w:szCs w:val="18"/>
          <w:b w:val="1"/>
          <w:bCs w:val="1"/>
          <w:i w:val="1"/>
          <w:iCs w:val="1"/>
          <w:color w:val="auto"/>
        </w:rPr>
        <w:t>General Conditions.</w:t>
      </w:r>
    </w:p>
    <w:p>
      <w:pPr>
        <w:spacing w:after="0" w:line="90" w:lineRule="exact"/>
        <w:rPr>
          <w:rFonts w:ascii="Arial" w:cs="Arial" w:eastAsia="Arial" w:hAnsi="Arial"/>
          <w:sz w:val="18"/>
          <w:szCs w:val="18"/>
          <w:color w:val="auto"/>
        </w:rPr>
      </w:pPr>
    </w:p>
    <w:p>
      <w:pPr>
        <w:ind w:left="680" w:hanging="216"/>
        <w:spacing w:after="0"/>
        <w:tabs>
          <w:tab w:leader="none" w:pos="680" w:val="left"/>
        </w:tabs>
        <w:numPr>
          <w:ilvl w:val="1"/>
          <w:numId w:val="169"/>
        </w:numPr>
        <w:rPr>
          <w:rFonts w:ascii="Arial" w:cs="Arial" w:eastAsia="Arial" w:hAnsi="Arial"/>
          <w:sz w:val="16"/>
          <w:szCs w:val="16"/>
          <w:color w:val="auto"/>
        </w:rPr>
      </w:pPr>
      <w:r>
        <w:rPr>
          <w:rFonts w:ascii="Arial" w:cs="Arial" w:eastAsia="Arial" w:hAnsi="Arial"/>
          <w:sz w:val="16"/>
          <w:szCs w:val="16"/>
          <w:color w:val="auto"/>
        </w:rPr>
        <w:t>Each party will make each payment or delivery specified in each Confirmation to be made by it, subject to the other provisions of this Agreement.</w:t>
      </w:r>
    </w:p>
    <w:p>
      <w:pPr>
        <w:spacing w:after="0" w:line="113" w:lineRule="exact"/>
        <w:rPr>
          <w:rFonts w:ascii="Arial" w:cs="Arial" w:eastAsia="Arial" w:hAnsi="Arial"/>
          <w:sz w:val="16"/>
          <w:szCs w:val="16"/>
          <w:color w:val="auto"/>
        </w:rPr>
      </w:pPr>
    </w:p>
    <w:p>
      <w:pPr>
        <w:ind w:left="460" w:right="60" w:firstLine="4"/>
        <w:spacing w:after="0" w:line="298" w:lineRule="auto"/>
        <w:tabs>
          <w:tab w:leader="none" w:pos="719" w:val="left"/>
        </w:tabs>
        <w:numPr>
          <w:ilvl w:val="1"/>
          <w:numId w:val="169"/>
        </w:numPr>
        <w:rPr>
          <w:rFonts w:ascii="Arial" w:cs="Arial" w:eastAsia="Arial" w:hAnsi="Arial"/>
          <w:sz w:val="16"/>
          <w:szCs w:val="16"/>
          <w:color w:val="auto"/>
        </w:rPr>
      </w:pPr>
      <w:r>
        <w:rPr>
          <w:rFonts w:ascii="Arial" w:cs="Arial" w:eastAsia="Arial" w:hAnsi="Arial"/>
          <w:sz w:val="16"/>
          <w:szCs w:val="16"/>
          <w:color w:val="auto"/>
        </w:rPr>
        <w:t>Payments under this Agreement will be made on the due date for value on that date in the place of the account specified in the relevant Confirmation or otherwise pursuant to this Agreement, in freely transferable funds and in the manner customary for payments in the required currency. Where settlement is by delivery (that is, other than by payment), such delivery will be made for receipt on the due date in the manner customary for the relevant obligation unless otherwise specified in the relevant Confirmation or elsewhere in this Agreement.</w:t>
      </w:r>
    </w:p>
    <w:p>
      <w:pPr>
        <w:spacing w:after="0" w:line="31" w:lineRule="exact"/>
        <w:rPr>
          <w:rFonts w:ascii="Arial" w:cs="Arial" w:eastAsia="Arial" w:hAnsi="Arial"/>
          <w:sz w:val="16"/>
          <w:szCs w:val="16"/>
          <w:color w:val="auto"/>
        </w:rPr>
      </w:pPr>
    </w:p>
    <w:p>
      <w:pPr>
        <w:ind w:left="460" w:right="80" w:firstLine="4"/>
        <w:spacing w:after="0" w:line="286" w:lineRule="auto"/>
        <w:tabs>
          <w:tab w:leader="none" w:pos="767" w:val="left"/>
        </w:tabs>
        <w:numPr>
          <w:ilvl w:val="1"/>
          <w:numId w:val="169"/>
        </w:numPr>
        <w:rPr>
          <w:rFonts w:ascii="Arial" w:cs="Arial" w:eastAsia="Arial" w:hAnsi="Arial"/>
          <w:sz w:val="16"/>
          <w:szCs w:val="16"/>
          <w:color w:val="auto"/>
        </w:rPr>
      </w:pPr>
      <w:r>
        <w:rPr>
          <w:rFonts w:ascii="Arial" w:cs="Arial" w:eastAsia="Arial" w:hAnsi="Arial"/>
          <w:sz w:val="16"/>
          <w:szCs w:val="16"/>
          <w:color w:val="auto"/>
        </w:rPr>
        <w:t>Each obligation of each party under Section 2(a)(i) is subject to (1) the condition precedent that no Event of Default or Potential Event of Default with respect to the other party has occurred and is continuing, (2) the condition precedent that no Early Termination Date in respect of the</w:t>
      </w:r>
    </w:p>
    <w:p>
      <w:pPr>
        <w:ind w:left="460"/>
        <w:spacing w:after="0"/>
        <w:rPr>
          <w:rFonts w:ascii="Arial" w:cs="Arial" w:eastAsia="Arial" w:hAnsi="Arial"/>
          <w:sz w:val="16"/>
          <w:szCs w:val="16"/>
          <w:color w:val="auto"/>
        </w:rPr>
      </w:pPr>
      <w:r>
        <w:rPr>
          <w:rFonts w:ascii="Arial" w:cs="Arial" w:eastAsia="Arial" w:hAnsi="Arial"/>
          <w:sz w:val="16"/>
          <w:szCs w:val="16"/>
          <w:color w:val="auto"/>
        </w:rPr>
        <w:t>relevant Transaction has occurred or been effectively designated and (3) each other applicable condition precedent specified in this Agreement.</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Copyright © 1992 by International Swaps and Derivatives Association, Inc.</w:t>
      </w:r>
    </w:p>
    <w:p>
      <w:pPr>
        <w:sectPr>
          <w:pgSz w:w="11900" w:h="16838" w:orient="portrait"/>
          <w:cols w:equalWidth="0" w:num="1">
            <w:col w:w="11420"/>
          </w:cols>
          <w:pgMar w:left="240" w:top="125" w:right="239" w:bottom="1440" w:gutter="0" w:footer="0" w:header="0"/>
          <w:type w:val="continuous"/>
        </w:sectPr>
      </w:pPr>
    </w:p>
    <w:bookmarkStart w:id="102" w:name="page103"/>
    <w:bookmarkEnd w:id="102"/>
    <w:p>
      <w:pPr>
        <w:jc w:val="both"/>
        <w:ind w:right="220" w:firstLine="8"/>
        <w:spacing w:after="0" w:line="259" w:lineRule="auto"/>
        <w:tabs>
          <w:tab w:leader="none" w:pos="249" w:val="left"/>
        </w:tabs>
        <w:numPr>
          <w:ilvl w:val="0"/>
          <w:numId w:val="170"/>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Change of Account. </w:t>
      </w:r>
      <w:r>
        <w:rPr>
          <w:rFonts w:ascii="Arial" w:cs="Arial" w:eastAsia="Arial" w:hAnsi="Arial"/>
          <w:sz w:val="18"/>
          <w:szCs w:val="18"/>
          <w:color w:val="auto"/>
        </w:rPr>
        <w:t>Either party may change its account for receiving a payment or delivery by giving notice to the other party at least five Local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Days prior to the scheduled date for the payment or delivery to which such change applies unless such other party gives timely notice of a reasonable objection to such change.</w:t>
      </w:r>
    </w:p>
    <w:p>
      <w:pPr>
        <w:spacing w:after="0" w:line="140" w:lineRule="exact"/>
        <w:rPr>
          <w:rFonts w:ascii="Arial" w:cs="Arial" w:eastAsia="Arial" w:hAnsi="Arial"/>
          <w:sz w:val="18"/>
          <w:szCs w:val="18"/>
          <w:color w:val="auto"/>
        </w:rPr>
      </w:pPr>
    </w:p>
    <w:p>
      <w:pPr>
        <w:ind w:left="240" w:hanging="232"/>
        <w:spacing w:after="0"/>
        <w:tabs>
          <w:tab w:leader="none" w:pos="240" w:val="left"/>
        </w:tabs>
        <w:numPr>
          <w:ilvl w:val="0"/>
          <w:numId w:val="17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Netting. </w:t>
      </w:r>
      <w:r>
        <w:rPr>
          <w:rFonts w:ascii="Arial" w:cs="Arial" w:eastAsia="Arial" w:hAnsi="Arial"/>
          <w:sz w:val="18"/>
          <w:szCs w:val="18"/>
          <w:color w:val="auto"/>
        </w:rPr>
        <w:t>If on any date amounts would otherwise be payable:—</w:t>
      </w:r>
    </w:p>
    <w:p>
      <w:pPr>
        <w:spacing w:after="0" w:line="90" w:lineRule="exact"/>
        <w:rPr>
          <w:rFonts w:ascii="Arial" w:cs="Arial" w:eastAsia="Arial" w:hAnsi="Arial"/>
          <w:sz w:val="18"/>
          <w:szCs w:val="18"/>
          <w:color w:val="auto"/>
        </w:rPr>
      </w:pPr>
    </w:p>
    <w:p>
      <w:pPr>
        <w:ind w:left="680" w:hanging="216"/>
        <w:spacing w:after="0"/>
        <w:tabs>
          <w:tab w:leader="none" w:pos="68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in the same currency; and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in respect of the same Transaction,</w:t>
      </w:r>
    </w:p>
    <w:p>
      <w:pPr>
        <w:spacing w:after="0" w:line="171"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by each party to the other, then, on such date, each party’s obligation to make payment of any such amount will be automatically satisfied and discharged and, if the aggregate amount that would otherwise have been payable by one party exceeds the aggregate amount that would otherwise have been payable by the other party, replaced by an obligation upon the party by whom the larger aggregate amount would have been payable to pay to the other party the excess of the larger aggregate amount over the smaller aggregate amount.</w:t>
      </w:r>
    </w:p>
    <w:p>
      <w:pPr>
        <w:spacing w:after="0" w:line="143"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The parties may elect in respect of two or more Transactions that a net amount will be determined in respect of all amounts payable on the same date in the same currency in respect of such Transactions, regardless of whether such amounts are payable in respect of the same Transaction. The election may be made in the Schedule or a Confirmation by specifying that subparagraph (ii) above will not apply to the Transactions identified as being subject to the election, together with the starting date (in which case subparagraph (ii) above will not, or will cease to, apply to such Transactions from such date). This election may be made separately for different groups of Transactions and will apply separately to each pairing of Offices through which the parties make and receive payments or deliveries.</w:t>
      </w:r>
    </w:p>
    <w:p>
      <w:pPr>
        <w:spacing w:after="0" w:line="144" w:lineRule="exact"/>
        <w:rPr>
          <w:sz w:val="20"/>
          <w:szCs w:val="20"/>
          <w:color w:val="auto"/>
        </w:rPr>
      </w:pPr>
    </w:p>
    <w:p>
      <w:pPr>
        <w:ind w:left="260" w:hanging="252"/>
        <w:spacing w:after="0"/>
        <w:tabs>
          <w:tab w:leader="none" w:pos="260" w:val="left"/>
        </w:tabs>
        <w:numPr>
          <w:ilvl w:val="0"/>
          <w:numId w:val="171"/>
        </w:numPr>
        <w:rPr>
          <w:rFonts w:ascii="Arial" w:cs="Arial" w:eastAsia="Arial" w:hAnsi="Arial"/>
          <w:sz w:val="18"/>
          <w:szCs w:val="18"/>
          <w:color w:val="auto"/>
        </w:rPr>
      </w:pPr>
      <w:r>
        <w:rPr>
          <w:rFonts w:ascii="Arial" w:cs="Arial" w:eastAsia="Arial" w:hAnsi="Arial"/>
          <w:sz w:val="18"/>
          <w:szCs w:val="18"/>
          <w:b w:val="1"/>
          <w:bCs w:val="1"/>
          <w:i w:val="1"/>
          <w:iCs w:val="1"/>
          <w:color w:val="auto"/>
        </w:rPr>
        <w:t>Deduction or Withholding for Tax.</w:t>
      </w:r>
    </w:p>
    <w:p>
      <w:pPr>
        <w:spacing w:after="0" w:line="90" w:lineRule="exact"/>
        <w:rPr>
          <w:rFonts w:ascii="Arial" w:cs="Arial" w:eastAsia="Arial" w:hAnsi="Arial"/>
          <w:sz w:val="18"/>
          <w:szCs w:val="18"/>
          <w:color w:val="auto"/>
        </w:rPr>
      </w:pPr>
    </w:p>
    <w:p>
      <w:pPr>
        <w:ind w:left="460" w:firstLine="4"/>
        <w:spacing w:after="0" w:line="259" w:lineRule="auto"/>
        <w:tabs>
          <w:tab w:leader="none" w:pos="670" w:val="left"/>
        </w:tabs>
        <w:numPr>
          <w:ilvl w:val="1"/>
          <w:numId w:val="17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Gross-Up. </w:t>
      </w:r>
      <w:r>
        <w:rPr>
          <w:rFonts w:ascii="Arial" w:cs="Arial" w:eastAsia="Arial" w:hAnsi="Arial"/>
          <w:sz w:val="18"/>
          <w:szCs w:val="18"/>
          <w:color w:val="auto"/>
        </w:rPr>
        <w:t>All payments under this Agreement will be made without any deduction or withholding for or on account of any Tax unless such deduction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withholding is required by any applicable law, as modified by the practice of any relevant governmental revenue authority, then in effect. If a party is so required to deduct or withhold, then that party (“X”) will:—</w:t>
      </w:r>
    </w:p>
    <w:p>
      <w:pPr>
        <w:spacing w:after="0" w:line="59" w:lineRule="exact"/>
        <w:rPr>
          <w:rFonts w:ascii="Arial" w:cs="Arial" w:eastAsia="Arial" w:hAnsi="Arial"/>
          <w:sz w:val="18"/>
          <w:szCs w:val="18"/>
          <w:color w:val="auto"/>
        </w:rPr>
      </w:pPr>
    </w:p>
    <w:p>
      <w:pPr>
        <w:ind w:left="1160" w:hanging="239"/>
        <w:spacing w:after="0"/>
        <w:tabs>
          <w:tab w:leader="none" w:pos="1160" w:val="left"/>
        </w:tabs>
        <w:numPr>
          <w:ilvl w:val="2"/>
          <w:numId w:val="171"/>
        </w:numPr>
        <w:rPr>
          <w:rFonts w:ascii="Arial" w:cs="Arial" w:eastAsia="Arial" w:hAnsi="Arial"/>
          <w:sz w:val="18"/>
          <w:szCs w:val="18"/>
          <w:color w:val="auto"/>
        </w:rPr>
      </w:pPr>
      <w:r>
        <w:rPr>
          <w:rFonts w:ascii="Arial" w:cs="Arial" w:eastAsia="Arial" w:hAnsi="Arial"/>
          <w:sz w:val="18"/>
          <w:szCs w:val="18"/>
          <w:color w:val="auto"/>
        </w:rPr>
        <w:t>promptly notify the other party (“Y”) of such requirement;</w:t>
      </w:r>
    </w:p>
    <w:p>
      <w:pPr>
        <w:spacing w:after="0" w:line="90" w:lineRule="exact"/>
        <w:rPr>
          <w:rFonts w:ascii="Arial" w:cs="Arial" w:eastAsia="Arial" w:hAnsi="Arial"/>
          <w:sz w:val="18"/>
          <w:szCs w:val="18"/>
          <w:color w:val="auto"/>
        </w:rPr>
      </w:pPr>
    </w:p>
    <w:p>
      <w:pPr>
        <w:ind w:left="920" w:right="80" w:firstLine="1"/>
        <w:spacing w:after="0" w:line="259" w:lineRule="auto"/>
        <w:tabs>
          <w:tab w:leader="none" w:pos="1169" w:val="left"/>
        </w:tabs>
        <w:numPr>
          <w:ilvl w:val="2"/>
          <w:numId w:val="171"/>
        </w:numPr>
        <w:rPr>
          <w:rFonts w:ascii="Arial" w:cs="Arial" w:eastAsia="Arial" w:hAnsi="Arial"/>
          <w:sz w:val="18"/>
          <w:szCs w:val="18"/>
          <w:color w:val="auto"/>
        </w:rPr>
      </w:pPr>
      <w:r>
        <w:rPr>
          <w:rFonts w:ascii="Arial" w:cs="Arial" w:eastAsia="Arial" w:hAnsi="Arial"/>
          <w:sz w:val="18"/>
          <w:szCs w:val="18"/>
          <w:color w:val="auto"/>
        </w:rPr>
        <w:t>pay to the relevant authorities the full amount required to be deducted or withheld (including the full amount required to be deducted or withheld from any additional amount paid by X to Y under this Section 2(d)) promptly upon the earlier of determining that such deduction or withholding is required or receiving notice that such amount has been assessed against Y;</w:t>
      </w:r>
    </w:p>
    <w:p>
      <w:pPr>
        <w:spacing w:after="0" w:line="59" w:lineRule="exact"/>
        <w:rPr>
          <w:rFonts w:ascii="Arial" w:cs="Arial" w:eastAsia="Arial" w:hAnsi="Arial"/>
          <w:sz w:val="18"/>
          <w:szCs w:val="18"/>
          <w:color w:val="auto"/>
        </w:rPr>
      </w:pPr>
    </w:p>
    <w:p>
      <w:pPr>
        <w:ind w:left="920" w:right="240" w:firstLine="1"/>
        <w:spacing w:after="0" w:line="268" w:lineRule="auto"/>
        <w:tabs>
          <w:tab w:leader="none" w:pos="1169" w:val="left"/>
        </w:tabs>
        <w:numPr>
          <w:ilvl w:val="2"/>
          <w:numId w:val="171"/>
        </w:numPr>
        <w:rPr>
          <w:rFonts w:ascii="Arial" w:cs="Arial" w:eastAsia="Arial" w:hAnsi="Arial"/>
          <w:sz w:val="18"/>
          <w:szCs w:val="18"/>
          <w:color w:val="auto"/>
        </w:rPr>
      </w:pPr>
      <w:r>
        <w:rPr>
          <w:rFonts w:ascii="Arial" w:cs="Arial" w:eastAsia="Arial" w:hAnsi="Arial"/>
          <w:sz w:val="18"/>
          <w:szCs w:val="18"/>
          <w:color w:val="auto"/>
        </w:rPr>
        <w:t>promptly forward to Y an official receipt (or a certified copy), or other documentation reasonably acceptable to Y, evidencing such payment to such authorities; and</w:t>
      </w:r>
    </w:p>
    <w:p>
      <w:pPr>
        <w:spacing w:after="0" w:line="50" w:lineRule="exact"/>
        <w:rPr>
          <w:rFonts w:ascii="Arial" w:cs="Arial" w:eastAsia="Arial" w:hAnsi="Arial"/>
          <w:sz w:val="18"/>
          <w:szCs w:val="18"/>
          <w:color w:val="auto"/>
        </w:rPr>
      </w:pPr>
    </w:p>
    <w:p>
      <w:pPr>
        <w:ind w:left="920" w:right="40" w:firstLine="1"/>
        <w:spacing w:after="0" w:line="298" w:lineRule="auto"/>
        <w:tabs>
          <w:tab w:leader="none" w:pos="1169" w:val="left"/>
        </w:tabs>
        <w:numPr>
          <w:ilvl w:val="2"/>
          <w:numId w:val="171"/>
        </w:numPr>
        <w:rPr>
          <w:rFonts w:ascii="Arial" w:cs="Arial" w:eastAsia="Arial" w:hAnsi="Arial"/>
          <w:sz w:val="16"/>
          <w:szCs w:val="16"/>
          <w:color w:val="auto"/>
        </w:rPr>
      </w:pPr>
      <w:r>
        <w:rPr>
          <w:rFonts w:ascii="Arial" w:cs="Arial" w:eastAsia="Arial" w:hAnsi="Arial"/>
          <w:sz w:val="16"/>
          <w:szCs w:val="16"/>
          <w:color w:val="auto"/>
        </w:rPr>
        <w:t>if such Tax is an Indemnifiable Tax, pay to Y, in addition to the payment to which Y is otherwise entitled under this Agreement, such additional amount as is necessary to ensure that the net amount actually received by Y (free and clear of Indemnifiable Taxes, whether assessed against X or Y) will equal the full amount Y would have received had no such deduction or withholding been required. However, X will not be required to pay any additional amount to Y to the extent that it would not be required to be paid but for:—</w:t>
      </w:r>
    </w:p>
    <w:p>
      <w:pPr>
        <w:spacing w:after="0" w:line="31" w:lineRule="exact"/>
        <w:rPr>
          <w:rFonts w:ascii="Arial" w:cs="Arial" w:eastAsia="Arial" w:hAnsi="Arial"/>
          <w:sz w:val="16"/>
          <w:szCs w:val="16"/>
          <w:color w:val="auto"/>
        </w:rPr>
      </w:pPr>
    </w:p>
    <w:p>
      <w:pPr>
        <w:ind w:left="1780" w:hanging="288"/>
        <w:spacing w:after="0"/>
        <w:tabs>
          <w:tab w:leader="none" w:pos="1780" w:val="left"/>
        </w:tabs>
        <w:numPr>
          <w:ilvl w:val="3"/>
          <w:numId w:val="171"/>
        </w:numPr>
        <w:rPr>
          <w:rFonts w:ascii="Arial" w:cs="Arial" w:eastAsia="Arial" w:hAnsi="Arial"/>
          <w:sz w:val="18"/>
          <w:szCs w:val="18"/>
          <w:color w:val="auto"/>
        </w:rPr>
      </w:pPr>
      <w:r>
        <w:rPr>
          <w:rFonts w:ascii="Arial" w:cs="Arial" w:eastAsia="Arial" w:hAnsi="Arial"/>
          <w:sz w:val="18"/>
          <w:szCs w:val="18"/>
          <w:color w:val="auto"/>
        </w:rPr>
        <w:t>the failure by Y to comply with or perform any agreement contained in Section 4(a)(i), 4(a)(iii) or 4(d); or</w:t>
      </w:r>
    </w:p>
    <w:p>
      <w:pPr>
        <w:spacing w:after="0" w:line="90" w:lineRule="exact"/>
        <w:rPr>
          <w:rFonts w:ascii="Arial" w:cs="Arial" w:eastAsia="Arial" w:hAnsi="Arial"/>
          <w:sz w:val="18"/>
          <w:szCs w:val="18"/>
          <w:color w:val="auto"/>
        </w:rPr>
      </w:pPr>
    </w:p>
    <w:p>
      <w:pPr>
        <w:ind w:left="1500" w:right="20" w:hanging="8"/>
        <w:spacing w:after="0" w:line="286" w:lineRule="auto"/>
        <w:tabs>
          <w:tab w:leader="none" w:pos="1778" w:val="left"/>
        </w:tabs>
        <w:numPr>
          <w:ilvl w:val="3"/>
          <w:numId w:val="171"/>
        </w:numPr>
        <w:rPr>
          <w:rFonts w:ascii="Arial" w:cs="Arial" w:eastAsia="Arial" w:hAnsi="Arial"/>
          <w:sz w:val="16"/>
          <w:szCs w:val="16"/>
          <w:color w:val="auto"/>
        </w:rPr>
      </w:pPr>
      <w:r>
        <w:rPr>
          <w:rFonts w:ascii="Arial" w:cs="Arial" w:eastAsia="Arial" w:hAnsi="Arial"/>
          <w:sz w:val="16"/>
          <w:szCs w:val="16"/>
          <w:color w:val="auto"/>
        </w:rPr>
        <w:t>the failure of a representation made by Y pursuant to Section 3(f) to be accurate and true unless such failure would not have occurred but for (I) any action taken by a taxing authority, or brought in a court of competent jurisdiction, on or after the date on which a</w:t>
      </w:r>
    </w:p>
    <w:p>
      <w:pPr>
        <w:ind w:left="1500" w:right="120"/>
        <w:spacing w:after="0" w:line="261" w:lineRule="auto"/>
        <w:rPr>
          <w:rFonts w:ascii="Arial" w:cs="Arial" w:eastAsia="Arial" w:hAnsi="Arial"/>
          <w:sz w:val="16"/>
          <w:szCs w:val="16"/>
          <w:color w:val="auto"/>
        </w:rPr>
      </w:pPr>
      <w:r>
        <w:rPr>
          <w:rFonts w:ascii="Arial" w:cs="Arial" w:eastAsia="Arial" w:hAnsi="Arial"/>
          <w:sz w:val="18"/>
          <w:szCs w:val="18"/>
          <w:color w:val="auto"/>
        </w:rPr>
        <w:t>Transaction is entered into (regardless of whether such action is taken or brought with respect to a party to this Agreement) or (II) a Change in Tax Law.</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280" w:right="239" w:bottom="1440" w:gutter="0" w:footer="0" w:header="0"/>
        </w:sectPr>
      </w:pPr>
    </w:p>
    <w:bookmarkStart w:id="103" w:name="page104"/>
    <w:bookmarkEnd w:id="103"/>
    <w:p>
      <w:pPr>
        <w:ind w:left="720" w:hanging="256"/>
        <w:spacing w:after="0"/>
        <w:tabs>
          <w:tab w:leader="none" w:pos="720" w:val="left"/>
        </w:tabs>
        <w:numPr>
          <w:ilvl w:val="0"/>
          <w:numId w:val="172"/>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Liability. </w:t>
      </w:r>
      <w:r>
        <w:rPr>
          <w:rFonts w:ascii="Arial" w:cs="Arial" w:eastAsia="Arial" w:hAnsi="Arial"/>
          <w:sz w:val="18"/>
          <w:szCs w:val="18"/>
          <w:color w:val="auto"/>
        </w:rPr>
        <w:t>If:—</w:t>
      </w:r>
    </w:p>
    <w:p>
      <w:pPr>
        <w:spacing w:after="0" w:line="90" w:lineRule="exact"/>
        <w:rPr>
          <w:rFonts w:ascii="Arial" w:cs="Arial" w:eastAsia="Arial" w:hAnsi="Arial"/>
          <w:sz w:val="18"/>
          <w:szCs w:val="18"/>
          <w:color w:val="auto"/>
        </w:rPr>
      </w:pPr>
    </w:p>
    <w:p>
      <w:pPr>
        <w:ind w:left="920" w:right="520" w:firstLine="1"/>
        <w:spacing w:after="0" w:line="332" w:lineRule="auto"/>
        <w:tabs>
          <w:tab w:leader="none" w:pos="1169" w:val="left"/>
        </w:tabs>
        <w:numPr>
          <w:ilvl w:val="1"/>
          <w:numId w:val="172"/>
        </w:numPr>
        <w:rPr>
          <w:rFonts w:ascii="Arial" w:cs="Arial" w:eastAsia="Arial" w:hAnsi="Arial"/>
          <w:sz w:val="16"/>
          <w:szCs w:val="16"/>
          <w:color w:val="auto"/>
        </w:rPr>
      </w:pPr>
      <w:r>
        <w:rPr>
          <w:rFonts w:ascii="Arial" w:cs="Arial" w:eastAsia="Arial" w:hAnsi="Arial"/>
          <w:sz w:val="16"/>
          <w:szCs w:val="16"/>
          <w:color w:val="auto"/>
        </w:rPr>
        <w:t>X is required by any applicable law, as modified by the practice of any relevant governmental revenue authority, to make any deduction or withholding in respect of which X would not be required to pay an additional amount to Y under Section 2(d)(i)(4);</w:t>
      </w:r>
    </w:p>
    <w:p>
      <w:pPr>
        <w:spacing w:after="0" w:line="4" w:lineRule="exact"/>
        <w:rPr>
          <w:rFonts w:ascii="Arial" w:cs="Arial" w:eastAsia="Arial" w:hAnsi="Arial"/>
          <w:sz w:val="16"/>
          <w:szCs w:val="16"/>
          <w:color w:val="auto"/>
        </w:rPr>
      </w:pPr>
    </w:p>
    <w:p>
      <w:pPr>
        <w:ind w:left="1160" w:hanging="239"/>
        <w:spacing w:after="0"/>
        <w:tabs>
          <w:tab w:leader="none" w:pos="11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X does not so deduct or withhold; and</w:t>
      </w:r>
    </w:p>
    <w:p>
      <w:pPr>
        <w:spacing w:after="0" w:line="90" w:lineRule="exact"/>
        <w:rPr>
          <w:rFonts w:ascii="Arial" w:cs="Arial" w:eastAsia="Arial" w:hAnsi="Arial"/>
          <w:sz w:val="18"/>
          <w:szCs w:val="18"/>
          <w:color w:val="auto"/>
        </w:rPr>
      </w:pPr>
    </w:p>
    <w:p>
      <w:pPr>
        <w:ind w:left="1160" w:hanging="239"/>
        <w:spacing w:after="0"/>
        <w:tabs>
          <w:tab w:leader="none" w:pos="1160"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 liability resulting from such Tax is assessed directly against X,</w:t>
      </w:r>
    </w:p>
    <w:p>
      <w:pPr>
        <w:spacing w:after="0" w:line="90" w:lineRule="exact"/>
        <w:rPr>
          <w:sz w:val="20"/>
          <w:szCs w:val="20"/>
          <w:color w:val="auto"/>
        </w:rPr>
      </w:pPr>
    </w:p>
    <w:p>
      <w:pPr>
        <w:ind w:left="460" w:right="560"/>
        <w:spacing w:after="0" w:line="259" w:lineRule="auto"/>
        <w:rPr>
          <w:sz w:val="20"/>
          <w:szCs w:val="20"/>
          <w:color w:val="auto"/>
        </w:rPr>
      </w:pPr>
      <w:r>
        <w:rPr>
          <w:rFonts w:ascii="Arial" w:cs="Arial" w:eastAsia="Arial" w:hAnsi="Arial"/>
          <w:sz w:val="18"/>
          <w:szCs w:val="18"/>
          <w:color w:val="auto"/>
        </w:rPr>
        <w:t>then, except to the extent Y has satisfied or then satisfies the liability resulting from such Tax, Y will promptly pay to X the amount of such liability (including any related liability for interest, but including any related liability for penalties only if Y has failed to comply with or perform any agreement contained in Section 4(a)(i), 4(a)(iii) or 4(d)).</w:t>
      </w:r>
    </w:p>
    <w:p>
      <w:pPr>
        <w:spacing w:after="0" w:line="140" w:lineRule="exact"/>
        <w:rPr>
          <w:sz w:val="20"/>
          <w:szCs w:val="20"/>
          <w:color w:val="auto"/>
        </w:rPr>
      </w:pPr>
    </w:p>
    <w:p>
      <w:pPr>
        <w:ind w:right="80" w:firstLine="8"/>
        <w:spacing w:after="0" w:line="286" w:lineRule="auto"/>
        <w:tabs>
          <w:tab w:leader="none" w:pos="239" w:val="left"/>
        </w:tabs>
        <w:numPr>
          <w:ilvl w:val="0"/>
          <w:numId w:val="17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Default Interest; Other Amounts. </w:t>
      </w:r>
      <w:r>
        <w:rPr>
          <w:rFonts w:ascii="Arial" w:cs="Arial" w:eastAsia="Arial" w:hAnsi="Arial"/>
          <w:sz w:val="16"/>
          <w:szCs w:val="16"/>
          <w:color w:val="auto"/>
        </w:rPr>
        <w:t>Prior to the occurrence or effective designation of an Early Termination Date in respect of the relevant Transaction, a party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defaults in the performance of any payment obligation will, to the extent permitted by law and subject to Section 6(c), be required to pay interest</w:t>
      </w:r>
    </w:p>
    <w:p>
      <w:pPr>
        <w:ind w:right="280"/>
        <w:spacing w:after="0" w:line="292" w:lineRule="auto"/>
        <w:rPr>
          <w:rFonts w:ascii="Arial" w:cs="Arial" w:eastAsia="Arial" w:hAnsi="Arial"/>
          <w:sz w:val="16"/>
          <w:szCs w:val="16"/>
          <w:color w:val="auto"/>
        </w:rPr>
      </w:pPr>
      <w:r>
        <w:rPr>
          <w:rFonts w:ascii="Arial" w:cs="Arial" w:eastAsia="Arial" w:hAnsi="Arial"/>
          <w:sz w:val="16"/>
          <w:szCs w:val="16"/>
          <w:color w:val="auto"/>
        </w:rPr>
        <w:t>(before as well as after judgment) on the overdue amount to the other party on demand in the same currency as such overdue amount, for the period from (and including) the original due date for payment to (but excluding) the date of actual payment, at the Default Rate. Such interest will be calculated on the basis of daily compounding and the actual number of days elapsed. If, prior to the occurrence or effective designation of an Early Termination Date in respect of the relevant Transaction, a party defaults in the performance of any obligation required to be settled by delivery, it will compensate the other party on demand if and to the extent provided for in the relevant Confirmation or elsewhere in this Agreement.</w:t>
      </w:r>
    </w:p>
    <w:p>
      <w:pPr>
        <w:spacing w:after="0" w:line="232" w:lineRule="exact"/>
        <w:rPr>
          <w:sz w:val="20"/>
          <w:szCs w:val="20"/>
          <w:color w:val="auto"/>
        </w:rPr>
      </w:pPr>
    </w:p>
    <w:p>
      <w:pPr>
        <w:ind w:left="460" w:hanging="452"/>
        <w:spacing w:after="0"/>
        <w:tabs>
          <w:tab w:leader="none" w:pos="460" w:val="left"/>
        </w:tabs>
        <w:numPr>
          <w:ilvl w:val="0"/>
          <w:numId w:val="174"/>
        </w:numPr>
        <w:rPr>
          <w:rFonts w:ascii="Arial" w:cs="Arial" w:eastAsia="Arial" w:hAnsi="Arial"/>
          <w:sz w:val="18"/>
          <w:szCs w:val="18"/>
          <w:b w:val="1"/>
          <w:bCs w:val="1"/>
          <w:color w:val="auto"/>
        </w:rPr>
      </w:pPr>
      <w:r>
        <w:rPr>
          <w:rFonts w:ascii="Arial" w:cs="Arial" w:eastAsia="Arial" w:hAnsi="Arial"/>
          <w:sz w:val="18"/>
          <w:szCs w:val="18"/>
          <w:b w:val="1"/>
          <w:bCs w:val="1"/>
          <w:color w:val="auto"/>
        </w:rPr>
        <w:t>Representations</w:t>
      </w:r>
    </w:p>
    <w:p>
      <w:pPr>
        <w:spacing w:after="0" w:line="9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Each party represents to the other party (which representations will be deemed to be repeated by each party on each date on which a Transaction is entered into and, in the case of the representations in Section 3(f), at all times until the termination of this Agreement) that:—</w:t>
      </w:r>
    </w:p>
    <w:p>
      <w:pPr>
        <w:spacing w:after="0" w:line="51" w:lineRule="exact"/>
        <w:rPr>
          <w:sz w:val="20"/>
          <w:szCs w:val="20"/>
          <w:color w:val="auto"/>
        </w:rPr>
      </w:pPr>
    </w:p>
    <w:p>
      <w:pPr>
        <w:ind w:left="240" w:hanging="232"/>
        <w:spacing w:after="0"/>
        <w:tabs>
          <w:tab w:leader="none" w:pos="240" w:val="left"/>
        </w:tabs>
        <w:numPr>
          <w:ilvl w:val="0"/>
          <w:numId w:val="175"/>
        </w:numPr>
        <w:rPr>
          <w:rFonts w:ascii="Arial" w:cs="Arial" w:eastAsia="Arial" w:hAnsi="Arial"/>
          <w:sz w:val="18"/>
          <w:szCs w:val="18"/>
          <w:color w:val="auto"/>
        </w:rPr>
      </w:pPr>
      <w:r>
        <w:rPr>
          <w:rFonts w:ascii="Arial" w:cs="Arial" w:eastAsia="Arial" w:hAnsi="Arial"/>
          <w:sz w:val="18"/>
          <w:szCs w:val="18"/>
          <w:b w:val="1"/>
          <w:bCs w:val="1"/>
          <w:i w:val="1"/>
          <w:iCs w:val="1"/>
          <w:color w:val="auto"/>
        </w:rPr>
        <w:t>Basic Representations.</w:t>
      </w:r>
    </w:p>
    <w:p>
      <w:pPr>
        <w:spacing w:after="0" w:line="90" w:lineRule="exact"/>
        <w:rPr>
          <w:rFonts w:ascii="Arial" w:cs="Arial" w:eastAsia="Arial" w:hAnsi="Arial"/>
          <w:sz w:val="18"/>
          <w:szCs w:val="18"/>
          <w:color w:val="auto"/>
        </w:rPr>
      </w:pPr>
    </w:p>
    <w:p>
      <w:pPr>
        <w:ind w:left="460" w:right="60" w:firstLine="4"/>
        <w:spacing w:after="0" w:line="268" w:lineRule="auto"/>
        <w:tabs>
          <w:tab w:leader="none" w:pos="670" w:val="left"/>
        </w:tabs>
        <w:numPr>
          <w:ilvl w:val="1"/>
          <w:numId w:val="175"/>
        </w:numPr>
        <w:rPr>
          <w:rFonts w:ascii="Arial" w:cs="Arial" w:eastAsia="Arial" w:hAnsi="Arial"/>
          <w:sz w:val="18"/>
          <w:szCs w:val="18"/>
          <w:color w:val="auto"/>
        </w:rPr>
      </w:pPr>
      <w:r>
        <w:rPr>
          <w:rFonts w:ascii="Arial" w:cs="Arial" w:eastAsia="Arial" w:hAnsi="Arial"/>
          <w:sz w:val="18"/>
          <w:szCs w:val="18"/>
          <w:b w:val="1"/>
          <w:bCs w:val="1"/>
          <w:i w:val="1"/>
          <w:iCs w:val="1"/>
          <w:color w:val="auto"/>
        </w:rPr>
        <w:t>Status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is duly organised and validly existing under the laws of the jurisdiction of its organisation or incorporation and, if relevant under such laws,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good standing;</w:t>
      </w:r>
    </w:p>
    <w:p>
      <w:pPr>
        <w:spacing w:after="0" w:line="50" w:lineRule="exact"/>
        <w:rPr>
          <w:rFonts w:ascii="Arial" w:cs="Arial" w:eastAsia="Arial" w:hAnsi="Arial"/>
          <w:sz w:val="18"/>
          <w:szCs w:val="18"/>
          <w:color w:val="auto"/>
        </w:rPr>
      </w:pPr>
    </w:p>
    <w:p>
      <w:pPr>
        <w:ind w:left="460" w:right="40" w:firstLine="4"/>
        <w:spacing w:after="0" w:line="256" w:lineRule="auto"/>
        <w:tabs>
          <w:tab w:leader="none" w:pos="718" w:val="left"/>
        </w:tabs>
        <w:numPr>
          <w:ilvl w:val="1"/>
          <w:numId w:val="17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Powers. </w:t>
      </w:r>
      <w:r>
        <w:rPr>
          <w:rFonts w:ascii="Arial" w:cs="Arial" w:eastAsia="Arial" w:hAnsi="Arial"/>
          <w:sz w:val="18"/>
          <w:szCs w:val="18"/>
          <w:color w:val="auto"/>
        </w:rPr>
        <w:t>It has the power to execute this Agreement and any other documentation relating to this Agreement to which it is a party, to deliver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and any other documentation relating to this Agreement that it is required by this Agreement to deliver and to perform its obligations under this Agreement and any obligations it has under any Credit Support Document to which it is a party and has taken all necessary action to authorise such execution, delivery and performance;</w:t>
      </w:r>
    </w:p>
    <w:p>
      <w:pPr>
        <w:spacing w:after="0" w:line="62" w:lineRule="exact"/>
        <w:rPr>
          <w:rFonts w:ascii="Arial" w:cs="Arial" w:eastAsia="Arial" w:hAnsi="Arial"/>
          <w:sz w:val="18"/>
          <w:szCs w:val="18"/>
          <w:color w:val="auto"/>
        </w:rPr>
      </w:pPr>
    </w:p>
    <w:p>
      <w:pPr>
        <w:ind w:left="460" w:right="560" w:firstLine="4"/>
        <w:spacing w:after="0" w:line="259" w:lineRule="auto"/>
        <w:tabs>
          <w:tab w:leader="none" w:pos="767" w:val="left"/>
        </w:tabs>
        <w:numPr>
          <w:ilvl w:val="1"/>
          <w:numId w:val="175"/>
        </w:numPr>
        <w:rPr>
          <w:rFonts w:ascii="Arial" w:cs="Arial" w:eastAsia="Arial" w:hAnsi="Arial"/>
          <w:sz w:val="18"/>
          <w:szCs w:val="18"/>
          <w:color w:val="auto"/>
        </w:rPr>
      </w:pPr>
      <w:r>
        <w:rPr>
          <w:rFonts w:ascii="Arial" w:cs="Arial" w:eastAsia="Arial" w:hAnsi="Arial"/>
          <w:sz w:val="18"/>
          <w:szCs w:val="18"/>
          <w:b w:val="1"/>
          <w:bCs w:val="1"/>
          <w:i w:val="1"/>
          <w:iCs w:val="1"/>
          <w:color w:val="auto"/>
        </w:rPr>
        <w:t>No Violation or Conflict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execution, delivery and performance do not violate or conflict with any law applicable to it, any provision of its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constitutional documents, any order or judgment of any court or other agency of government applicable to it or any of its assets or any contractual restriction binding on or affecting it or any of its assets;</w:t>
      </w:r>
    </w:p>
    <w:p>
      <w:pPr>
        <w:spacing w:after="0" w:line="59" w:lineRule="exact"/>
        <w:rPr>
          <w:rFonts w:ascii="Arial" w:cs="Arial" w:eastAsia="Arial" w:hAnsi="Arial"/>
          <w:sz w:val="18"/>
          <w:szCs w:val="18"/>
          <w:color w:val="auto"/>
        </w:rPr>
      </w:pPr>
    </w:p>
    <w:p>
      <w:pPr>
        <w:ind w:left="460" w:right="220" w:firstLine="4"/>
        <w:spacing w:after="0" w:line="357" w:lineRule="auto"/>
        <w:tabs>
          <w:tab w:leader="none" w:pos="757" w:val="left"/>
        </w:tabs>
        <w:numPr>
          <w:ilvl w:val="1"/>
          <w:numId w:val="17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Consents. </w:t>
      </w:r>
      <w:r>
        <w:rPr>
          <w:rFonts w:ascii="Arial" w:cs="Arial" w:eastAsia="Arial" w:hAnsi="Arial"/>
          <w:sz w:val="15"/>
          <w:szCs w:val="15"/>
          <w:color w:val="auto"/>
        </w:rPr>
        <w:t>All governmental and other consents that are required to have been obtained by it with respect to this Agreement or any Credit Support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Document to which it is a party have been obtained and are in full force and effect and all conditions of any such consents have been complied with; and</w:t>
      </w:r>
    </w:p>
    <w:p>
      <w:pPr>
        <w:jc w:val="both"/>
        <w:ind w:left="460" w:firstLine="4"/>
        <w:spacing w:after="0" w:line="284" w:lineRule="auto"/>
        <w:tabs>
          <w:tab w:leader="none" w:pos="709" w:val="left"/>
        </w:tabs>
        <w:numPr>
          <w:ilvl w:val="1"/>
          <w:numId w:val="17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Obligations Binding. </w:t>
      </w:r>
      <w:r>
        <w:rPr>
          <w:rFonts w:ascii="Arial" w:cs="Arial" w:eastAsia="Arial" w:hAnsi="Arial"/>
          <w:sz w:val="16"/>
          <w:szCs w:val="16"/>
          <w:color w:val="auto"/>
        </w:rPr>
        <w:t>Its obligations under this Agreement and any Credit Support Document to which it is a party constitute its legal, valid and binding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obligations, enforceable in accordance with their respective terms (subject to applicable bankruptcy, reorganisation, insolvency, moratorium or similar laws affecting creditors’ rights generally and subject, as to enforceability, to equitable principles of general application (regardless of whether enforcement</w:t>
      </w:r>
    </w:p>
    <w:p>
      <w:pPr>
        <w:spacing w:after="0" w:line="1"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is sought in a proceeding in equity or at law)).</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280" w:right="259" w:bottom="1440" w:gutter="0" w:footer="0" w:header="0"/>
        </w:sectPr>
      </w:pPr>
    </w:p>
    <w:bookmarkStart w:id="104" w:name="page105"/>
    <w:bookmarkEnd w:id="104"/>
    <w:p>
      <w:pPr>
        <w:ind w:firstLine="8"/>
        <w:spacing w:after="0" w:line="259" w:lineRule="auto"/>
        <w:tabs>
          <w:tab w:leader="none" w:pos="249" w:val="left"/>
        </w:tabs>
        <w:numPr>
          <w:ilvl w:val="0"/>
          <w:numId w:val="176"/>
        </w:numPr>
        <w:rPr>
          <w:rFonts w:ascii="Arial" w:cs="Arial" w:eastAsia="Arial" w:hAnsi="Arial"/>
          <w:sz w:val="18"/>
          <w:szCs w:val="18"/>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Absence of Certain Events. </w:t>
      </w:r>
      <w:r>
        <w:rPr>
          <w:rFonts w:ascii="Arial" w:cs="Arial" w:eastAsia="Arial" w:hAnsi="Arial"/>
          <w:sz w:val="18"/>
          <w:szCs w:val="18"/>
          <w:color w:val="auto"/>
        </w:rPr>
        <w:t>No Event of Default or Potential Event of Default or, to its knowledge, Termination Event with respect to it has occurred and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continuing and no such event or circumstance would occur as a result of its entering into or performing its obligations under this Agreement or any Credit Support Document to which it is a party.</w:t>
      </w:r>
    </w:p>
    <w:p>
      <w:pPr>
        <w:spacing w:after="0" w:line="140" w:lineRule="exact"/>
        <w:rPr>
          <w:rFonts w:ascii="Arial" w:cs="Arial" w:eastAsia="Arial" w:hAnsi="Arial"/>
          <w:sz w:val="18"/>
          <w:szCs w:val="18"/>
          <w:color w:val="auto"/>
        </w:rPr>
      </w:pPr>
    </w:p>
    <w:p>
      <w:pPr>
        <w:ind w:right="120" w:firstLine="8"/>
        <w:spacing w:after="0" w:line="256" w:lineRule="auto"/>
        <w:tabs>
          <w:tab w:leader="none" w:pos="239" w:val="left"/>
        </w:tabs>
        <w:numPr>
          <w:ilvl w:val="0"/>
          <w:numId w:val="17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Absence of Litigation. </w:t>
      </w:r>
      <w:r>
        <w:rPr>
          <w:rFonts w:ascii="Arial" w:cs="Arial" w:eastAsia="Arial" w:hAnsi="Arial"/>
          <w:sz w:val="18"/>
          <w:szCs w:val="18"/>
          <w:color w:val="auto"/>
        </w:rPr>
        <w:t>There is not pending or, to its knowledge, threatened against it or any of its Affiliates any action, suit or proceeding at law or in equity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before any court, tribunal, governmental body, agency or official or any arbitrator that is likely to affect the legality, validity or enforceability against it of this Agreement or any Credit Support Document to which it is a party or its ability to perform its obligations under this Agreement or such Credit Support Document.</w:t>
      </w:r>
    </w:p>
    <w:p>
      <w:pPr>
        <w:spacing w:after="0" w:line="143" w:lineRule="exact"/>
        <w:rPr>
          <w:rFonts w:ascii="Arial" w:cs="Arial" w:eastAsia="Arial" w:hAnsi="Arial"/>
          <w:sz w:val="18"/>
          <w:szCs w:val="18"/>
          <w:color w:val="auto"/>
        </w:rPr>
      </w:pPr>
    </w:p>
    <w:p>
      <w:pPr>
        <w:ind w:right="420" w:firstLine="8"/>
        <w:spacing w:after="0" w:line="332" w:lineRule="auto"/>
        <w:tabs>
          <w:tab w:leader="none" w:pos="249" w:val="left"/>
        </w:tabs>
        <w:numPr>
          <w:ilvl w:val="0"/>
          <w:numId w:val="1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Accuracy of Specified Information. </w:t>
      </w:r>
      <w:r>
        <w:rPr>
          <w:rFonts w:ascii="Arial" w:cs="Arial" w:eastAsia="Arial" w:hAnsi="Arial"/>
          <w:sz w:val="16"/>
          <w:szCs w:val="16"/>
          <w:color w:val="auto"/>
        </w:rPr>
        <w:t>All applicable information that is furnished in writing by or on behalf of it to the other party and is identified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purpose of this Section 3(d) in the Schedule is, as of the date of the information, true, accurate and complete in every material respect.</w:t>
      </w:r>
    </w:p>
    <w:p>
      <w:pPr>
        <w:spacing w:after="0" w:line="85" w:lineRule="exact"/>
        <w:rPr>
          <w:rFonts w:ascii="Arial" w:cs="Arial" w:eastAsia="Arial" w:hAnsi="Arial"/>
          <w:sz w:val="16"/>
          <w:szCs w:val="16"/>
          <w:color w:val="auto"/>
        </w:rPr>
      </w:pPr>
    </w:p>
    <w:p>
      <w:pPr>
        <w:ind w:left="240" w:hanging="232"/>
        <w:spacing w:after="0"/>
        <w:tabs>
          <w:tab w:leader="none" w:pos="240" w:val="left"/>
        </w:tabs>
        <w:numPr>
          <w:ilvl w:val="0"/>
          <w:numId w:val="1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Payer Tax Representation. </w:t>
      </w:r>
      <w:r>
        <w:rPr>
          <w:rFonts w:ascii="Arial" w:cs="Arial" w:eastAsia="Arial" w:hAnsi="Arial"/>
          <w:sz w:val="16"/>
          <w:szCs w:val="16"/>
          <w:color w:val="auto"/>
        </w:rPr>
        <w:t>Each representation specified in the Schedule as being made by it for the purpose of this Section 3(e) is accurate and true.</w:t>
      </w:r>
    </w:p>
    <w:p>
      <w:pPr>
        <w:spacing w:after="0" w:line="194" w:lineRule="exact"/>
        <w:rPr>
          <w:rFonts w:ascii="Arial" w:cs="Arial" w:eastAsia="Arial" w:hAnsi="Arial"/>
          <w:sz w:val="16"/>
          <w:szCs w:val="16"/>
          <w:color w:val="auto"/>
        </w:rPr>
      </w:pPr>
    </w:p>
    <w:p>
      <w:pPr>
        <w:ind w:left="220" w:hanging="212"/>
        <w:spacing w:after="0"/>
        <w:tabs>
          <w:tab w:leader="none" w:pos="220" w:val="left"/>
        </w:tabs>
        <w:numPr>
          <w:ilvl w:val="0"/>
          <w:numId w:val="17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 Tax Representations. </w:t>
      </w:r>
      <w:r>
        <w:rPr>
          <w:rFonts w:ascii="Arial" w:cs="Arial" w:eastAsia="Arial" w:hAnsi="Arial"/>
          <w:sz w:val="16"/>
          <w:szCs w:val="16"/>
          <w:color w:val="auto"/>
        </w:rPr>
        <w:t>Each representation specified in the Schedule as being made by it for the purpose of this Section 3(f) is accurate and true.</w:t>
      </w:r>
    </w:p>
    <w:p>
      <w:pPr>
        <w:spacing w:after="0" w:line="310" w:lineRule="exact"/>
        <w:rPr>
          <w:sz w:val="20"/>
          <w:szCs w:val="20"/>
          <w:color w:val="auto"/>
        </w:rPr>
      </w:pPr>
    </w:p>
    <w:p>
      <w:pPr>
        <w:ind w:left="460" w:hanging="452"/>
        <w:spacing w:after="0"/>
        <w:tabs>
          <w:tab w:leader="none" w:pos="460" w:val="left"/>
        </w:tabs>
        <w:numPr>
          <w:ilvl w:val="0"/>
          <w:numId w:val="177"/>
        </w:numPr>
        <w:rPr>
          <w:rFonts w:ascii="Arial" w:cs="Arial" w:eastAsia="Arial" w:hAnsi="Arial"/>
          <w:sz w:val="18"/>
          <w:szCs w:val="18"/>
          <w:b w:val="1"/>
          <w:bCs w:val="1"/>
          <w:color w:val="auto"/>
        </w:rPr>
      </w:pPr>
      <w:r>
        <w:rPr>
          <w:rFonts w:ascii="Arial" w:cs="Arial" w:eastAsia="Arial" w:hAnsi="Arial"/>
          <w:sz w:val="18"/>
          <w:szCs w:val="18"/>
          <w:b w:val="1"/>
          <w:bCs w:val="1"/>
          <w:color w:val="auto"/>
        </w:rPr>
        <w:t>Agreements</w:t>
      </w:r>
    </w:p>
    <w:p>
      <w:pPr>
        <w:spacing w:after="0" w:line="9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Each party agrees with the other that, so long as either party has or may have any obligation under this Agreement or under any Credit Support Document to which it is a party:—</w:t>
      </w:r>
    </w:p>
    <w:p>
      <w:pPr>
        <w:spacing w:after="0" w:line="51" w:lineRule="exact"/>
        <w:rPr>
          <w:sz w:val="20"/>
          <w:szCs w:val="20"/>
          <w:color w:val="auto"/>
        </w:rPr>
      </w:pPr>
    </w:p>
    <w:p>
      <w:pPr>
        <w:ind w:right="80" w:firstLine="8"/>
        <w:spacing w:after="0" w:line="268" w:lineRule="auto"/>
        <w:tabs>
          <w:tab w:leader="none" w:pos="239" w:val="left"/>
        </w:tabs>
        <w:numPr>
          <w:ilvl w:val="0"/>
          <w:numId w:val="17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Furnish Specified Information. </w:t>
      </w:r>
      <w:r>
        <w:rPr>
          <w:rFonts w:ascii="Arial" w:cs="Arial" w:eastAsia="Arial" w:hAnsi="Arial"/>
          <w:sz w:val="18"/>
          <w:szCs w:val="18"/>
          <w:color w:val="auto"/>
        </w:rPr>
        <w:t>It will deliver to the other party or, in certain cases under subparagraph (iii) below, to such government or taxing authority 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other party reasonably directs:—</w:t>
      </w:r>
    </w:p>
    <w:p>
      <w:pPr>
        <w:spacing w:after="0" w:line="50" w:lineRule="exact"/>
        <w:rPr>
          <w:rFonts w:ascii="Arial" w:cs="Arial" w:eastAsia="Arial" w:hAnsi="Arial"/>
          <w:sz w:val="18"/>
          <w:szCs w:val="18"/>
          <w:color w:val="auto"/>
        </w:rPr>
      </w:pPr>
    </w:p>
    <w:p>
      <w:pPr>
        <w:ind w:left="680" w:hanging="216"/>
        <w:spacing w:after="0"/>
        <w:tabs>
          <w:tab w:leader="none" w:pos="68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forms, documents or certificates relating to taxation specified in the Schedule or any Confirmation;</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178"/>
        </w:numPr>
        <w:rPr>
          <w:rFonts w:ascii="Arial" w:cs="Arial" w:eastAsia="Arial" w:hAnsi="Arial"/>
          <w:sz w:val="18"/>
          <w:szCs w:val="18"/>
          <w:color w:val="auto"/>
        </w:rPr>
      </w:pPr>
      <w:r>
        <w:rPr>
          <w:rFonts w:ascii="Arial" w:cs="Arial" w:eastAsia="Arial" w:hAnsi="Arial"/>
          <w:sz w:val="18"/>
          <w:szCs w:val="18"/>
          <w:color w:val="auto"/>
        </w:rPr>
        <w:t>any other documents specified in the Schedule or any Confirmation; and</w:t>
      </w:r>
    </w:p>
    <w:p>
      <w:pPr>
        <w:spacing w:after="0" w:line="90" w:lineRule="exact"/>
        <w:rPr>
          <w:rFonts w:ascii="Arial" w:cs="Arial" w:eastAsia="Arial" w:hAnsi="Arial"/>
          <w:sz w:val="18"/>
          <w:szCs w:val="18"/>
          <w:color w:val="auto"/>
        </w:rPr>
      </w:pPr>
    </w:p>
    <w:p>
      <w:pPr>
        <w:ind w:left="460" w:right="360" w:firstLine="4"/>
        <w:spacing w:after="0" w:line="283" w:lineRule="auto"/>
        <w:tabs>
          <w:tab w:leader="none" w:pos="767" w:val="left"/>
        </w:tabs>
        <w:numPr>
          <w:ilvl w:val="1"/>
          <w:numId w:val="178"/>
        </w:numPr>
        <w:rPr>
          <w:rFonts w:ascii="Arial" w:cs="Arial" w:eastAsia="Arial" w:hAnsi="Arial"/>
          <w:sz w:val="16"/>
          <w:szCs w:val="16"/>
          <w:color w:val="auto"/>
        </w:rPr>
      </w:pPr>
      <w:r>
        <w:rPr>
          <w:rFonts w:ascii="Arial" w:cs="Arial" w:eastAsia="Arial" w:hAnsi="Arial"/>
          <w:sz w:val="16"/>
          <w:szCs w:val="16"/>
          <w:color w:val="auto"/>
        </w:rPr>
        <w:t>upon reasonable demand by such other party, any form or document that may be required or reasonably requested in writing in order to allow such other party or its Credit Support Provider to make a payment under this Agreement or any applicable Credit Support Document without any deduction or withholding for or on account of any Tax or with such deduction or withholding at a reduced rate (so long as the completion, execution or submission of such form or document would not materially prejudice the legal or commercial position of the party in receipt of such demand),</w:t>
      </w:r>
    </w:p>
    <w:p>
      <w:pPr>
        <w:spacing w:after="0" w:line="2" w:lineRule="exact"/>
        <w:rPr>
          <w:rFonts w:ascii="Arial" w:cs="Arial" w:eastAsia="Arial" w:hAnsi="Arial"/>
          <w:sz w:val="16"/>
          <w:szCs w:val="16"/>
          <w:color w:val="auto"/>
        </w:rPr>
      </w:pPr>
    </w:p>
    <w:p>
      <w:pPr>
        <w:ind w:left="460" w:right="640"/>
        <w:spacing w:after="0" w:line="261" w:lineRule="auto"/>
        <w:rPr>
          <w:rFonts w:ascii="Arial" w:cs="Arial" w:eastAsia="Arial" w:hAnsi="Arial"/>
          <w:sz w:val="16"/>
          <w:szCs w:val="16"/>
          <w:color w:val="auto"/>
        </w:rPr>
      </w:pPr>
      <w:r>
        <w:rPr>
          <w:rFonts w:ascii="Arial" w:cs="Arial" w:eastAsia="Arial" w:hAnsi="Arial"/>
          <w:sz w:val="18"/>
          <w:szCs w:val="18"/>
          <w:color w:val="auto"/>
        </w:rPr>
        <w:t>with any such form or document to be accurate and completed in a manner reasonably satisfactory to such other party and to be executed and to be delivered with any reasonably required certification,</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in each case by the date specified in the Schedule or such Confirmation or, if none is specified, as soon as reasonably practicable.</w:t>
      </w:r>
    </w:p>
    <w:p>
      <w:pPr>
        <w:spacing w:after="0" w:line="171" w:lineRule="exact"/>
        <w:rPr>
          <w:sz w:val="20"/>
          <w:szCs w:val="20"/>
          <w:color w:val="auto"/>
        </w:rPr>
      </w:pPr>
    </w:p>
    <w:p>
      <w:pPr>
        <w:ind w:right="40" w:firstLine="8"/>
        <w:spacing w:after="0" w:line="259" w:lineRule="auto"/>
        <w:tabs>
          <w:tab w:leader="none" w:pos="249" w:val="left"/>
        </w:tabs>
        <w:numPr>
          <w:ilvl w:val="0"/>
          <w:numId w:val="1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Maintain Authorisations. </w:t>
      </w:r>
      <w:r>
        <w:rPr>
          <w:rFonts w:ascii="Arial" w:cs="Arial" w:eastAsia="Arial" w:hAnsi="Arial"/>
          <w:sz w:val="18"/>
          <w:szCs w:val="18"/>
          <w:color w:val="auto"/>
        </w:rPr>
        <w:t>It will use all reasonable efforts to maintain in full force and effect all consents of any governmental or other authority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required to be obtained by it with respect to this Agreement or any Credit Support Document to which it is a party and will use all reasonable efforts to obtain any that may become necessary in the future.</w:t>
      </w:r>
    </w:p>
    <w:p>
      <w:pPr>
        <w:spacing w:after="0" w:line="140" w:lineRule="exact"/>
        <w:rPr>
          <w:rFonts w:ascii="Arial" w:cs="Arial" w:eastAsia="Arial" w:hAnsi="Arial"/>
          <w:sz w:val="18"/>
          <w:szCs w:val="18"/>
          <w:color w:val="auto"/>
        </w:rPr>
      </w:pPr>
    </w:p>
    <w:p>
      <w:pPr>
        <w:ind w:right="660" w:firstLine="8"/>
        <w:spacing w:after="0" w:line="332" w:lineRule="auto"/>
        <w:tabs>
          <w:tab w:leader="none" w:pos="239" w:val="left"/>
        </w:tabs>
        <w:numPr>
          <w:ilvl w:val="0"/>
          <w:numId w:val="17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Comply with Laws. </w:t>
      </w:r>
      <w:r>
        <w:rPr>
          <w:rFonts w:ascii="Arial" w:cs="Arial" w:eastAsia="Arial" w:hAnsi="Arial"/>
          <w:sz w:val="16"/>
          <w:szCs w:val="16"/>
          <w:color w:val="auto"/>
        </w:rPr>
        <w:t>It will comply in all material respects with all applicable laws and orders to which it may be subject if failure so to comply would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materially impair its ability to perform its obligations under this Agreement or any Credit Support Document to which it is a party.</w:t>
      </w:r>
    </w:p>
    <w:p>
      <w:pPr>
        <w:spacing w:after="0" w:line="85" w:lineRule="exact"/>
        <w:rPr>
          <w:rFonts w:ascii="Arial" w:cs="Arial" w:eastAsia="Arial" w:hAnsi="Arial"/>
          <w:sz w:val="16"/>
          <w:szCs w:val="16"/>
          <w:color w:val="auto"/>
        </w:rPr>
      </w:pPr>
    </w:p>
    <w:p>
      <w:pPr>
        <w:ind w:right="400" w:firstLine="8"/>
        <w:spacing w:after="0" w:line="268" w:lineRule="auto"/>
        <w:tabs>
          <w:tab w:leader="none" w:pos="249" w:val="left"/>
        </w:tabs>
        <w:numPr>
          <w:ilvl w:val="0"/>
          <w:numId w:val="1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Agreement. </w:t>
      </w:r>
      <w:r>
        <w:rPr>
          <w:rFonts w:ascii="Arial" w:cs="Arial" w:eastAsia="Arial" w:hAnsi="Arial"/>
          <w:sz w:val="18"/>
          <w:szCs w:val="18"/>
          <w:color w:val="auto"/>
        </w:rPr>
        <w:t>It will give notice of any failure of a representation made by it under Section 3(f) to be accurate and true promptly upon learning of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failure.</w:t>
      </w:r>
    </w:p>
    <w:p>
      <w:pPr>
        <w:spacing w:after="0" w:line="131" w:lineRule="exact"/>
        <w:rPr>
          <w:rFonts w:ascii="Arial" w:cs="Arial" w:eastAsia="Arial" w:hAnsi="Arial"/>
          <w:sz w:val="18"/>
          <w:szCs w:val="18"/>
          <w:color w:val="auto"/>
        </w:rPr>
      </w:pPr>
    </w:p>
    <w:p>
      <w:pPr>
        <w:ind w:right="580" w:firstLine="8"/>
        <w:spacing w:after="0" w:line="268" w:lineRule="auto"/>
        <w:tabs>
          <w:tab w:leader="none" w:pos="239" w:val="left"/>
        </w:tabs>
        <w:numPr>
          <w:ilvl w:val="0"/>
          <w:numId w:val="17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of Stamp Tax. </w:t>
      </w:r>
      <w:r>
        <w:rPr>
          <w:rFonts w:ascii="Arial" w:cs="Arial" w:eastAsia="Arial" w:hAnsi="Arial"/>
          <w:sz w:val="18"/>
          <w:szCs w:val="18"/>
          <w:color w:val="auto"/>
        </w:rPr>
        <w:t>Subject to Section 11, it will pay any Stamp Tax levied or imposed upon it or in respect of its execution or performance of this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 by a jurisdiction in which it is incorporated,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280" w:right="239" w:bottom="1440" w:gutter="0" w:footer="0" w:header="0"/>
        </w:sectPr>
      </w:pPr>
    </w:p>
    <w:bookmarkStart w:id="105" w:name="page106"/>
    <w:bookmarkEnd w:id="105"/>
    <w:p>
      <w:pPr>
        <w:ind w:right="20"/>
        <w:spacing w:after="0" w:line="33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organised, managed and controlled, or considered to have its seat, or in which a branch or office through which it is acting for the purpose of this Agreement is located (“Stamp Tax Jurisdiction”) and will indemnify the other party against any Stamp Tax levied or imposed upon the other party or in respect of the other party’s execution or performance of this Agreement by any such Stamp Tax Jurisdiction which is not also a Stamp Tax Jurisdiction with respect to the other party.</w:t>
      </w:r>
    </w:p>
    <w:p>
      <w:pPr>
        <w:spacing w:after="0" w:line="204" w:lineRule="exact"/>
        <w:rPr>
          <w:sz w:val="20"/>
          <w:szCs w:val="20"/>
          <w:color w:val="auto"/>
        </w:rPr>
      </w:pPr>
    </w:p>
    <w:p>
      <w:pPr>
        <w:ind w:left="460" w:hanging="452"/>
        <w:spacing w:after="0"/>
        <w:tabs>
          <w:tab w:leader="none" w:pos="460" w:val="left"/>
        </w:tabs>
        <w:numPr>
          <w:ilvl w:val="0"/>
          <w:numId w:val="180"/>
        </w:numPr>
        <w:rPr>
          <w:rFonts w:ascii="Arial" w:cs="Arial" w:eastAsia="Arial" w:hAnsi="Arial"/>
          <w:sz w:val="18"/>
          <w:szCs w:val="18"/>
          <w:b w:val="1"/>
          <w:bCs w:val="1"/>
          <w:color w:val="auto"/>
        </w:rPr>
      </w:pPr>
      <w:r>
        <w:rPr>
          <w:rFonts w:ascii="Arial" w:cs="Arial" w:eastAsia="Arial" w:hAnsi="Arial"/>
          <w:sz w:val="18"/>
          <w:szCs w:val="18"/>
          <w:b w:val="1"/>
          <w:bCs w:val="1"/>
          <w:color w:val="auto"/>
        </w:rPr>
        <w:t>Events of Default and Termination Events</w:t>
      </w:r>
    </w:p>
    <w:p>
      <w:pPr>
        <w:spacing w:after="0" w:line="96" w:lineRule="exact"/>
        <w:rPr>
          <w:sz w:val="20"/>
          <w:szCs w:val="20"/>
          <w:color w:val="auto"/>
        </w:rPr>
      </w:pPr>
    </w:p>
    <w:p>
      <w:pPr>
        <w:ind w:right="240" w:firstLine="8"/>
        <w:spacing w:after="0" w:line="332" w:lineRule="auto"/>
        <w:tabs>
          <w:tab w:leader="none" w:pos="239" w:val="left"/>
        </w:tabs>
        <w:numPr>
          <w:ilvl w:val="0"/>
          <w:numId w:val="1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Events of Default. </w:t>
      </w:r>
      <w:r>
        <w:rPr>
          <w:rFonts w:ascii="Arial" w:cs="Arial" w:eastAsia="Arial" w:hAnsi="Arial"/>
          <w:sz w:val="16"/>
          <w:szCs w:val="16"/>
          <w:color w:val="auto"/>
        </w:rPr>
        <w:t>The occurrence at any time with respect to a party or, if applicable, any Credit Support Provider of such party or any Specified Entity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such party of any of the following events constitutes an event of default (an “Event of Default”) with respect to such party:—</w:t>
      </w:r>
    </w:p>
    <w:p>
      <w:pPr>
        <w:spacing w:after="0" w:line="4" w:lineRule="exact"/>
        <w:rPr>
          <w:rFonts w:ascii="Arial" w:cs="Arial" w:eastAsia="Arial" w:hAnsi="Arial"/>
          <w:sz w:val="16"/>
          <w:szCs w:val="16"/>
          <w:color w:val="auto"/>
        </w:rPr>
      </w:pPr>
    </w:p>
    <w:p>
      <w:pPr>
        <w:ind w:left="460" w:right="60" w:firstLine="4"/>
        <w:spacing w:after="0" w:line="332" w:lineRule="auto"/>
        <w:tabs>
          <w:tab w:leader="none" w:pos="670" w:val="left"/>
        </w:tabs>
        <w:numPr>
          <w:ilvl w:val="1"/>
          <w:numId w:val="1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Failure to Pay or Deliver. </w:t>
      </w:r>
      <w:r>
        <w:rPr>
          <w:rFonts w:ascii="Arial" w:cs="Arial" w:eastAsia="Arial" w:hAnsi="Arial"/>
          <w:sz w:val="16"/>
          <w:szCs w:val="16"/>
          <w:color w:val="auto"/>
        </w:rPr>
        <w:t>Failure by the party to make, when due, any payment under this Agreement or delivery under Section 2(a)(i) or 2(e) required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be made by it if such failure is not remedied on or before the third Local Business Day after notice of such failure is given to the party;</w:t>
      </w:r>
    </w:p>
    <w:p>
      <w:pPr>
        <w:spacing w:after="0" w:line="4" w:lineRule="exact"/>
        <w:rPr>
          <w:rFonts w:ascii="Arial" w:cs="Arial" w:eastAsia="Arial" w:hAnsi="Arial"/>
          <w:sz w:val="16"/>
          <w:szCs w:val="16"/>
          <w:color w:val="auto"/>
        </w:rPr>
      </w:pPr>
    </w:p>
    <w:p>
      <w:pPr>
        <w:ind w:left="460" w:right="180" w:firstLine="4"/>
        <w:spacing w:after="0" w:line="256" w:lineRule="auto"/>
        <w:tabs>
          <w:tab w:leader="none" w:pos="718" w:val="left"/>
        </w:tabs>
        <w:numPr>
          <w:ilvl w:val="1"/>
          <w:numId w:val="1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Breach of Agreement. </w:t>
      </w:r>
      <w:r>
        <w:rPr>
          <w:rFonts w:ascii="Arial" w:cs="Arial" w:eastAsia="Arial" w:hAnsi="Arial"/>
          <w:sz w:val="18"/>
          <w:szCs w:val="18"/>
          <w:color w:val="auto"/>
        </w:rPr>
        <w:t>Failure by the party to comply with or perform any agreement or obligation (other than an obligation to make any payment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under this Agreement or delivery under Section 2(a)(i) or 2(e) or to give notice of a Termination Event or any agreement or obligation under Section 4(a) (i), 4(a)(iii) or 4(d)) to be complied with or performed by the party in accordance with this Agreement if such failure is not remedied on or before the thirtieth day after notice of such failure is given to the party;</w:t>
      </w:r>
    </w:p>
    <w:p>
      <w:pPr>
        <w:spacing w:after="0" w:line="62" w:lineRule="exact"/>
        <w:rPr>
          <w:rFonts w:ascii="Arial" w:cs="Arial" w:eastAsia="Arial" w:hAnsi="Arial"/>
          <w:sz w:val="18"/>
          <w:szCs w:val="18"/>
          <w:color w:val="auto"/>
        </w:rPr>
      </w:pPr>
    </w:p>
    <w:p>
      <w:pPr>
        <w:ind w:left="780" w:hanging="316"/>
        <w:spacing w:after="0"/>
        <w:tabs>
          <w:tab w:leader="none" w:pos="780" w:val="left"/>
        </w:tabs>
        <w:numPr>
          <w:ilvl w:val="1"/>
          <w:numId w:val="181"/>
        </w:numPr>
        <w:rPr>
          <w:rFonts w:ascii="Arial" w:cs="Arial" w:eastAsia="Arial" w:hAnsi="Arial"/>
          <w:sz w:val="18"/>
          <w:szCs w:val="18"/>
          <w:color w:val="auto"/>
        </w:rPr>
      </w:pPr>
      <w:r>
        <w:rPr>
          <w:rFonts w:ascii="Arial" w:cs="Arial" w:eastAsia="Arial" w:hAnsi="Arial"/>
          <w:sz w:val="18"/>
          <w:szCs w:val="18"/>
          <w:b w:val="1"/>
          <w:bCs w:val="1"/>
          <w:i w:val="1"/>
          <w:iCs w:val="1"/>
          <w:color w:val="auto"/>
        </w:rPr>
        <w:t>Credit Support Default.</w:t>
      </w:r>
    </w:p>
    <w:p>
      <w:pPr>
        <w:spacing w:after="0" w:line="90" w:lineRule="exact"/>
        <w:rPr>
          <w:rFonts w:ascii="Arial" w:cs="Arial" w:eastAsia="Arial" w:hAnsi="Arial"/>
          <w:sz w:val="18"/>
          <w:szCs w:val="18"/>
          <w:color w:val="auto"/>
        </w:rPr>
      </w:pPr>
    </w:p>
    <w:p>
      <w:pPr>
        <w:ind w:left="920" w:right="120" w:firstLine="1"/>
        <w:spacing w:after="0" w:line="332" w:lineRule="auto"/>
        <w:tabs>
          <w:tab w:leader="none" w:pos="1169" w:val="left"/>
        </w:tabs>
        <w:numPr>
          <w:ilvl w:val="2"/>
          <w:numId w:val="181"/>
        </w:numPr>
        <w:rPr>
          <w:rFonts w:ascii="Arial" w:cs="Arial" w:eastAsia="Arial" w:hAnsi="Arial"/>
          <w:sz w:val="16"/>
          <w:szCs w:val="16"/>
          <w:color w:val="auto"/>
        </w:rPr>
      </w:pPr>
      <w:r>
        <w:rPr>
          <w:rFonts w:ascii="Arial" w:cs="Arial" w:eastAsia="Arial" w:hAnsi="Arial"/>
          <w:sz w:val="16"/>
          <w:szCs w:val="16"/>
          <w:color w:val="auto"/>
        </w:rPr>
        <w:t>Failure by the party or any Credit Support Provider of such party to comply with or perform any agreement or obligation to be complied with or performed by it in accordance with any Credit Support Document if such failure is continuing after any applicable grace period has elapsed;</w:t>
      </w:r>
    </w:p>
    <w:p>
      <w:pPr>
        <w:spacing w:after="0" w:line="4" w:lineRule="exact"/>
        <w:rPr>
          <w:rFonts w:ascii="Arial" w:cs="Arial" w:eastAsia="Arial" w:hAnsi="Arial"/>
          <w:sz w:val="16"/>
          <w:szCs w:val="16"/>
          <w:color w:val="auto"/>
        </w:rPr>
      </w:pPr>
    </w:p>
    <w:p>
      <w:pPr>
        <w:ind w:left="920" w:right="120" w:firstLine="1"/>
        <w:spacing w:after="0" w:line="306" w:lineRule="auto"/>
        <w:tabs>
          <w:tab w:leader="none" w:pos="1169" w:val="left"/>
        </w:tabs>
        <w:numPr>
          <w:ilvl w:val="2"/>
          <w:numId w:val="181"/>
        </w:numPr>
        <w:rPr>
          <w:rFonts w:ascii="Arial" w:cs="Arial" w:eastAsia="Arial" w:hAnsi="Arial"/>
          <w:sz w:val="16"/>
          <w:szCs w:val="16"/>
          <w:color w:val="auto"/>
        </w:rPr>
      </w:pPr>
      <w:r>
        <w:rPr>
          <w:rFonts w:ascii="Arial" w:cs="Arial" w:eastAsia="Arial" w:hAnsi="Arial"/>
          <w:sz w:val="16"/>
          <w:szCs w:val="16"/>
          <w:color w:val="auto"/>
        </w:rPr>
        <w:t>the expiration or termination of such Credit Support Document or the failing or ceasing of such Credit Support Document to be in full force and effect for the purpose of this Agreement (in either case other than in accordance with its terms) prior to the satisfaction of all obligations of such party under each Transaction to which such Credit Support Document relates without the written consent of the other party; or</w:t>
      </w:r>
    </w:p>
    <w:p>
      <w:pPr>
        <w:spacing w:after="0" w:line="25" w:lineRule="exact"/>
        <w:rPr>
          <w:rFonts w:ascii="Arial" w:cs="Arial" w:eastAsia="Arial" w:hAnsi="Arial"/>
          <w:sz w:val="16"/>
          <w:szCs w:val="16"/>
          <w:color w:val="auto"/>
        </w:rPr>
      </w:pPr>
    </w:p>
    <w:p>
      <w:pPr>
        <w:ind w:left="920" w:firstLine="1"/>
        <w:spacing w:after="0" w:line="268" w:lineRule="auto"/>
        <w:tabs>
          <w:tab w:leader="none" w:pos="1169" w:val="left"/>
        </w:tabs>
        <w:numPr>
          <w:ilvl w:val="2"/>
          <w:numId w:val="181"/>
        </w:numPr>
        <w:rPr>
          <w:rFonts w:ascii="Arial" w:cs="Arial" w:eastAsia="Arial" w:hAnsi="Arial"/>
          <w:sz w:val="18"/>
          <w:szCs w:val="18"/>
          <w:color w:val="auto"/>
        </w:rPr>
      </w:pPr>
      <w:r>
        <w:rPr>
          <w:rFonts w:ascii="Arial" w:cs="Arial" w:eastAsia="Arial" w:hAnsi="Arial"/>
          <w:sz w:val="18"/>
          <w:szCs w:val="18"/>
          <w:color w:val="auto"/>
        </w:rPr>
        <w:t>the party or such Credit Support Provider disaffirms, disclaims, repudiates or rejects, in whole or in part, or challenges the validity of, such Credit Support Document;</w:t>
      </w:r>
    </w:p>
    <w:p>
      <w:pPr>
        <w:spacing w:after="0" w:line="50" w:lineRule="exact"/>
        <w:rPr>
          <w:rFonts w:ascii="Arial" w:cs="Arial" w:eastAsia="Arial" w:hAnsi="Arial"/>
          <w:sz w:val="18"/>
          <w:szCs w:val="18"/>
          <w:color w:val="auto"/>
        </w:rPr>
      </w:pPr>
    </w:p>
    <w:p>
      <w:pPr>
        <w:ind w:left="460" w:right="80" w:firstLine="4"/>
        <w:spacing w:after="0" w:line="259" w:lineRule="auto"/>
        <w:tabs>
          <w:tab w:leader="none" w:pos="757" w:val="left"/>
        </w:tabs>
        <w:numPr>
          <w:ilvl w:val="1"/>
          <w:numId w:val="1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Misrepresentation. </w:t>
      </w:r>
      <w:r>
        <w:rPr>
          <w:rFonts w:ascii="Arial" w:cs="Arial" w:eastAsia="Arial" w:hAnsi="Arial"/>
          <w:sz w:val="18"/>
          <w:szCs w:val="18"/>
          <w:color w:val="auto"/>
        </w:rPr>
        <w:t>A representation (other than a representation under Section 3(e) or (f)) made or repeated or deemed to have been made or repeated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by the party or any Credit Support Provider of such party in this Agreement or any Credit Support Document proves to have been incorrect or misleading in any material respect when made or repeated or deemed to have been made or repeated;</w:t>
      </w:r>
    </w:p>
    <w:p>
      <w:pPr>
        <w:spacing w:after="0" w:line="59" w:lineRule="exact"/>
        <w:rPr>
          <w:rFonts w:ascii="Arial" w:cs="Arial" w:eastAsia="Arial" w:hAnsi="Arial"/>
          <w:sz w:val="18"/>
          <w:szCs w:val="18"/>
          <w:color w:val="auto"/>
        </w:rPr>
      </w:pPr>
    </w:p>
    <w:p>
      <w:pPr>
        <w:ind w:left="460" w:right="20" w:firstLine="4"/>
        <w:spacing w:after="0" w:line="290" w:lineRule="auto"/>
        <w:tabs>
          <w:tab w:leader="none" w:pos="709" w:val="left"/>
        </w:tabs>
        <w:numPr>
          <w:ilvl w:val="1"/>
          <w:numId w:val="18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Default under Specified Transaction. </w:t>
      </w:r>
      <w:r>
        <w:rPr>
          <w:rFonts w:ascii="Arial" w:cs="Arial" w:eastAsia="Arial" w:hAnsi="Arial"/>
          <w:sz w:val="16"/>
          <w:szCs w:val="16"/>
          <w:color w:val="auto"/>
        </w:rPr>
        <w:t>The party, any Credit Support Provider of such party or any applicable Specified Entity of such party (1) defaults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a Specified Transaction and, after giving effect to any applicable notice requirement or grace period, there occurs a liquidation of, an acceleration of obligations under, or an early termination of, that Specified Transaction, (2) defaults, after giving effect to any applicable notice requirement or grace period, in making any payment or delivery due on the last payment, delivery or exchange date of, or any payment on early termination of, a Specified Transaction (or such default continues for at least three Local Business Days if there is no applicable notice requirement or grace period) or (3) disaffirms, disclaims, repudiates or rejects, in whole or in part, a Specified Transaction (or such action is taken by any person or entity appointed or empowered to operate it or act on its behalf);</w:t>
      </w:r>
    </w:p>
    <w:p>
      <w:pPr>
        <w:spacing w:after="0" w:line="37" w:lineRule="exact"/>
        <w:rPr>
          <w:rFonts w:ascii="Arial" w:cs="Arial" w:eastAsia="Arial" w:hAnsi="Arial"/>
          <w:sz w:val="16"/>
          <w:szCs w:val="16"/>
          <w:color w:val="auto"/>
        </w:rPr>
      </w:pPr>
    </w:p>
    <w:p>
      <w:pPr>
        <w:ind w:left="460" w:right="140" w:firstLine="4"/>
        <w:spacing w:after="0" w:line="268" w:lineRule="auto"/>
        <w:tabs>
          <w:tab w:leader="none" w:pos="757" w:val="left"/>
        </w:tabs>
        <w:numPr>
          <w:ilvl w:val="1"/>
          <w:numId w:val="18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Cross Default. </w:t>
      </w:r>
      <w:r>
        <w:rPr>
          <w:rFonts w:ascii="Arial" w:cs="Arial" w:eastAsia="Arial" w:hAnsi="Arial"/>
          <w:sz w:val="18"/>
          <w:szCs w:val="18"/>
          <w:color w:val="auto"/>
        </w:rPr>
        <w:t>If “Cross Default” is specified in the Schedule as applying to the party, the occurrence or existence of (1) a default, event of default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similar condition or event (however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80" w:right="259" w:bottom="1440" w:gutter="0" w:footer="0" w:header="0"/>
        </w:sectPr>
      </w:pPr>
    </w:p>
    <w:bookmarkStart w:id="106" w:name="page107"/>
    <w:bookmarkEnd w:id="106"/>
    <w:p>
      <w:pPr>
        <w:ind w:left="452"/>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described) in respect of such party, any Credit Support Provider of such party or any applicable Specified Entity of such party under one or more agreements or instruments relating to Specified Indebtedness of any of them (individually or collectively) in an aggregate amount of not less than the applicable Threshold Amount (as specified in the Schedule) which has resulted in such Specified Indebtedness becoming, or becoming capable at such time of being declared, due and payable under such agreements or instruments, before it would otherwise have been due and payable or (2) a default by such party, such Credit Support Provider or such Specified Entity (individually or collectively) in making one or more payments on the due date thereof in an aggregate amount of not less than the applicable Threshold Amount under such agreements or instruments (after giving effect to any applicable notice requirement or grace period);</w:t>
      </w:r>
    </w:p>
    <w:p>
      <w:pPr>
        <w:spacing w:after="0" w:line="66" w:lineRule="exact"/>
        <w:rPr>
          <w:sz w:val="20"/>
          <w:szCs w:val="20"/>
          <w:color w:val="auto"/>
        </w:rPr>
      </w:pPr>
    </w:p>
    <w:p>
      <w:pPr>
        <w:ind w:left="812" w:hanging="356"/>
        <w:spacing w:after="0"/>
        <w:tabs>
          <w:tab w:leader="none" w:pos="812" w:val="left"/>
        </w:tabs>
        <w:numPr>
          <w:ilvl w:val="0"/>
          <w:numId w:val="18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Bankruptcy. </w:t>
      </w:r>
      <w:r>
        <w:rPr>
          <w:rFonts w:ascii="Arial" w:cs="Arial" w:eastAsia="Arial" w:hAnsi="Arial"/>
          <w:sz w:val="18"/>
          <w:szCs w:val="18"/>
          <w:color w:val="auto"/>
        </w:rPr>
        <w:t>The party, any Credit Support Provider of such party or any applicable Specified Entity of such party:—</w:t>
      </w:r>
    </w:p>
    <w:p>
      <w:pPr>
        <w:spacing w:after="0" w:line="90" w:lineRule="exact"/>
        <w:rPr>
          <w:rFonts w:ascii="Arial" w:cs="Arial" w:eastAsia="Arial" w:hAnsi="Arial"/>
          <w:sz w:val="18"/>
          <w:szCs w:val="18"/>
          <w:color w:val="auto"/>
        </w:rPr>
      </w:pPr>
    </w:p>
    <w:p>
      <w:pPr>
        <w:ind w:left="912" w:right="60" w:firstLine="1"/>
        <w:spacing w:after="0" w:line="285" w:lineRule="auto"/>
        <w:tabs>
          <w:tab w:leader="none" w:pos="1161" w:val="left"/>
        </w:tabs>
        <w:numPr>
          <w:ilvl w:val="1"/>
          <w:numId w:val="182"/>
        </w:numPr>
        <w:rPr>
          <w:rFonts w:ascii="Arial" w:cs="Arial" w:eastAsia="Arial" w:hAnsi="Arial"/>
          <w:sz w:val="16"/>
          <w:szCs w:val="16"/>
          <w:color w:val="auto"/>
        </w:rPr>
      </w:pPr>
      <w:r>
        <w:rPr>
          <w:rFonts w:ascii="Arial" w:cs="Arial" w:eastAsia="Arial" w:hAnsi="Arial"/>
          <w:sz w:val="16"/>
          <w:szCs w:val="16"/>
          <w:color w:val="auto"/>
        </w:rPr>
        <w:t>is dissolved (other than pursuant to a consolidation, amalgamation or merger); (2) becomes insolvent or is unable to pay its debts or fails or admits in writing its inability generally to pay its debts as they become due; (3) makes a general assignment, arrangement or composition with or for the benefit of its creditors; (4) institutes or has instituted against it a proceeding seeking a judgment of insolvency or bankruptcy or any other relief under any bankruptcy or insolvency law or other similar law affecting creditors’ rights, or a petition is presented for its winding-up or liquidation, and, in the case of any such proceeding or petition instituted or presented against it, such proceeding or petition (A) results in a judgment of insolvency or bankruptcy or the entry of an order for relief or the making of an order for its winding-up or liquidation or (B) is not dismissed, discharged, stayed or restrained in each case within 30 days of the institution or presentation thereof; (5) has a resolution passed for its winding-up, official management or liquidation (other than pursuant to a consolidation, amalgamation or merger); (6) seeks or becomes subject to the appointment of an administrator, provisional liquidator, conservator, receiver, trustee, custodian or other similar official for it or for all or substantially all its assets; (7) has a secured party take possession of all or substantially all its assets or has a distress, execution, attachment, sequestration or other legal process levied, enforced or sued on or against all or substantially all its assets and such secured party maintains possession, or any such process is not dismissed, discharged, stayed or restrained, in each case within 30 days thereafter; (8) causes or is subject to any event with respect to it which, under the applicable laws of any jurisdiction, has an analogous effect to any of the events specified in clauses (1) to (7) (inclusive); or (9) takes any action in furtherance of, or indicating its consent to, approval of, or acquiescence in, any of the foregoing acts; or</w:t>
      </w:r>
    </w:p>
    <w:p>
      <w:pPr>
        <w:spacing w:after="0" w:line="47" w:lineRule="exact"/>
        <w:rPr>
          <w:rFonts w:ascii="Arial" w:cs="Arial" w:eastAsia="Arial" w:hAnsi="Arial"/>
          <w:sz w:val="16"/>
          <w:szCs w:val="16"/>
          <w:color w:val="auto"/>
        </w:rPr>
      </w:pPr>
    </w:p>
    <w:p>
      <w:pPr>
        <w:ind w:left="452" w:right="260" w:firstLine="4"/>
        <w:spacing w:after="0" w:line="332" w:lineRule="auto"/>
        <w:tabs>
          <w:tab w:leader="none" w:pos="847" w:val="left"/>
        </w:tabs>
        <w:numPr>
          <w:ilvl w:val="0"/>
          <w:numId w:val="18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Merger Without Assumption. </w:t>
      </w:r>
      <w:r>
        <w:rPr>
          <w:rFonts w:ascii="Arial" w:cs="Arial" w:eastAsia="Arial" w:hAnsi="Arial"/>
          <w:sz w:val="16"/>
          <w:szCs w:val="16"/>
          <w:color w:val="auto"/>
        </w:rPr>
        <w:t>The party or any Credit Support Provider of such party consolidates or amalgamates with, or merges with or into,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transfers all or substantially all its assets to, another entity and, at the time of such consolidation, amalgamation, merger or transfer:—</w:t>
      </w:r>
    </w:p>
    <w:p>
      <w:pPr>
        <w:spacing w:after="0" w:line="4" w:lineRule="exact"/>
        <w:rPr>
          <w:rFonts w:ascii="Arial" w:cs="Arial" w:eastAsia="Arial" w:hAnsi="Arial"/>
          <w:sz w:val="16"/>
          <w:szCs w:val="16"/>
          <w:color w:val="auto"/>
        </w:rPr>
      </w:pPr>
    </w:p>
    <w:p>
      <w:pPr>
        <w:jc w:val="both"/>
        <w:ind w:left="912" w:right="40" w:firstLine="1"/>
        <w:spacing w:after="0" w:line="259" w:lineRule="auto"/>
        <w:tabs>
          <w:tab w:leader="none" w:pos="1161"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resulting, surviving or transferee entity fails to assume all the obligations of such party or such Credit Support Provider under this Agreement or any Credit Support Document to which it or its predecessor was a party by operation of law or pursuant to an agreement reasonably satisfactory to the other party to this Agreement; or</w:t>
      </w:r>
    </w:p>
    <w:p>
      <w:pPr>
        <w:spacing w:after="0" w:line="59" w:lineRule="exact"/>
        <w:rPr>
          <w:rFonts w:ascii="Arial" w:cs="Arial" w:eastAsia="Arial" w:hAnsi="Arial"/>
          <w:sz w:val="18"/>
          <w:szCs w:val="18"/>
          <w:color w:val="auto"/>
        </w:rPr>
      </w:pPr>
    </w:p>
    <w:p>
      <w:pPr>
        <w:ind w:left="912" w:right="660" w:firstLine="1"/>
        <w:spacing w:after="0" w:line="268" w:lineRule="auto"/>
        <w:tabs>
          <w:tab w:leader="none" w:pos="1161" w:val="left"/>
        </w:tabs>
        <w:numPr>
          <w:ilvl w:val="1"/>
          <w:numId w:val="182"/>
        </w:numPr>
        <w:rPr>
          <w:rFonts w:ascii="Arial" w:cs="Arial" w:eastAsia="Arial" w:hAnsi="Arial"/>
          <w:sz w:val="18"/>
          <w:szCs w:val="18"/>
          <w:color w:val="auto"/>
        </w:rPr>
      </w:pPr>
      <w:r>
        <w:rPr>
          <w:rFonts w:ascii="Arial" w:cs="Arial" w:eastAsia="Arial" w:hAnsi="Arial"/>
          <w:sz w:val="18"/>
          <w:szCs w:val="18"/>
          <w:color w:val="auto"/>
        </w:rPr>
        <w:t>the benefits of any Credit Support Document fail to extend (without the consent of the other party) to the performance by such resulting, surviving or transferee entity of its obligations under this Agreement.</w:t>
      </w:r>
    </w:p>
    <w:p>
      <w:pPr>
        <w:spacing w:after="0" w:line="132" w:lineRule="exact"/>
        <w:rPr>
          <w:sz w:val="20"/>
          <w:szCs w:val="20"/>
          <w:color w:val="auto"/>
        </w:rPr>
      </w:pPr>
    </w:p>
    <w:p>
      <w:pPr>
        <w:ind w:left="-8" w:right="100" w:firstLine="8"/>
        <w:spacing w:after="0" w:line="259" w:lineRule="auto"/>
        <w:tabs>
          <w:tab w:leader="none" w:pos="241" w:val="left"/>
        </w:tabs>
        <w:numPr>
          <w:ilvl w:val="0"/>
          <w:numId w:val="18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Termination Events. </w:t>
      </w:r>
      <w:r>
        <w:rPr>
          <w:rFonts w:ascii="Arial" w:cs="Arial" w:eastAsia="Arial" w:hAnsi="Arial"/>
          <w:sz w:val="18"/>
          <w:szCs w:val="18"/>
          <w:color w:val="auto"/>
        </w:rPr>
        <w:t>The occurrence at any time with respect to a party or, if applicable, any Credit Support Provider of such party or any Specified Entity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party of any event specified below constitutes an Illegality if the event is specified in (i) below, a Tax Event if the event is specified in (ii) below or a Tax Event Upon Merger if the event is specified in (iii) below, and, if specified to be applicable, a Credit Event</w:t>
      </w:r>
    </w:p>
    <w:p>
      <w:pPr>
        <w:spacing w:after="0" w:line="1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12"/>
          </w:cols>
          <w:pgMar w:left="248" w:top="280"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Upon Merger if the event is specified pursuant to (iv) below or an Additional Termination Event if the event is specified pursuant to (v) below:—</w:t>
      </w:r>
    </w:p>
    <w:p>
      <w:pPr>
        <w:spacing w:after="0" w:line="90" w:lineRule="exact"/>
        <w:rPr>
          <w:sz w:val="20"/>
          <w:szCs w:val="20"/>
          <w:color w:val="auto"/>
        </w:rPr>
      </w:pPr>
    </w:p>
    <w:p>
      <w:pPr>
        <w:ind w:left="460" w:right="140" w:firstLine="4"/>
        <w:spacing w:after="0" w:line="306" w:lineRule="auto"/>
        <w:tabs>
          <w:tab w:leader="none" w:pos="670" w:val="left"/>
        </w:tabs>
        <w:numPr>
          <w:ilvl w:val="0"/>
          <w:numId w:val="1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Illegality. </w:t>
      </w:r>
      <w:r>
        <w:rPr>
          <w:rFonts w:ascii="Arial" w:cs="Arial" w:eastAsia="Arial" w:hAnsi="Arial"/>
          <w:sz w:val="16"/>
          <w:szCs w:val="16"/>
          <w:color w:val="auto"/>
        </w:rPr>
        <w:t>Due to the adoption of, or any change in, any applicable law after the date on which a Transaction is entered into, or due to the promulgation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or any change in, the interpretation by any court, tribunal or regulatory authority with competent jurisdiction of any applicable law after such date, it becomes unlawful (other than as a result of a breach by the party of Section 4(b)) for such party (which will be the Affected Party):—</w:t>
      </w:r>
    </w:p>
    <w:p>
      <w:pPr>
        <w:spacing w:after="0" w:line="25" w:lineRule="exact"/>
        <w:rPr>
          <w:rFonts w:ascii="Arial" w:cs="Arial" w:eastAsia="Arial" w:hAnsi="Arial"/>
          <w:sz w:val="16"/>
          <w:szCs w:val="16"/>
          <w:color w:val="auto"/>
        </w:rPr>
      </w:pPr>
    </w:p>
    <w:p>
      <w:pPr>
        <w:ind w:left="920" w:right="20" w:firstLine="1"/>
        <w:spacing w:after="0" w:line="268" w:lineRule="auto"/>
        <w:tabs>
          <w:tab w:leader="none" w:pos="1169"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to perform any absolute or contingent obligation to make a payment or delivery or to receive a payment or delivery in respect of such Transaction or to comply with any other material provision of this Agreement relating to such Transaction; or</w:t>
      </w:r>
    </w:p>
    <w:p>
      <w:pPr>
        <w:spacing w:after="0" w:line="50" w:lineRule="exact"/>
        <w:rPr>
          <w:rFonts w:ascii="Arial" w:cs="Arial" w:eastAsia="Arial" w:hAnsi="Arial"/>
          <w:sz w:val="18"/>
          <w:szCs w:val="18"/>
          <w:color w:val="auto"/>
        </w:rPr>
      </w:pPr>
    </w:p>
    <w:p>
      <w:pPr>
        <w:ind w:left="920" w:right="540" w:firstLine="1"/>
        <w:spacing w:after="0" w:line="268" w:lineRule="auto"/>
        <w:tabs>
          <w:tab w:leader="none" w:pos="1169" w:val="left"/>
        </w:tabs>
        <w:numPr>
          <w:ilvl w:val="1"/>
          <w:numId w:val="184"/>
        </w:numPr>
        <w:rPr>
          <w:rFonts w:ascii="Arial" w:cs="Arial" w:eastAsia="Arial" w:hAnsi="Arial"/>
          <w:sz w:val="18"/>
          <w:szCs w:val="18"/>
          <w:color w:val="auto"/>
        </w:rPr>
      </w:pPr>
      <w:r>
        <w:rPr>
          <w:rFonts w:ascii="Arial" w:cs="Arial" w:eastAsia="Arial" w:hAnsi="Arial"/>
          <w:sz w:val="18"/>
          <w:szCs w:val="18"/>
          <w:color w:val="auto"/>
        </w:rPr>
        <w:t>to perform, or for any Credit Support Provider of such party to perform, any contingent or other obligation which the party (or such Credit Support Provider) has under any Credit Support Document relating to such Transaction;</w:t>
      </w:r>
    </w:p>
    <w:p>
      <w:pPr>
        <w:spacing w:after="0" w:line="50" w:lineRule="exact"/>
        <w:rPr>
          <w:rFonts w:ascii="Arial" w:cs="Arial" w:eastAsia="Arial" w:hAnsi="Arial"/>
          <w:sz w:val="18"/>
          <w:szCs w:val="18"/>
          <w:color w:val="auto"/>
        </w:rPr>
      </w:pPr>
    </w:p>
    <w:p>
      <w:pPr>
        <w:ind w:left="460" w:firstLine="4"/>
        <w:spacing w:after="0" w:line="283" w:lineRule="auto"/>
        <w:tabs>
          <w:tab w:leader="none" w:pos="718" w:val="left"/>
        </w:tabs>
        <w:numPr>
          <w:ilvl w:val="0"/>
          <w:numId w:val="18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 Event. </w:t>
      </w:r>
      <w:r>
        <w:rPr>
          <w:rFonts w:ascii="Arial" w:cs="Arial" w:eastAsia="Arial" w:hAnsi="Arial"/>
          <w:sz w:val="16"/>
          <w:szCs w:val="16"/>
          <w:color w:val="auto"/>
        </w:rPr>
        <w:t>Due to (x) any action taken by a taxing authority, or brought in a court of competent jurisdiction, on or after the date on which a Transaction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is entered into (regardless of whether such action is taken or brought with respect to a party to this Agreement) or (y) a Change in Tax Law, the party (which will be the Affected Party) will, or there is a substantial likelihood that it will, on the next succeeding Scheduled Payment Date (1) be required to pay to the other party an additional amount in respect of an Indemnifiable Tax under Section 2(d)(i)(4) (except in respect of interest under Section 2(e), 6(d)</w:t>
      </w:r>
    </w:p>
    <w:p>
      <w:pPr>
        <w:spacing w:after="0" w:line="2" w:lineRule="exact"/>
        <w:rPr>
          <w:rFonts w:ascii="Arial" w:cs="Arial" w:eastAsia="Arial" w:hAnsi="Arial"/>
          <w:sz w:val="16"/>
          <w:szCs w:val="16"/>
          <w:color w:val="auto"/>
        </w:rPr>
      </w:pPr>
    </w:p>
    <w:p>
      <w:pPr>
        <w:jc w:val="both"/>
        <w:ind w:left="460" w:right="100" w:firstLine="4"/>
        <w:spacing w:after="0" w:line="255" w:lineRule="auto"/>
        <w:tabs>
          <w:tab w:leader="none" w:pos="719" w:val="left"/>
        </w:tabs>
        <w:numPr>
          <w:ilvl w:val="0"/>
          <w:numId w:val="185"/>
        </w:numPr>
        <w:rPr>
          <w:rFonts w:ascii="Arial" w:cs="Arial" w:eastAsia="Arial" w:hAnsi="Arial"/>
          <w:sz w:val="18"/>
          <w:szCs w:val="18"/>
          <w:color w:val="auto"/>
        </w:rPr>
      </w:pPr>
      <w:r>
        <w:rPr>
          <w:rFonts w:ascii="Arial" w:cs="Arial" w:eastAsia="Arial" w:hAnsi="Arial"/>
          <w:sz w:val="18"/>
          <w:szCs w:val="18"/>
          <w:color w:val="auto"/>
        </w:rPr>
        <w:t>or 6(e)) or (2) receive a payment from which an amount is required to be deducted or withheld for or on account of a Tax (except in respect of interest under Section 2(e), 6(d)(ii) or 6(e)) and no additional amount is required to be paid in respect of such Tax under Section 2(d)(i)(4) (other than by reason of Section 2(d)(i)(4)(A) or (B));</w:t>
      </w:r>
    </w:p>
    <w:p>
      <w:pPr>
        <w:spacing w:after="0" w:line="144" w:lineRule="exact"/>
        <w:rPr>
          <w:rFonts w:ascii="Arial" w:cs="Arial" w:eastAsia="Arial" w:hAnsi="Arial"/>
          <w:sz w:val="18"/>
          <w:szCs w:val="18"/>
          <w:color w:val="auto"/>
        </w:rPr>
      </w:pPr>
    </w:p>
    <w:p>
      <w:pPr>
        <w:ind w:left="460" w:right="40" w:firstLine="4"/>
        <w:spacing w:after="0" w:line="291" w:lineRule="auto"/>
        <w:tabs>
          <w:tab w:leader="none" w:pos="767" w:val="left"/>
        </w:tabs>
        <w:numPr>
          <w:ilvl w:val="0"/>
          <w:numId w:val="1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Tax Event Upon Merger. </w:t>
      </w:r>
      <w:r>
        <w:rPr>
          <w:rFonts w:ascii="Arial" w:cs="Arial" w:eastAsia="Arial" w:hAnsi="Arial"/>
          <w:sz w:val="16"/>
          <w:szCs w:val="16"/>
          <w:color w:val="auto"/>
        </w:rPr>
        <w:t>The party (the “Burdened Party”) on the next succeeding Scheduled Payment Date will either (1) be required to pay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amount in respect of an Indemnifiable Tax under Section 2(d)(i)(4) (except in respect of interest under Section 2(e), 6(d)(ii) or 6(e)) or (2) receive a payment from which an amount has been deducted or withheld for or on account of any Indemnifiable Tax in respect of which the other party is not required to pay an additional amount (other than by reason of Section 2(d)(i)(4)(A) or (B)), in either case as a result of a party consolidating or amalgamating with, or merging with or into, or transferring all or substantially all its assets to, another entity (which will be the Affected Party) where such action does not constitute an event described in Section 5(a)(viii);</w:t>
      </w:r>
    </w:p>
    <w:p>
      <w:pPr>
        <w:spacing w:after="0" w:line="39" w:lineRule="exact"/>
        <w:rPr>
          <w:rFonts w:ascii="Arial" w:cs="Arial" w:eastAsia="Arial" w:hAnsi="Arial"/>
          <w:sz w:val="16"/>
          <w:szCs w:val="16"/>
          <w:color w:val="auto"/>
        </w:rPr>
      </w:pPr>
    </w:p>
    <w:p>
      <w:pPr>
        <w:ind w:left="460" w:right="20" w:firstLine="4"/>
        <w:spacing w:after="0" w:line="294" w:lineRule="auto"/>
        <w:tabs>
          <w:tab w:leader="none" w:pos="757" w:val="left"/>
        </w:tabs>
        <w:numPr>
          <w:ilvl w:val="0"/>
          <w:numId w:val="18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Credit Event Upon Merger. </w:t>
      </w:r>
      <w:r>
        <w:rPr>
          <w:rFonts w:ascii="Arial" w:cs="Arial" w:eastAsia="Arial" w:hAnsi="Arial"/>
          <w:sz w:val="16"/>
          <w:szCs w:val="16"/>
          <w:color w:val="auto"/>
        </w:rPr>
        <w:t>If “Credit Event Upon Merger” is specified in the Schedule as applying to the party, such party (“X”), any Credit Support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Provider of X or any applicable Specified Entity of X consolidates or amalgamates with, or merges with or into, or transfers all or substantially all its assets to, another entity and such action does not constitute an event described in Section 5(a)(viii) but the creditworthiness of the resulting, surviving or transferee entity is materially weaker than that of X, such Credit Support Provider or such Specified Entity, as the case may be, immediately prior to such action (and, in such event, X or its successor or transferee, as appropriate, will be the Affected Party); or</w:t>
      </w:r>
    </w:p>
    <w:p>
      <w:pPr>
        <w:spacing w:after="0" w:line="34" w:lineRule="exact"/>
        <w:rPr>
          <w:rFonts w:ascii="Arial" w:cs="Arial" w:eastAsia="Arial" w:hAnsi="Arial"/>
          <w:sz w:val="16"/>
          <w:szCs w:val="16"/>
          <w:color w:val="auto"/>
        </w:rPr>
      </w:pPr>
    </w:p>
    <w:p>
      <w:pPr>
        <w:jc w:val="both"/>
        <w:ind w:left="460" w:right="140" w:firstLine="4"/>
        <w:spacing w:after="0" w:line="259" w:lineRule="auto"/>
        <w:tabs>
          <w:tab w:leader="none" w:pos="709" w:val="left"/>
        </w:tabs>
        <w:numPr>
          <w:ilvl w:val="0"/>
          <w:numId w:val="18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Additional Termination Event. </w:t>
      </w:r>
      <w:r>
        <w:rPr>
          <w:rFonts w:ascii="Arial" w:cs="Arial" w:eastAsia="Arial" w:hAnsi="Arial"/>
          <w:sz w:val="18"/>
          <w:szCs w:val="18"/>
          <w:color w:val="auto"/>
        </w:rPr>
        <w:t>If any “Additional Termination Event” is specified in the Schedule or any Confirmation as applying, the occurrence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event (and, in such event, the Affected Party or Affected Parties shall be as specified for such Additional Termination Event in the Schedule or such Confirmation).</w:t>
      </w:r>
    </w:p>
    <w:p>
      <w:pPr>
        <w:spacing w:after="0" w:line="140" w:lineRule="exact"/>
        <w:rPr>
          <w:sz w:val="20"/>
          <w:szCs w:val="20"/>
          <w:color w:val="auto"/>
        </w:rPr>
      </w:pPr>
    </w:p>
    <w:p>
      <w:pPr>
        <w:ind w:right="80" w:firstLine="8"/>
        <w:spacing w:after="0" w:line="268" w:lineRule="auto"/>
        <w:tabs>
          <w:tab w:leader="none" w:pos="239" w:val="left"/>
        </w:tabs>
        <w:numPr>
          <w:ilvl w:val="0"/>
          <w:numId w:val="18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Event of Default and Illegality. </w:t>
      </w:r>
      <w:r>
        <w:rPr>
          <w:rFonts w:ascii="Arial" w:cs="Arial" w:eastAsia="Arial" w:hAnsi="Arial"/>
          <w:sz w:val="18"/>
          <w:szCs w:val="18"/>
          <w:color w:val="auto"/>
        </w:rPr>
        <w:t>If an event or circumstance which would otherwise constitute or give rise to an Event of Default also constitutes an Illegality,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it will be treated as an Illegality and will not constitute an Event of Default.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108" w:name="page109"/>
    <w:bookmarkEnd w:id="108"/>
    <w:p>
      <w:pPr>
        <w:ind w:left="460" w:hanging="452"/>
        <w:spacing w:after="0"/>
        <w:tabs>
          <w:tab w:leader="none" w:pos="460" w:val="left"/>
        </w:tabs>
        <w:numPr>
          <w:ilvl w:val="0"/>
          <w:numId w:val="18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Early Termination</w:t>
      </w:r>
    </w:p>
    <w:p>
      <w:pPr>
        <w:spacing w:after="0" w:line="96" w:lineRule="exact"/>
        <w:rPr>
          <w:sz w:val="20"/>
          <w:szCs w:val="20"/>
          <w:color w:val="auto"/>
        </w:rPr>
      </w:pPr>
    </w:p>
    <w:p>
      <w:pPr>
        <w:ind w:right="20" w:firstLine="8"/>
        <w:spacing w:after="0" w:line="283" w:lineRule="auto"/>
        <w:tabs>
          <w:tab w:leader="none" w:pos="239" w:val="left"/>
        </w:tabs>
        <w:numPr>
          <w:ilvl w:val="0"/>
          <w:numId w:val="1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Right to Terminate Following Event of Default. </w:t>
      </w:r>
      <w:r>
        <w:rPr>
          <w:rFonts w:ascii="Arial" w:cs="Arial" w:eastAsia="Arial" w:hAnsi="Arial"/>
          <w:sz w:val="16"/>
          <w:szCs w:val="16"/>
          <w:color w:val="auto"/>
        </w:rPr>
        <w:t>If at any time an Event of Default with respect to a party (the “Defaulting Party”) has occurred and is then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continuing, the other party (the “Non-defaulting Party”) may, by not more than 20 days notice to the Defaulting Party specifying the relevant Event of Default, designate a day not earlier than the day such notice is effective as an Early Termination Date in respect of all outstanding Transactions. If, however, “Automatic Early Termination” is specified in the Schedule as applying to a party, then an Early Termination Date in respect of all outstanding Transactions will occur immediately upon the occurrence with respect to such party of an Event of Default specified in Section 5(a)(vii)(l), (3), (5)</w:t>
      </w:r>
      <w:r>
        <w:rPr>
          <w:rFonts w:ascii="Arial" w:cs="Arial" w:eastAsia="Arial" w:hAnsi="Arial"/>
          <w:sz w:val="16"/>
          <w:szCs w:val="16"/>
          <w:i w:val="1"/>
          <w:iCs w:val="1"/>
          <w:color w:val="auto"/>
        </w:rPr>
        <w:t>,</w:t>
      </w:r>
      <w:r>
        <w:rPr>
          <w:rFonts w:ascii="Arial" w:cs="Arial" w:eastAsia="Arial" w:hAnsi="Arial"/>
          <w:sz w:val="16"/>
          <w:szCs w:val="16"/>
          <w:color w:val="auto"/>
        </w:rPr>
        <w:t xml:space="preserve"> (6) or, to the extent analogous thereto,</w:t>
      </w:r>
    </w:p>
    <w:p>
      <w:pPr>
        <w:spacing w:after="0" w:line="2" w:lineRule="exact"/>
        <w:rPr>
          <w:rFonts w:ascii="Arial" w:cs="Arial" w:eastAsia="Arial" w:hAnsi="Arial"/>
          <w:sz w:val="16"/>
          <w:szCs w:val="16"/>
          <w:color w:val="auto"/>
        </w:rPr>
      </w:pPr>
    </w:p>
    <w:p>
      <w:pPr>
        <w:ind w:right="480"/>
        <w:spacing w:after="0" w:line="261" w:lineRule="auto"/>
        <w:rPr>
          <w:rFonts w:ascii="Arial" w:cs="Arial" w:eastAsia="Arial" w:hAnsi="Arial"/>
          <w:sz w:val="16"/>
          <w:szCs w:val="16"/>
          <w:color w:val="auto"/>
        </w:rPr>
      </w:pPr>
      <w:r>
        <w:rPr>
          <w:rFonts w:ascii="Arial" w:cs="Arial" w:eastAsia="Arial" w:hAnsi="Arial"/>
          <w:sz w:val="18"/>
          <w:szCs w:val="18"/>
          <w:color w:val="auto"/>
        </w:rPr>
        <w:t>(8), and as of the time immediately preceding the institution of the relevant proceeding or the presentation of the relevant petition upon the occurrence with respect to such party of an Event of Default specified in Section 5(a)(vii)(4) or, to the extent analogous thereto, (8).</w:t>
      </w:r>
    </w:p>
    <w:p>
      <w:pPr>
        <w:spacing w:after="0" w:line="137" w:lineRule="exact"/>
        <w:rPr>
          <w:rFonts w:ascii="Arial" w:cs="Arial" w:eastAsia="Arial" w:hAnsi="Arial"/>
          <w:sz w:val="16"/>
          <w:szCs w:val="16"/>
          <w:color w:val="auto"/>
        </w:rPr>
      </w:pPr>
    </w:p>
    <w:p>
      <w:pPr>
        <w:ind w:left="260" w:hanging="252"/>
        <w:spacing w:after="0"/>
        <w:tabs>
          <w:tab w:leader="none" w:pos="260" w:val="left"/>
        </w:tabs>
        <w:numPr>
          <w:ilvl w:val="0"/>
          <w:numId w:val="188"/>
        </w:numPr>
        <w:rPr>
          <w:rFonts w:ascii="Arial" w:cs="Arial" w:eastAsia="Arial" w:hAnsi="Arial"/>
          <w:sz w:val="18"/>
          <w:szCs w:val="18"/>
          <w:color w:val="auto"/>
        </w:rPr>
      </w:pPr>
      <w:r>
        <w:rPr>
          <w:rFonts w:ascii="Arial" w:cs="Arial" w:eastAsia="Arial" w:hAnsi="Arial"/>
          <w:sz w:val="18"/>
          <w:szCs w:val="18"/>
          <w:b w:val="1"/>
          <w:bCs w:val="1"/>
          <w:i w:val="1"/>
          <w:iCs w:val="1"/>
          <w:color w:val="auto"/>
        </w:rPr>
        <w:t>Right to Terminate Following Termination Event.</w:t>
      </w:r>
    </w:p>
    <w:p>
      <w:pPr>
        <w:spacing w:after="0" w:line="90" w:lineRule="exact"/>
        <w:rPr>
          <w:rFonts w:ascii="Arial" w:cs="Arial" w:eastAsia="Arial" w:hAnsi="Arial"/>
          <w:sz w:val="18"/>
          <w:szCs w:val="18"/>
          <w:color w:val="auto"/>
        </w:rPr>
      </w:pPr>
    </w:p>
    <w:p>
      <w:pPr>
        <w:ind w:left="460" w:firstLine="4"/>
        <w:spacing w:after="0" w:line="259" w:lineRule="auto"/>
        <w:tabs>
          <w:tab w:leader="none" w:pos="670" w:val="left"/>
        </w:tabs>
        <w:numPr>
          <w:ilvl w:val="1"/>
          <w:numId w:val="188"/>
        </w:numPr>
        <w:rPr>
          <w:rFonts w:ascii="Arial" w:cs="Arial" w:eastAsia="Arial" w:hAnsi="Arial"/>
          <w:sz w:val="18"/>
          <w:szCs w:val="18"/>
          <w:color w:val="auto"/>
        </w:rPr>
      </w:pPr>
      <w:r>
        <w:rPr>
          <w:rFonts w:ascii="Arial" w:cs="Arial" w:eastAsia="Arial" w:hAnsi="Arial"/>
          <w:sz w:val="18"/>
          <w:szCs w:val="18"/>
          <w:b w:val="1"/>
          <w:bCs w:val="1"/>
          <w:i w:val="1"/>
          <w:iCs w:val="1"/>
          <w:color w:val="auto"/>
        </w:rPr>
        <w:t>Notice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If a Termination Event occurs, an Affected Party will, promptly upon becoming aware of it, notify the other party, specifying the nature of that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Event and each Affected Transaction and will also give such other information about that Termination Event as the other party may reasonably require.</w:t>
      </w:r>
    </w:p>
    <w:p>
      <w:pPr>
        <w:spacing w:after="0" w:line="59" w:lineRule="exact"/>
        <w:rPr>
          <w:rFonts w:ascii="Arial" w:cs="Arial" w:eastAsia="Arial" w:hAnsi="Arial"/>
          <w:sz w:val="18"/>
          <w:szCs w:val="18"/>
          <w:color w:val="auto"/>
        </w:rPr>
      </w:pPr>
    </w:p>
    <w:p>
      <w:pPr>
        <w:ind w:left="460" w:right="120" w:firstLine="4"/>
        <w:spacing w:after="0" w:line="294" w:lineRule="auto"/>
        <w:tabs>
          <w:tab w:leader="none" w:pos="718" w:val="left"/>
        </w:tabs>
        <w:numPr>
          <w:ilvl w:val="1"/>
          <w:numId w:val="18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Transfer to Avoid Termination Event. </w:t>
      </w:r>
      <w:r>
        <w:rPr>
          <w:rFonts w:ascii="Arial" w:cs="Arial" w:eastAsia="Arial" w:hAnsi="Arial"/>
          <w:sz w:val="16"/>
          <w:szCs w:val="16"/>
          <w:color w:val="auto"/>
        </w:rPr>
        <w:t>If either an Illegality under Section 5(b)(i)(l) or a Tax Event occurs and there is only one Affected Party, or if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Tax Event Upon Merger occurs and the Burdened Party is the Affected Party, the Affected Party will, as a condition to its right to designate an Early Termination Date under Section 6(b)(iv), use all reasonable efforts (which will not require such party to incur a loss, excluding immaterial, incidental expenses) to transfer within 20 days after it gives notice under Section 6(b)(i) all its rights and obligations under this Agreement in respect of the Affected Transactions to another of its Offices or Affiliates so that such Termination Event ceases to exist.</w:t>
      </w:r>
    </w:p>
    <w:p>
      <w:pPr>
        <w:spacing w:after="0" w:line="35" w:lineRule="exact"/>
        <w:rPr>
          <w:sz w:val="20"/>
          <w:szCs w:val="20"/>
          <w:color w:val="auto"/>
        </w:rPr>
      </w:pPr>
    </w:p>
    <w:p>
      <w:pPr>
        <w:ind w:left="460" w:right="200"/>
        <w:spacing w:after="0" w:line="268" w:lineRule="auto"/>
        <w:rPr>
          <w:sz w:val="20"/>
          <w:szCs w:val="20"/>
          <w:color w:val="auto"/>
        </w:rPr>
      </w:pPr>
      <w:r>
        <w:rPr>
          <w:rFonts w:ascii="Arial" w:cs="Arial" w:eastAsia="Arial" w:hAnsi="Arial"/>
          <w:sz w:val="18"/>
          <w:szCs w:val="18"/>
          <w:color w:val="auto"/>
        </w:rPr>
        <w:t>If the Affected Party is not able to make such a transfer it will give notice to the other party to that effect within such 20 day period, whereupon the other party may effect such a transfer within 30 days after the notice is given under Section 6(b)(i).</w:t>
      </w:r>
    </w:p>
    <w:p>
      <w:pPr>
        <w:spacing w:after="0" w:line="51" w:lineRule="exact"/>
        <w:rPr>
          <w:sz w:val="20"/>
          <w:szCs w:val="20"/>
          <w:color w:val="auto"/>
        </w:rPr>
      </w:pPr>
    </w:p>
    <w:p>
      <w:pPr>
        <w:ind w:left="460" w:right="80"/>
        <w:spacing w:after="0" w:line="332" w:lineRule="auto"/>
        <w:rPr>
          <w:sz w:val="20"/>
          <w:szCs w:val="20"/>
          <w:color w:val="auto"/>
        </w:rPr>
      </w:pPr>
      <w:r>
        <w:rPr>
          <w:rFonts w:ascii="Arial" w:cs="Arial" w:eastAsia="Arial" w:hAnsi="Arial"/>
          <w:sz w:val="16"/>
          <w:szCs w:val="16"/>
          <w:color w:val="auto"/>
        </w:rPr>
        <w:t>Any such transfer by a party under this Section 6(b)(ii) will be subject to and conditional upon the prior written consent of the other party, which consent will not be withheld if such other party’s policies in effect at such time would permit it to enter into transactions with the transferee on the terms proposed.</w:t>
      </w:r>
    </w:p>
    <w:p>
      <w:pPr>
        <w:spacing w:after="0" w:line="4" w:lineRule="exact"/>
        <w:rPr>
          <w:sz w:val="20"/>
          <w:szCs w:val="20"/>
          <w:color w:val="auto"/>
        </w:rPr>
      </w:pPr>
    </w:p>
    <w:p>
      <w:pPr>
        <w:ind w:left="460" w:right="640" w:firstLine="4"/>
        <w:spacing w:after="0" w:line="357" w:lineRule="auto"/>
        <w:tabs>
          <w:tab w:leader="none" w:pos="767" w:val="left"/>
        </w:tabs>
        <w:numPr>
          <w:ilvl w:val="0"/>
          <w:numId w:val="189"/>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Two Affected Parties. </w:t>
      </w:r>
      <w:r>
        <w:rPr>
          <w:rFonts w:ascii="Arial" w:cs="Arial" w:eastAsia="Arial" w:hAnsi="Arial"/>
          <w:sz w:val="15"/>
          <w:szCs w:val="15"/>
          <w:color w:val="auto"/>
        </w:rPr>
        <w:t>If an Illegality under Section 5(b)(i)( 1) or a Tax Event occurs and there are two Affected Parties, each party will use all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reasonable efforts to reach agreement within 30 days after notice thereof is given under Section 6(b)(i) on action to avoid that Termination Event.</w:t>
      </w:r>
    </w:p>
    <w:p>
      <w:pPr>
        <w:ind w:left="760" w:hanging="296"/>
        <w:spacing w:after="0"/>
        <w:tabs>
          <w:tab w:leader="none" w:pos="760" w:val="left"/>
        </w:tabs>
        <w:numPr>
          <w:ilvl w:val="0"/>
          <w:numId w:val="18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Right to Terminate. </w:t>
      </w:r>
      <w:r>
        <w:rPr>
          <w:rFonts w:ascii="Arial" w:cs="Arial" w:eastAsia="Arial" w:hAnsi="Arial"/>
          <w:sz w:val="18"/>
          <w:szCs w:val="18"/>
          <w:color w:val="auto"/>
        </w:rPr>
        <w:t>If:—</w:t>
      </w:r>
    </w:p>
    <w:p>
      <w:pPr>
        <w:spacing w:after="0" w:line="90" w:lineRule="exact"/>
        <w:rPr>
          <w:rFonts w:ascii="Arial" w:cs="Arial" w:eastAsia="Arial" w:hAnsi="Arial"/>
          <w:sz w:val="18"/>
          <w:szCs w:val="18"/>
          <w:color w:val="auto"/>
        </w:rPr>
      </w:pPr>
    </w:p>
    <w:p>
      <w:pPr>
        <w:ind w:left="920" w:right="300" w:firstLine="1"/>
        <w:spacing w:after="0" w:line="268" w:lineRule="auto"/>
        <w:tabs>
          <w:tab w:leader="none" w:pos="116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 transfer under Section 6(b)(ii) or an agreement under Section 6(b)(iii), as the case may be, has not been effected with respect to all Affected Transactions within 30 days after an Affected Party gives notice under Section 6(b)(i); or</w:t>
      </w:r>
    </w:p>
    <w:p>
      <w:pPr>
        <w:spacing w:after="0" w:line="50" w:lineRule="exact"/>
        <w:rPr>
          <w:rFonts w:ascii="Arial" w:cs="Arial" w:eastAsia="Arial" w:hAnsi="Arial"/>
          <w:sz w:val="18"/>
          <w:szCs w:val="18"/>
          <w:color w:val="auto"/>
        </w:rPr>
      </w:pPr>
    </w:p>
    <w:p>
      <w:pPr>
        <w:ind w:left="920" w:right="420" w:firstLine="1"/>
        <w:spacing w:after="0" w:line="268" w:lineRule="auto"/>
        <w:tabs>
          <w:tab w:leader="none" w:pos="1169" w:val="left"/>
        </w:tabs>
        <w:numPr>
          <w:ilvl w:val="1"/>
          <w:numId w:val="189"/>
        </w:numPr>
        <w:rPr>
          <w:rFonts w:ascii="Arial" w:cs="Arial" w:eastAsia="Arial" w:hAnsi="Arial"/>
          <w:sz w:val="18"/>
          <w:szCs w:val="18"/>
          <w:color w:val="auto"/>
        </w:rPr>
      </w:pPr>
      <w:r>
        <w:rPr>
          <w:rFonts w:ascii="Arial" w:cs="Arial" w:eastAsia="Arial" w:hAnsi="Arial"/>
          <w:sz w:val="18"/>
          <w:szCs w:val="18"/>
          <w:color w:val="auto"/>
        </w:rPr>
        <w:t>an Illegality under Section 5(b)(i)(2), a Credit Event Upon Merger or an Additional Termination Event occurs, or a Tax Event Upon Merger occurs and the Burdened Party is not the Affected Party,</w:t>
      </w:r>
    </w:p>
    <w:p>
      <w:pPr>
        <w:spacing w:after="0" w:line="51" w:lineRule="exact"/>
        <w:rPr>
          <w:sz w:val="20"/>
          <w:szCs w:val="20"/>
          <w:color w:val="auto"/>
        </w:rPr>
      </w:pPr>
    </w:p>
    <w:p>
      <w:pPr>
        <w:ind w:left="460"/>
        <w:spacing w:after="0" w:line="256" w:lineRule="auto"/>
        <w:rPr>
          <w:sz w:val="20"/>
          <w:szCs w:val="20"/>
          <w:color w:val="auto"/>
        </w:rPr>
      </w:pPr>
      <w:r>
        <w:rPr>
          <w:rFonts w:ascii="Arial" w:cs="Arial" w:eastAsia="Arial" w:hAnsi="Arial"/>
          <w:sz w:val="18"/>
          <w:szCs w:val="18"/>
          <w:color w:val="auto"/>
        </w:rPr>
        <w:t>either party in the case of an Illegality, the Burdened Party in the case of a Tax Event Upon Merger, any Affected Party in the case of a Tax Event or an Additional Termination Event if there is more than one Affected Party, or the party which is not the Affected Party in the case of a Credit Event Upon Merger or an Additional Termination Event if there is only one Affected Party may, by not more than 20 days notice to the other party and provided that the relevant Termination Event is then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109" w:name="page110"/>
    <w:bookmarkEnd w:id="109"/>
    <w:p>
      <w:pPr>
        <w:ind w:left="452"/>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continuing, designate a day not earlier than the day such notice is effective as an Early Termination Date in respect of all Affected Transactions.</w:t>
      </w:r>
    </w:p>
    <w:p>
      <w:pPr>
        <w:spacing w:after="0" w:line="194" w:lineRule="exact"/>
        <w:rPr>
          <w:sz w:val="20"/>
          <w:szCs w:val="20"/>
          <w:color w:val="auto"/>
        </w:rPr>
      </w:pPr>
    </w:p>
    <w:p>
      <w:pPr>
        <w:ind w:left="232" w:hanging="232"/>
        <w:spacing w:after="0"/>
        <w:tabs>
          <w:tab w:leader="none" w:pos="232" w:val="left"/>
        </w:tabs>
        <w:numPr>
          <w:ilvl w:val="0"/>
          <w:numId w:val="190"/>
        </w:numPr>
        <w:rPr>
          <w:rFonts w:ascii="Arial" w:cs="Arial" w:eastAsia="Arial" w:hAnsi="Arial"/>
          <w:sz w:val="18"/>
          <w:szCs w:val="18"/>
          <w:color w:val="auto"/>
        </w:rPr>
      </w:pPr>
      <w:r>
        <w:rPr>
          <w:rFonts w:ascii="Arial" w:cs="Arial" w:eastAsia="Arial" w:hAnsi="Arial"/>
          <w:sz w:val="18"/>
          <w:szCs w:val="18"/>
          <w:b w:val="1"/>
          <w:bCs w:val="1"/>
          <w:i w:val="1"/>
          <w:iCs w:val="1"/>
          <w:color w:val="auto"/>
        </w:rPr>
        <w:t>Effect of Designation.</w:t>
      </w:r>
    </w:p>
    <w:p>
      <w:pPr>
        <w:spacing w:after="0" w:line="90" w:lineRule="exact"/>
        <w:rPr>
          <w:rFonts w:ascii="Arial" w:cs="Arial" w:eastAsia="Arial" w:hAnsi="Arial"/>
          <w:sz w:val="18"/>
          <w:szCs w:val="18"/>
          <w:color w:val="auto"/>
        </w:rPr>
      </w:pPr>
    </w:p>
    <w:p>
      <w:pPr>
        <w:ind w:left="452" w:right="400" w:firstLine="4"/>
        <w:spacing w:after="0" w:line="268" w:lineRule="auto"/>
        <w:tabs>
          <w:tab w:leader="none" w:pos="662" w:val="left"/>
        </w:tabs>
        <w:numPr>
          <w:ilvl w:val="1"/>
          <w:numId w:val="190"/>
        </w:numPr>
        <w:rPr>
          <w:rFonts w:ascii="Arial" w:cs="Arial" w:eastAsia="Arial" w:hAnsi="Arial"/>
          <w:sz w:val="18"/>
          <w:szCs w:val="18"/>
          <w:color w:val="auto"/>
        </w:rPr>
      </w:pPr>
      <w:r>
        <w:rPr>
          <w:rFonts w:ascii="Arial" w:cs="Arial" w:eastAsia="Arial" w:hAnsi="Arial"/>
          <w:sz w:val="18"/>
          <w:szCs w:val="18"/>
          <w:color w:val="auto"/>
        </w:rPr>
        <w:t>If notice designating an Early Termination Date is given under Section 6(a) or (b), the Early Termination Date will occur on the date so designated, whether or not the relevant Event of Default or Termination Event is then continuing.</w:t>
      </w:r>
    </w:p>
    <w:p>
      <w:pPr>
        <w:spacing w:after="0" w:line="50" w:lineRule="exact"/>
        <w:rPr>
          <w:rFonts w:ascii="Arial" w:cs="Arial" w:eastAsia="Arial" w:hAnsi="Arial"/>
          <w:sz w:val="18"/>
          <w:szCs w:val="18"/>
          <w:color w:val="auto"/>
        </w:rPr>
      </w:pPr>
    </w:p>
    <w:p>
      <w:pPr>
        <w:ind w:left="452" w:right="60" w:firstLine="4"/>
        <w:spacing w:after="0" w:line="259" w:lineRule="auto"/>
        <w:tabs>
          <w:tab w:leader="none" w:pos="711" w:val="left"/>
        </w:tabs>
        <w:numPr>
          <w:ilvl w:val="1"/>
          <w:numId w:val="190"/>
        </w:numPr>
        <w:rPr>
          <w:rFonts w:ascii="Arial" w:cs="Arial" w:eastAsia="Arial" w:hAnsi="Arial"/>
          <w:sz w:val="18"/>
          <w:szCs w:val="18"/>
          <w:color w:val="auto"/>
        </w:rPr>
      </w:pPr>
      <w:r>
        <w:rPr>
          <w:rFonts w:ascii="Arial" w:cs="Arial" w:eastAsia="Arial" w:hAnsi="Arial"/>
          <w:sz w:val="18"/>
          <w:szCs w:val="18"/>
          <w:color w:val="auto"/>
        </w:rPr>
        <w:t>Upon the occurrence or effective designation of an Early Termination Date, no further payments or deliveries under Section 2(a)(i) or 2(e) in respect of the Terminated Transactions will be required to be made, but without prejudice to the other provisions of this Agreement. The amount, if any, payable in respect of an Early Termination Date shall be determined pursuant to Section 6(e).</w:t>
      </w:r>
    </w:p>
    <w:p>
      <w:pPr>
        <w:spacing w:after="0" w:line="140" w:lineRule="exact"/>
        <w:rPr>
          <w:rFonts w:ascii="Arial" w:cs="Arial" w:eastAsia="Arial" w:hAnsi="Arial"/>
          <w:sz w:val="18"/>
          <w:szCs w:val="18"/>
          <w:color w:val="auto"/>
        </w:rPr>
      </w:pPr>
    </w:p>
    <w:p>
      <w:pPr>
        <w:ind w:left="252" w:hanging="252"/>
        <w:spacing w:after="0"/>
        <w:tabs>
          <w:tab w:leader="none" w:pos="252" w:val="left"/>
        </w:tabs>
        <w:numPr>
          <w:ilvl w:val="0"/>
          <w:numId w:val="190"/>
        </w:numPr>
        <w:rPr>
          <w:rFonts w:ascii="Arial" w:cs="Arial" w:eastAsia="Arial" w:hAnsi="Arial"/>
          <w:sz w:val="18"/>
          <w:szCs w:val="18"/>
          <w:color w:val="auto"/>
        </w:rPr>
      </w:pPr>
      <w:r>
        <w:rPr>
          <w:rFonts w:ascii="Arial" w:cs="Arial" w:eastAsia="Arial" w:hAnsi="Arial"/>
          <w:sz w:val="18"/>
          <w:szCs w:val="18"/>
          <w:b w:val="1"/>
          <w:bCs w:val="1"/>
          <w:i w:val="1"/>
          <w:iCs w:val="1"/>
          <w:color w:val="auto"/>
        </w:rPr>
        <w:t>Calculations.</w:t>
      </w:r>
    </w:p>
    <w:p>
      <w:pPr>
        <w:spacing w:after="0" w:line="90" w:lineRule="exact"/>
        <w:rPr>
          <w:rFonts w:ascii="Arial" w:cs="Arial" w:eastAsia="Arial" w:hAnsi="Arial"/>
          <w:sz w:val="18"/>
          <w:szCs w:val="18"/>
          <w:color w:val="auto"/>
        </w:rPr>
      </w:pPr>
    </w:p>
    <w:p>
      <w:pPr>
        <w:ind w:left="452" w:right="40" w:firstLine="4"/>
        <w:spacing w:after="0" w:line="294" w:lineRule="auto"/>
        <w:tabs>
          <w:tab w:leader="none" w:pos="662" w:val="left"/>
        </w:tabs>
        <w:numPr>
          <w:ilvl w:val="1"/>
          <w:numId w:val="1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Statement. </w:t>
      </w:r>
      <w:r>
        <w:rPr>
          <w:rFonts w:ascii="Arial" w:cs="Arial" w:eastAsia="Arial" w:hAnsi="Arial"/>
          <w:sz w:val="16"/>
          <w:szCs w:val="16"/>
          <w:color w:val="auto"/>
        </w:rPr>
        <w:t>On or as soon as reasonably practicable following the occurrence of an Early Termination Date, each party will make the calculations on 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 if any, contemplated by Section 6(e) and will provide to the other party a statement (1) showing, in reasonable detail, such calculations (including all relevant quotations and specifying any amount payable under Section 6(e)) and (2) giving details of the relevant account to which any amount payable to it is to be paid. In the absence of written confirmation from the source of a quotation obtained in determining a Market Quotation, the records of the party obtaining such quotation will be conclusive evidence of the existence and accuracy of such quotation.</w:t>
      </w:r>
    </w:p>
    <w:p>
      <w:pPr>
        <w:spacing w:after="0" w:line="34" w:lineRule="exact"/>
        <w:rPr>
          <w:rFonts w:ascii="Arial" w:cs="Arial" w:eastAsia="Arial" w:hAnsi="Arial"/>
          <w:sz w:val="16"/>
          <w:szCs w:val="16"/>
          <w:color w:val="auto"/>
        </w:rPr>
      </w:pPr>
    </w:p>
    <w:p>
      <w:pPr>
        <w:ind w:left="452" w:firstLine="4"/>
        <w:spacing w:after="0" w:line="291" w:lineRule="auto"/>
        <w:tabs>
          <w:tab w:leader="none" w:pos="710" w:val="left"/>
        </w:tabs>
        <w:numPr>
          <w:ilvl w:val="1"/>
          <w:numId w:val="1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Date. </w:t>
      </w:r>
      <w:r>
        <w:rPr>
          <w:rFonts w:ascii="Arial" w:cs="Arial" w:eastAsia="Arial" w:hAnsi="Arial"/>
          <w:sz w:val="16"/>
          <w:szCs w:val="16"/>
          <w:color w:val="auto"/>
        </w:rPr>
        <w:t>An amount calculated as being due in respect of any Early Termination Date under Section 6(e) will be payable on the day that notice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amount payable is effective (in the case of an Early Termination Date which is designated or occurs as a result of an Event of Default) and on the day which is two Local Business Days after the day on which notice of the amount payable is effective (in the case of an Early Termination Date which is designated as a result of a Termination Event). Such amount will be paid together with (to the extent permitted under applicable law) interest thereon (before as well as after judgment) in the Termination Currency, from (and including) the relevant Early Termination Date to (but excluding) the date such amount is paid, at the Applicable Rate. Such interest will be calculated on the basis of daily compounding and the actual number of days elapsed.</w:t>
      </w:r>
    </w:p>
    <w:p>
      <w:pPr>
        <w:spacing w:after="0" w:line="120" w:lineRule="exact"/>
        <w:rPr>
          <w:rFonts w:ascii="Arial" w:cs="Arial" w:eastAsia="Arial" w:hAnsi="Arial"/>
          <w:sz w:val="16"/>
          <w:szCs w:val="16"/>
          <w:color w:val="auto"/>
        </w:rPr>
      </w:pPr>
    </w:p>
    <w:p>
      <w:pPr>
        <w:jc w:val="both"/>
        <w:ind w:left="-8" w:right="60" w:firstLine="8"/>
        <w:spacing w:after="0" w:line="298" w:lineRule="auto"/>
        <w:tabs>
          <w:tab w:leader="none" w:pos="231" w:val="left"/>
        </w:tabs>
        <w:numPr>
          <w:ilvl w:val="0"/>
          <w:numId w:val="19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Payments on Early Termination. </w:t>
      </w:r>
      <w:r>
        <w:rPr>
          <w:rFonts w:ascii="Arial" w:cs="Arial" w:eastAsia="Arial" w:hAnsi="Arial"/>
          <w:sz w:val="16"/>
          <w:szCs w:val="16"/>
          <w:color w:val="auto"/>
        </w:rPr>
        <w:t>If an Early Termination Date occurs, the following provisions shall apply based on the parties’ election in the Schedule of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measure, either “Market Quotation” or “Loss”, and a payment method, either the “First Method” or the “Second Method”. If the parties fail to designate a payment measure or payment method in the Schedule, it will be deemed that “Market Quotation” or the “Second Method”, as the case may be, shall apply. The amount, if any, payable in respect of an Early Termination Date and determined pursuant to this Section will be subject to any Set-off.</w:t>
      </w:r>
    </w:p>
    <w:p>
      <w:pPr>
        <w:spacing w:after="0" w:line="31" w:lineRule="exact"/>
        <w:rPr>
          <w:rFonts w:ascii="Arial" w:cs="Arial" w:eastAsia="Arial" w:hAnsi="Arial"/>
          <w:sz w:val="16"/>
          <w:szCs w:val="16"/>
          <w:color w:val="auto"/>
        </w:rPr>
      </w:pPr>
    </w:p>
    <w:p>
      <w:pPr>
        <w:ind w:left="672" w:hanging="216"/>
        <w:spacing w:after="0"/>
        <w:tabs>
          <w:tab w:leader="none" w:pos="672" w:val="left"/>
        </w:tabs>
        <w:numPr>
          <w:ilvl w:val="1"/>
          <w:numId w:val="19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If the Early Termination Date results from an Event of Default:—</w:t>
      </w:r>
    </w:p>
    <w:p>
      <w:pPr>
        <w:spacing w:after="0" w:line="90" w:lineRule="exact"/>
        <w:rPr>
          <w:rFonts w:ascii="Arial" w:cs="Arial" w:eastAsia="Arial" w:hAnsi="Arial"/>
          <w:sz w:val="18"/>
          <w:szCs w:val="18"/>
          <w:color w:val="auto"/>
        </w:rPr>
      </w:pPr>
    </w:p>
    <w:p>
      <w:pPr>
        <w:ind w:left="912" w:firstLine="1"/>
        <w:spacing w:after="0" w:line="256" w:lineRule="auto"/>
        <w:tabs>
          <w:tab w:leader="none" w:pos="1160" w:val="left"/>
        </w:tabs>
        <w:numPr>
          <w:ilvl w:val="2"/>
          <w:numId w:val="190"/>
        </w:numPr>
        <w:rPr>
          <w:rFonts w:ascii="Arial" w:cs="Arial" w:eastAsia="Arial" w:hAnsi="Arial"/>
          <w:sz w:val="18"/>
          <w:szCs w:val="18"/>
          <w:color w:val="auto"/>
        </w:rPr>
      </w:pPr>
      <w:r>
        <w:rPr>
          <w:rFonts w:ascii="Arial" w:cs="Arial" w:eastAsia="Arial" w:hAnsi="Arial"/>
          <w:sz w:val="18"/>
          <w:szCs w:val="18"/>
          <w:i w:val="1"/>
          <w:iCs w:val="1"/>
          <w:color w:val="auto"/>
        </w:rPr>
        <w:t xml:space="preserve">First Method and Market Quotation. </w:t>
      </w:r>
      <w:r>
        <w:rPr>
          <w:rFonts w:ascii="Arial" w:cs="Arial" w:eastAsia="Arial" w:hAnsi="Arial"/>
          <w:sz w:val="18"/>
          <w:szCs w:val="18"/>
          <w:color w:val="auto"/>
        </w:rPr>
        <w:t>If the First Method and Market Quotation apply, the Defaulting Party will pay to the Non-defaulting Party</w:t>
      </w:r>
      <w:r>
        <w:rPr>
          <w:rFonts w:ascii="Arial" w:cs="Arial" w:eastAsia="Arial" w:hAnsi="Arial"/>
          <w:sz w:val="18"/>
          <w:szCs w:val="18"/>
          <w:i w:val="1"/>
          <w:iCs w:val="1"/>
          <w:color w:val="auto"/>
        </w:rPr>
        <w:t xml:space="preserve"> </w:t>
      </w:r>
      <w:r>
        <w:rPr>
          <w:rFonts w:ascii="Arial" w:cs="Arial" w:eastAsia="Arial" w:hAnsi="Arial"/>
          <w:sz w:val="18"/>
          <w:szCs w:val="18"/>
          <w:color w:val="auto"/>
        </w:rPr>
        <w:t>the excess, if a positive number, of (A) the sum of the Settlement Amount (determined by the Non-defaulting Party) in respect of the Terminated Transactions and the Termination Currency Equivalent of the Unpaid Amounts owing to the Non-defaulting Party over (B) the Termination Currency Equivalent of the Unpaid Amounts owing to the Defaulting Party.</w:t>
      </w:r>
    </w:p>
    <w:p>
      <w:pPr>
        <w:spacing w:after="0" w:line="62" w:lineRule="exact"/>
        <w:rPr>
          <w:rFonts w:ascii="Arial" w:cs="Arial" w:eastAsia="Arial" w:hAnsi="Arial"/>
          <w:sz w:val="18"/>
          <w:szCs w:val="18"/>
          <w:color w:val="auto"/>
        </w:rPr>
      </w:pPr>
    </w:p>
    <w:p>
      <w:pPr>
        <w:ind w:left="912" w:right="240" w:firstLine="1"/>
        <w:spacing w:after="0" w:line="268" w:lineRule="auto"/>
        <w:tabs>
          <w:tab w:leader="none" w:pos="1160" w:val="left"/>
        </w:tabs>
        <w:numPr>
          <w:ilvl w:val="2"/>
          <w:numId w:val="190"/>
        </w:numPr>
        <w:rPr>
          <w:rFonts w:ascii="Arial" w:cs="Arial" w:eastAsia="Arial" w:hAnsi="Arial"/>
          <w:sz w:val="18"/>
          <w:szCs w:val="18"/>
          <w:color w:val="auto"/>
        </w:rPr>
      </w:pPr>
      <w:r>
        <w:rPr>
          <w:rFonts w:ascii="Arial" w:cs="Arial" w:eastAsia="Arial" w:hAnsi="Arial"/>
          <w:sz w:val="18"/>
          <w:szCs w:val="18"/>
          <w:i w:val="1"/>
          <w:iCs w:val="1"/>
          <w:color w:val="auto"/>
        </w:rPr>
        <w:t xml:space="preserve">First Method and Loss. </w:t>
      </w:r>
      <w:r>
        <w:rPr>
          <w:rFonts w:ascii="Arial" w:cs="Arial" w:eastAsia="Arial" w:hAnsi="Arial"/>
          <w:sz w:val="18"/>
          <w:szCs w:val="18"/>
          <w:color w:val="auto"/>
        </w:rPr>
        <w:t>If the First Method and Loss apply, the Defaulting Party will pay to the Non-defaulting Party, if a positive number, the</w:t>
      </w:r>
      <w:r>
        <w:rPr>
          <w:rFonts w:ascii="Arial" w:cs="Arial" w:eastAsia="Arial" w:hAnsi="Arial"/>
          <w:sz w:val="18"/>
          <w:szCs w:val="18"/>
          <w:i w:val="1"/>
          <w:iCs w:val="1"/>
          <w:color w:val="auto"/>
        </w:rPr>
        <w:t xml:space="preserve"> </w:t>
      </w:r>
      <w:r>
        <w:rPr>
          <w:rFonts w:ascii="Arial" w:cs="Arial" w:eastAsia="Arial" w:hAnsi="Arial"/>
          <w:sz w:val="18"/>
          <w:szCs w:val="18"/>
          <w:color w:val="auto"/>
        </w:rPr>
        <w:t>Non-defaulting Party’s Loss in respect of this Agreement.</w:t>
      </w:r>
    </w:p>
    <w:p>
      <w:pPr>
        <w:spacing w:after="0" w:line="50" w:lineRule="exact"/>
        <w:rPr>
          <w:rFonts w:ascii="Arial" w:cs="Arial" w:eastAsia="Arial" w:hAnsi="Arial"/>
          <w:sz w:val="18"/>
          <w:szCs w:val="18"/>
          <w:color w:val="auto"/>
        </w:rPr>
      </w:pPr>
    </w:p>
    <w:p>
      <w:pPr>
        <w:ind w:left="912" w:right="20" w:firstLine="1"/>
        <w:spacing w:after="0" w:line="268" w:lineRule="auto"/>
        <w:tabs>
          <w:tab w:leader="none" w:pos="1160" w:val="left"/>
        </w:tabs>
        <w:numPr>
          <w:ilvl w:val="2"/>
          <w:numId w:val="190"/>
        </w:numPr>
        <w:rPr>
          <w:rFonts w:ascii="Arial" w:cs="Arial" w:eastAsia="Arial" w:hAnsi="Arial"/>
          <w:sz w:val="18"/>
          <w:szCs w:val="18"/>
          <w:color w:val="auto"/>
        </w:rPr>
      </w:pPr>
      <w:r>
        <w:rPr>
          <w:rFonts w:ascii="Arial" w:cs="Arial" w:eastAsia="Arial" w:hAnsi="Arial"/>
          <w:sz w:val="18"/>
          <w:szCs w:val="18"/>
          <w:i w:val="1"/>
          <w:iCs w:val="1"/>
          <w:color w:val="auto"/>
        </w:rPr>
        <w:t xml:space="preserve">Second Method and Market Quotation. </w:t>
      </w:r>
      <w:r>
        <w:rPr>
          <w:rFonts w:ascii="Arial" w:cs="Arial" w:eastAsia="Arial" w:hAnsi="Arial"/>
          <w:sz w:val="18"/>
          <w:szCs w:val="18"/>
          <w:color w:val="auto"/>
        </w:rPr>
        <w:t>If the Second Method and Market Quotation apply, an amount will be payable equal to (A) the sum of the</w:t>
      </w:r>
      <w:r>
        <w:rPr>
          <w:rFonts w:ascii="Arial" w:cs="Arial" w:eastAsia="Arial" w:hAnsi="Arial"/>
          <w:sz w:val="18"/>
          <w:szCs w:val="18"/>
          <w:i w:val="1"/>
          <w:iCs w:val="1"/>
          <w:color w:val="auto"/>
        </w:rPr>
        <w:t xml:space="preserve"> </w:t>
      </w:r>
      <w:r>
        <w:rPr>
          <w:rFonts w:ascii="Arial" w:cs="Arial" w:eastAsia="Arial" w:hAnsi="Arial"/>
          <w:sz w:val="18"/>
          <w:szCs w:val="18"/>
          <w:color w:val="auto"/>
        </w:rPr>
        <w:t>Settlement Amount (determined by the</w:t>
      </w:r>
    </w:p>
    <w:p>
      <w:pPr>
        <w:spacing w:after="0" w:line="11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92"/>
          </w:cols>
          <w:pgMar w:left="248" w:top="280" w:right="259" w:bottom="1440" w:gutter="0" w:footer="0" w:header="0"/>
        </w:sectPr>
      </w:pPr>
    </w:p>
    <w:bookmarkStart w:id="110" w:name="page111"/>
    <w:bookmarkEnd w:id="110"/>
    <w:p>
      <w:pPr>
        <w:ind w:left="460" w:right="34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`Non-defaulting Party) in respect of the Terminated Transactions and the Termination Currency Equivalent of the Unpaid Amounts owing to the Non-defaulting Party less (B) the Termination Currency Equivalent of the Unpaid Amounts owing to the Defaulting Party. If that amount is a positive number, the Defaulting Party will pay it to the Non-defaulting Party; if it is a negative number, the Non-defaulting Party will pay the absolute value of that amount to the Defaulting Party.</w:t>
      </w:r>
    </w:p>
    <w:p>
      <w:pPr>
        <w:spacing w:after="0" w:line="62" w:lineRule="exact"/>
        <w:rPr>
          <w:sz w:val="20"/>
          <w:szCs w:val="20"/>
          <w:color w:val="auto"/>
        </w:rPr>
      </w:pPr>
    </w:p>
    <w:p>
      <w:pPr>
        <w:jc w:val="both"/>
        <w:ind w:left="460" w:firstLine="1"/>
        <w:spacing w:after="0" w:line="259" w:lineRule="auto"/>
        <w:tabs>
          <w:tab w:leader="none" w:pos="708" w:val="left"/>
        </w:tabs>
        <w:numPr>
          <w:ilvl w:val="1"/>
          <w:numId w:val="191"/>
        </w:numPr>
        <w:rPr>
          <w:rFonts w:ascii="Arial" w:cs="Arial" w:eastAsia="Arial" w:hAnsi="Arial"/>
          <w:sz w:val="18"/>
          <w:szCs w:val="18"/>
          <w:color w:val="auto"/>
        </w:rPr>
      </w:pPr>
      <w:r>
        <w:rPr>
          <w:rFonts w:ascii="Arial" w:cs="Arial" w:eastAsia="Arial" w:hAnsi="Arial"/>
          <w:sz w:val="18"/>
          <w:szCs w:val="18"/>
          <w:i w:val="1"/>
          <w:iCs w:val="1"/>
          <w:color w:val="auto"/>
        </w:rPr>
        <w:t xml:space="preserve">Second Method and Loss. </w:t>
      </w:r>
      <w:r>
        <w:rPr>
          <w:rFonts w:ascii="Arial" w:cs="Arial" w:eastAsia="Arial" w:hAnsi="Arial"/>
          <w:sz w:val="18"/>
          <w:szCs w:val="18"/>
          <w:color w:val="auto"/>
        </w:rPr>
        <w:t>If the Second Method and Loss apply, an amount will be payable equal to the Non-defaulting Party’s Loss in respect of</w:t>
      </w:r>
      <w:r>
        <w:rPr>
          <w:rFonts w:ascii="Arial" w:cs="Arial" w:eastAsia="Arial" w:hAnsi="Arial"/>
          <w:sz w:val="18"/>
          <w:szCs w:val="18"/>
          <w:i w:val="1"/>
          <w:iCs w:val="1"/>
          <w:color w:val="auto"/>
        </w:rPr>
        <w:t xml:space="preserve"> </w:t>
      </w:r>
      <w:r>
        <w:rPr>
          <w:rFonts w:ascii="Arial" w:cs="Arial" w:eastAsia="Arial" w:hAnsi="Arial"/>
          <w:sz w:val="18"/>
          <w:szCs w:val="18"/>
          <w:color w:val="auto"/>
        </w:rPr>
        <w:t>this Agreement. If that amount is a positive number, the Defaulting Party will pay it to the Non-defaulting Party; if it is a negative number, the Non-defaulting Party will pay the absolute value of that amount to the Defaulting Party.</w:t>
      </w:r>
    </w:p>
    <w:p>
      <w:pPr>
        <w:spacing w:after="0" w:line="59" w:lineRule="exact"/>
        <w:rPr>
          <w:rFonts w:ascii="Arial" w:cs="Arial" w:eastAsia="Arial" w:hAnsi="Arial"/>
          <w:sz w:val="18"/>
          <w:szCs w:val="18"/>
          <w:color w:val="auto"/>
        </w:rPr>
      </w:pPr>
    </w:p>
    <w:p>
      <w:pPr>
        <w:ind w:left="260" w:hanging="256"/>
        <w:spacing w:after="0"/>
        <w:tabs>
          <w:tab w:leader="none" w:pos="260" w:val="left"/>
        </w:tabs>
        <w:numPr>
          <w:ilvl w:val="0"/>
          <w:numId w:val="19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Termination Events. </w:t>
      </w:r>
      <w:r>
        <w:rPr>
          <w:rFonts w:ascii="Arial" w:cs="Arial" w:eastAsia="Arial" w:hAnsi="Arial"/>
          <w:sz w:val="18"/>
          <w:szCs w:val="18"/>
          <w:color w:val="auto"/>
        </w:rPr>
        <w:t>If the Early Termination Date results from a Termination Event:—</w:t>
      </w:r>
    </w:p>
    <w:p>
      <w:pPr>
        <w:spacing w:after="0" w:line="90" w:lineRule="exact"/>
        <w:rPr>
          <w:rFonts w:ascii="Arial" w:cs="Arial" w:eastAsia="Arial" w:hAnsi="Arial"/>
          <w:sz w:val="18"/>
          <w:szCs w:val="18"/>
          <w:color w:val="auto"/>
        </w:rPr>
      </w:pPr>
    </w:p>
    <w:p>
      <w:pPr>
        <w:ind w:left="460" w:firstLine="1"/>
        <w:spacing w:after="0" w:line="298" w:lineRule="auto"/>
        <w:tabs>
          <w:tab w:leader="none" w:pos="708" w:val="left"/>
        </w:tabs>
        <w:numPr>
          <w:ilvl w:val="1"/>
          <w:numId w:val="192"/>
        </w:numPr>
        <w:rPr>
          <w:rFonts w:ascii="Arial" w:cs="Arial" w:eastAsia="Arial" w:hAnsi="Arial"/>
          <w:sz w:val="16"/>
          <w:szCs w:val="16"/>
          <w:color w:val="auto"/>
        </w:rPr>
      </w:pPr>
      <w:r>
        <w:rPr>
          <w:rFonts w:ascii="Arial" w:cs="Arial" w:eastAsia="Arial" w:hAnsi="Arial"/>
          <w:sz w:val="16"/>
          <w:szCs w:val="16"/>
          <w:i w:val="1"/>
          <w:iCs w:val="1"/>
          <w:color w:val="auto"/>
        </w:rPr>
        <w:t xml:space="preserve">One Affected Party. </w:t>
      </w:r>
      <w:r>
        <w:rPr>
          <w:rFonts w:ascii="Arial" w:cs="Arial" w:eastAsia="Arial" w:hAnsi="Arial"/>
          <w:sz w:val="16"/>
          <w:szCs w:val="16"/>
          <w:color w:val="auto"/>
        </w:rPr>
        <w:t>If there is one Affected Party, the amount payable will be determined in accordance with Section 6(e)(i)(3), if Market</w:t>
      </w:r>
      <w:r>
        <w:rPr>
          <w:rFonts w:ascii="Arial" w:cs="Arial" w:eastAsia="Arial" w:hAnsi="Arial"/>
          <w:sz w:val="16"/>
          <w:szCs w:val="16"/>
          <w:i w:val="1"/>
          <w:iCs w:val="1"/>
          <w:color w:val="auto"/>
        </w:rPr>
        <w:t xml:space="preserve"> </w:t>
      </w:r>
      <w:r>
        <w:rPr>
          <w:rFonts w:ascii="Arial" w:cs="Arial" w:eastAsia="Arial" w:hAnsi="Arial"/>
          <w:sz w:val="16"/>
          <w:szCs w:val="16"/>
          <w:color w:val="auto"/>
        </w:rPr>
        <w:t>Quotation applies, or Section 6(e)(i)(4), if Loss applies, except that, in either case, references to the Defaulting Party and to the Non-defaulting Party will be deemed to be references to the Affected Party and the party which is not the Affected Party, respectively, and, if Loss applies and fewer than all the Transactions are being terminated, Loss shall be calculated in respect of all Terminated Transactions.</w:t>
      </w:r>
    </w:p>
    <w:p>
      <w:pPr>
        <w:spacing w:after="0" w:line="31" w:lineRule="exact"/>
        <w:rPr>
          <w:rFonts w:ascii="Arial" w:cs="Arial" w:eastAsia="Arial" w:hAnsi="Arial"/>
          <w:sz w:val="16"/>
          <w:szCs w:val="16"/>
          <w:color w:val="auto"/>
        </w:rPr>
      </w:pPr>
    </w:p>
    <w:p>
      <w:pPr>
        <w:ind w:left="700" w:hanging="239"/>
        <w:spacing w:after="0"/>
        <w:tabs>
          <w:tab w:leader="none" w:pos="700" w:val="left"/>
        </w:tabs>
        <w:numPr>
          <w:ilvl w:val="1"/>
          <w:numId w:val="192"/>
        </w:numPr>
        <w:rPr>
          <w:rFonts w:ascii="Arial" w:cs="Arial" w:eastAsia="Arial" w:hAnsi="Arial"/>
          <w:sz w:val="18"/>
          <w:szCs w:val="18"/>
          <w:color w:val="auto"/>
        </w:rPr>
      </w:pPr>
      <w:r>
        <w:rPr>
          <w:rFonts w:ascii="Arial" w:cs="Arial" w:eastAsia="Arial" w:hAnsi="Arial"/>
          <w:sz w:val="18"/>
          <w:szCs w:val="18"/>
          <w:i w:val="1"/>
          <w:iCs w:val="1"/>
          <w:color w:val="auto"/>
        </w:rPr>
        <w:t xml:space="preserve">Two Affected Parties. </w:t>
      </w:r>
      <w:r>
        <w:rPr>
          <w:rFonts w:ascii="Arial" w:cs="Arial" w:eastAsia="Arial" w:hAnsi="Arial"/>
          <w:sz w:val="18"/>
          <w:szCs w:val="18"/>
          <w:color w:val="auto"/>
        </w:rPr>
        <w:t>If there are two Affected Parties:—</w:t>
      </w:r>
    </w:p>
    <w:p>
      <w:pPr>
        <w:spacing w:after="0" w:line="90" w:lineRule="exact"/>
        <w:rPr>
          <w:rFonts w:ascii="Arial" w:cs="Arial" w:eastAsia="Arial" w:hAnsi="Arial"/>
          <w:sz w:val="18"/>
          <w:szCs w:val="18"/>
          <w:color w:val="auto"/>
        </w:rPr>
      </w:pPr>
    </w:p>
    <w:p>
      <w:pPr>
        <w:ind w:left="1040" w:right="80" w:hanging="8"/>
        <w:spacing w:after="0" w:line="298" w:lineRule="auto"/>
        <w:tabs>
          <w:tab w:leader="none" w:pos="1327" w:val="left"/>
        </w:tabs>
        <w:numPr>
          <w:ilvl w:val="2"/>
          <w:numId w:val="192"/>
        </w:numPr>
        <w:rPr>
          <w:rFonts w:ascii="Arial" w:cs="Arial" w:eastAsia="Arial" w:hAnsi="Arial"/>
          <w:sz w:val="16"/>
          <w:szCs w:val="16"/>
          <w:color w:val="auto"/>
        </w:rPr>
      </w:pPr>
      <w:r>
        <w:rPr>
          <w:rFonts w:ascii="Arial" w:cs="Arial" w:eastAsia="Arial" w:hAnsi="Arial"/>
          <w:sz w:val="16"/>
          <w:szCs w:val="16"/>
          <w:color w:val="auto"/>
        </w:rPr>
        <w:t>if Market Quotation applies, each party will determine a Settlement Amount in respect of the Terminated Transactions, and an amount will be payable equal to (I) the sum of (a) one-half of the difference between the Settlement Amount of the party with the higher Settlement Amount (“X”) and the Settlement Amount of the party with the lower Settlement Amount (“Y”) and (b) the Termination Currency Equivalent of the Unpaid Amounts owing to X less (II) the Termination Currency Equivalent of the Unpaid Amounts owing to Y; and</w:t>
      </w:r>
    </w:p>
    <w:p>
      <w:pPr>
        <w:spacing w:after="0" w:line="31" w:lineRule="exact"/>
        <w:rPr>
          <w:rFonts w:ascii="Arial" w:cs="Arial" w:eastAsia="Arial" w:hAnsi="Arial"/>
          <w:sz w:val="16"/>
          <w:szCs w:val="16"/>
          <w:color w:val="auto"/>
        </w:rPr>
      </w:pPr>
    </w:p>
    <w:p>
      <w:pPr>
        <w:ind w:left="1040" w:right="40" w:hanging="8"/>
        <w:spacing w:after="0" w:line="259" w:lineRule="auto"/>
        <w:tabs>
          <w:tab w:leader="none" w:pos="1318" w:val="left"/>
        </w:tabs>
        <w:numPr>
          <w:ilvl w:val="2"/>
          <w:numId w:val="192"/>
        </w:numPr>
        <w:rPr>
          <w:rFonts w:ascii="Arial" w:cs="Arial" w:eastAsia="Arial" w:hAnsi="Arial"/>
          <w:sz w:val="18"/>
          <w:szCs w:val="18"/>
          <w:color w:val="auto"/>
        </w:rPr>
      </w:pPr>
      <w:r>
        <w:rPr>
          <w:rFonts w:ascii="Arial" w:cs="Arial" w:eastAsia="Arial" w:hAnsi="Arial"/>
          <w:sz w:val="18"/>
          <w:szCs w:val="18"/>
          <w:color w:val="auto"/>
        </w:rPr>
        <w:t>if Loss applies, each party will determine its Loss in respect of this Agreement (or, if fewer than all the Transactions are being terminated, in respect of all Terminated Transactions) and an amount will be payable equal to one-half of the difference between the Loss of the party with the higher Loss (“X”) and the Loss of the party with the lower Loss (“Y”).</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color w:val="auto"/>
        </w:rPr>
        <w:t>If the amount payable is a positive number, Y will pay it to X; if it is a negative number, X will pay the absolute value of that amount to Y.</w:t>
      </w:r>
    </w:p>
    <w:p>
      <w:pPr>
        <w:spacing w:after="0" w:line="90" w:lineRule="exact"/>
        <w:rPr>
          <w:sz w:val="20"/>
          <w:szCs w:val="20"/>
          <w:color w:val="auto"/>
        </w:rPr>
      </w:pPr>
    </w:p>
    <w:p>
      <w:pPr>
        <w:jc w:val="both"/>
        <w:ind w:right="20" w:firstLine="4"/>
        <w:spacing w:after="0" w:line="256" w:lineRule="auto"/>
        <w:tabs>
          <w:tab w:leader="none" w:pos="307" w:val="left"/>
        </w:tabs>
        <w:numPr>
          <w:ilvl w:val="0"/>
          <w:numId w:val="193"/>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Adjustment for Bankruptcy. </w:t>
      </w:r>
      <w:r>
        <w:rPr>
          <w:rFonts w:ascii="Arial" w:cs="Arial" w:eastAsia="Arial" w:hAnsi="Arial"/>
          <w:sz w:val="18"/>
          <w:szCs w:val="18"/>
          <w:color w:val="auto"/>
        </w:rPr>
        <w:t>In circumstances where an Early Termination Date occurs because “Automatic Early Termination” applies in respect of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party, the amount determined under this Section 6(e) will be subject to such adjustments as are appropriate and permitted by law to reflect any payments or deliveries made by one party to the other under this Agreement (and retained by such other party) during the period from the relevant Early Termination Date to the date for payment determined under Section 6(d)(ii).</w:t>
      </w:r>
    </w:p>
    <w:p>
      <w:pPr>
        <w:spacing w:after="0" w:line="62" w:lineRule="exact"/>
        <w:rPr>
          <w:rFonts w:ascii="Arial" w:cs="Arial" w:eastAsia="Arial" w:hAnsi="Arial"/>
          <w:sz w:val="18"/>
          <w:szCs w:val="18"/>
          <w:color w:val="auto"/>
        </w:rPr>
      </w:pPr>
    </w:p>
    <w:p>
      <w:pPr>
        <w:ind w:firstLine="4"/>
        <w:spacing w:after="0" w:line="306" w:lineRule="auto"/>
        <w:tabs>
          <w:tab w:leader="none" w:pos="297" w:val="left"/>
        </w:tabs>
        <w:numPr>
          <w:ilvl w:val="0"/>
          <w:numId w:val="193"/>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Pre-Estimate. </w:t>
      </w:r>
      <w:r>
        <w:rPr>
          <w:rFonts w:ascii="Arial" w:cs="Arial" w:eastAsia="Arial" w:hAnsi="Arial"/>
          <w:sz w:val="16"/>
          <w:szCs w:val="16"/>
          <w:color w:val="auto"/>
        </w:rPr>
        <w:t>The parties agree that if Market Quotation applies an amount recoverable under this Section 6(e) is a reasonable pre-estimate of loss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a penalty. Such amount is payable for the loss of bargain and the loss of protection against future risks and except as otherwise provided in this Agreement neither party will be entitled to recover any additional damages as a consequence of such losses.</w:t>
      </w:r>
    </w:p>
    <w:p>
      <w:pPr>
        <w:spacing w:after="0" w:line="93" w:lineRule="exact"/>
        <w:rPr>
          <w:sz w:val="20"/>
          <w:szCs w:val="20"/>
          <w:color w:val="auto"/>
        </w:rPr>
      </w:pPr>
    </w:p>
    <w:p>
      <w:pPr>
        <w:jc w:val="center"/>
        <w:ind w:right="4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0920"/>
          </w:cols>
          <w:pgMar w:left="700" w:top="280" w:right="279" w:bottom="1440" w:gutter="0" w:footer="0" w:header="0"/>
        </w:sectPr>
      </w:pPr>
    </w:p>
    <w:bookmarkStart w:id="111" w:name="page112"/>
    <w:bookmarkEnd w:id="111"/>
    <w:p>
      <w:pPr>
        <w:ind w:left="460" w:hanging="452"/>
        <w:spacing w:after="0"/>
        <w:tabs>
          <w:tab w:leader="none" w:pos="4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w:t>
      </w:r>
    </w:p>
    <w:p>
      <w:pPr>
        <w:spacing w:after="0" w:line="96"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Subject to Section 6(b)(ii), neither this Agreement nor any interest or obligation in or under this Agreement may be transferred (whether by way of security or otherwise) by either party without the prior written consent of the other party, except that: —</w:t>
      </w:r>
    </w:p>
    <w:p>
      <w:pPr>
        <w:spacing w:after="0" w:line="51" w:lineRule="exact"/>
        <w:rPr>
          <w:sz w:val="20"/>
          <w:szCs w:val="20"/>
          <w:color w:val="auto"/>
        </w:rPr>
      </w:pPr>
    </w:p>
    <w:p>
      <w:pPr>
        <w:ind w:right="20" w:firstLine="8"/>
        <w:spacing w:after="0" w:line="268" w:lineRule="auto"/>
        <w:tabs>
          <w:tab w:leader="none" w:pos="239"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party may make such a transfer of this Agreement pursuant to a consolidation or amalgamation with, or merger with or into, or transfer of all or substantially all its assets to, another entity (but without prejudice to any other right or remedy under this Agreement); and</w:t>
      </w:r>
    </w:p>
    <w:p>
      <w:pPr>
        <w:spacing w:after="0" w:line="131" w:lineRule="exact"/>
        <w:rPr>
          <w:rFonts w:ascii="Arial" w:cs="Arial" w:eastAsia="Arial" w:hAnsi="Arial"/>
          <w:sz w:val="18"/>
          <w:szCs w:val="18"/>
          <w:color w:val="auto"/>
        </w:rPr>
      </w:pPr>
    </w:p>
    <w:p>
      <w:pPr>
        <w:ind w:left="260" w:hanging="252"/>
        <w:spacing w:after="0"/>
        <w:tabs>
          <w:tab w:leader="none" w:pos="2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a party may make such a transfer of all or any part of its interest in any amount payable to it from a Defaulting Party under Section 6(e).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Any purported transfer that is not in compliance with this Section will be void.</w:t>
      </w:r>
    </w:p>
    <w:p>
      <w:pPr>
        <w:spacing w:after="0" w:line="287" w:lineRule="exact"/>
        <w:rPr>
          <w:sz w:val="20"/>
          <w:szCs w:val="20"/>
          <w:color w:val="auto"/>
        </w:rPr>
      </w:pPr>
    </w:p>
    <w:p>
      <w:pPr>
        <w:ind w:left="460" w:hanging="452"/>
        <w:spacing w:after="0"/>
        <w:tabs>
          <w:tab w:leader="none" w:pos="46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Contractual Currency</w:t>
      </w:r>
    </w:p>
    <w:p>
      <w:pPr>
        <w:spacing w:after="0" w:line="96" w:lineRule="exact"/>
        <w:rPr>
          <w:sz w:val="20"/>
          <w:szCs w:val="20"/>
          <w:color w:val="auto"/>
        </w:rPr>
      </w:pPr>
    </w:p>
    <w:p>
      <w:pPr>
        <w:ind w:right="60" w:firstLine="8"/>
        <w:spacing w:after="0" w:line="288" w:lineRule="auto"/>
        <w:tabs>
          <w:tab w:leader="none" w:pos="239" w:val="left"/>
        </w:tabs>
        <w:numPr>
          <w:ilvl w:val="0"/>
          <w:numId w:val="19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Payment in the Contractual Currency. </w:t>
      </w:r>
      <w:r>
        <w:rPr>
          <w:rFonts w:ascii="Arial" w:cs="Arial" w:eastAsia="Arial" w:hAnsi="Arial"/>
          <w:sz w:val="16"/>
          <w:szCs w:val="16"/>
          <w:color w:val="auto"/>
        </w:rPr>
        <w:t>Each payment under this Agreement will be made in the relevant currency specified in this Agreement for that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payment (the “Contractual Currency”). To the extent permitted by applicable law, any obligation to make payments under this Agreement in the Contractual Currency will not be discharged or satisfied by any tender in any currency other than the Contractual Currency, except to the extent such tender results in the actual receipt by the party to which payment is owed, acting in a reasonable manner and in good faith in converting the currency so tendered into the Contractual Currency, of the full amount in the Contractual Currency of all amounts payable in respect of this Agreement. If for any reason the amount in the Contractual Currency so received falls short of the amount in the Contractual Currency payable in respect of this Agreement, the party required to make the payment will, to the extent permitted by applicable law, immediately pay such additional amount in the Contractual Currency as may be necessary to compensate for the shortfall. If for any reason the amount in the Contractual Currency so received exceeds the amount in the Contractual Currency payable in respect of this Agreement, the party receiving the payment will refund promptly the amount of such excess.</w:t>
      </w:r>
    </w:p>
    <w:p>
      <w:pPr>
        <w:spacing w:after="0" w:line="119" w:lineRule="exact"/>
        <w:rPr>
          <w:rFonts w:ascii="Arial" w:cs="Arial" w:eastAsia="Arial" w:hAnsi="Arial"/>
          <w:sz w:val="16"/>
          <w:szCs w:val="16"/>
          <w:color w:val="auto"/>
        </w:rPr>
      </w:pPr>
    </w:p>
    <w:p>
      <w:pPr>
        <w:ind w:firstLine="8"/>
        <w:spacing w:after="0" w:line="286" w:lineRule="auto"/>
        <w:tabs>
          <w:tab w:leader="none" w:pos="249" w:val="left"/>
        </w:tabs>
        <w:numPr>
          <w:ilvl w:val="0"/>
          <w:numId w:val="19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Judgments. </w:t>
      </w:r>
      <w:r>
        <w:rPr>
          <w:rFonts w:ascii="Arial" w:cs="Arial" w:eastAsia="Arial" w:hAnsi="Arial"/>
          <w:sz w:val="16"/>
          <w:szCs w:val="16"/>
          <w:color w:val="auto"/>
        </w:rPr>
        <w:t>To the extent permitted by applicable law, if any judgment or order expressed in a currency other than the Contractual Currency is rendered (i)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payment of any amount owing in respect of this Agreement, (ii) for the payment of any amount relating to any early termination in respect of this Agreement or (iii) in respect of a judgment or order of another court for the payment of any amount described in (i) or (ii) above, the party seeking recovery, after recovery in full of the aggregate amount to which such party is entitled pursuant to the judgment or order, will be entitled to receive immediately from the other party the amount of any shortfall of the Contractual Currency received by such party as a consequence of sums paid in such other currency and will refund promptly to the other party any excess of the Contractual Currency received by such party as a consequence of sums paid in such other currency if such shortfall or such excess arises or results from any variation between the rate of exchange at which the Contractual Currency is converted into the currency of the judgment or order for the purposes of such judgment or order and the rate of exchange at which such party is able, acting in a reasonable manner and in good faith in converting the currency received into the Contractual Currency, to purchase the Contractual Currency with the amount of the currency of the judgment or order actually received by such party. The term “rate of exchange” includes, without limitation, any premiums and costs of exchange payable in connection with the purchase of or conversion into the Contractual Currency.</w:t>
      </w:r>
    </w:p>
    <w:p>
      <w:pPr>
        <w:spacing w:after="0" w:line="127" w:lineRule="exact"/>
        <w:rPr>
          <w:rFonts w:ascii="Arial" w:cs="Arial" w:eastAsia="Arial" w:hAnsi="Arial"/>
          <w:sz w:val="16"/>
          <w:szCs w:val="16"/>
          <w:color w:val="auto"/>
        </w:rPr>
      </w:pPr>
    </w:p>
    <w:p>
      <w:pPr>
        <w:jc w:val="both"/>
        <w:ind w:right="40" w:firstLine="8"/>
        <w:spacing w:after="0" w:line="335" w:lineRule="auto"/>
        <w:tabs>
          <w:tab w:leader="none" w:pos="239" w:val="left"/>
        </w:tabs>
        <w:numPr>
          <w:ilvl w:val="0"/>
          <w:numId w:val="197"/>
        </w:numPr>
        <w:rPr>
          <w:rFonts w:ascii="Arial" w:cs="Arial" w:eastAsia="Arial" w:hAnsi="Arial"/>
          <w:sz w:val="15"/>
          <w:szCs w:val="15"/>
          <w:color w:val="auto"/>
        </w:rPr>
      </w:pPr>
      <w:r>
        <w:rPr>
          <w:rFonts w:ascii="Arial" w:cs="Arial" w:eastAsia="Arial" w:hAnsi="Arial"/>
          <w:sz w:val="15"/>
          <w:szCs w:val="15"/>
          <w:b w:val="1"/>
          <w:bCs w:val="1"/>
          <w:i w:val="1"/>
          <w:iCs w:val="1"/>
          <w:color w:val="auto"/>
        </w:rPr>
        <w:t>Separate Indemnities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To the extent permitted by applicable law, these indemnities constitute separate and independent obligations from the other obligations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 this Agreement, will be enforceable as separate and independent causes of action, will apply notwithstanding any indulgence granted by the party to which any payment is owed and will not be affected by judgment being obtained or claim or proof being made for any other sums payable in respect of this Agreement.</w:t>
      </w:r>
    </w:p>
    <w:p>
      <w:pPr>
        <w:spacing w:after="0" w:line="88" w:lineRule="exact"/>
        <w:rPr>
          <w:rFonts w:ascii="Arial" w:cs="Arial" w:eastAsia="Arial" w:hAnsi="Arial"/>
          <w:sz w:val="15"/>
          <w:szCs w:val="15"/>
          <w:color w:val="auto"/>
        </w:rPr>
      </w:pPr>
    </w:p>
    <w:p>
      <w:pPr>
        <w:ind w:right="40" w:firstLine="8"/>
        <w:spacing w:after="0" w:line="268" w:lineRule="auto"/>
        <w:tabs>
          <w:tab w:leader="none" w:pos="249" w:val="left"/>
        </w:tabs>
        <w:numPr>
          <w:ilvl w:val="0"/>
          <w:numId w:val="19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Evidence of Loss. </w:t>
      </w:r>
      <w:r>
        <w:rPr>
          <w:rFonts w:ascii="Arial" w:cs="Arial" w:eastAsia="Arial" w:hAnsi="Arial"/>
          <w:sz w:val="18"/>
          <w:szCs w:val="18"/>
          <w:color w:val="auto"/>
        </w:rPr>
        <w:t>For the purpose of this Section 8, it will be sufficient for a party to demonstrate that it would have suffered a loss had an actual exchange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purchase been made.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74" w:right="259" w:bottom="1440" w:gutter="0" w:footer="0" w:header="0"/>
        </w:sectPr>
      </w:pPr>
    </w:p>
    <w:bookmarkStart w:id="112" w:name="page113"/>
    <w:bookmarkEnd w:id="112"/>
    <w:p>
      <w:pPr>
        <w:ind w:left="460" w:hanging="452"/>
        <w:spacing w:after="0"/>
        <w:tabs>
          <w:tab w:leader="none" w:pos="460" w:val="left"/>
        </w:tabs>
        <w:numPr>
          <w:ilvl w:val="0"/>
          <w:numId w:val="19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Miscellaneous</w:t>
      </w:r>
    </w:p>
    <w:p>
      <w:pPr>
        <w:spacing w:after="0" w:line="96" w:lineRule="exact"/>
        <w:rPr>
          <w:sz w:val="20"/>
          <w:szCs w:val="20"/>
          <w:color w:val="auto"/>
        </w:rPr>
      </w:pPr>
    </w:p>
    <w:p>
      <w:pPr>
        <w:ind w:right="100" w:firstLine="8"/>
        <w:spacing w:after="0" w:line="268" w:lineRule="auto"/>
        <w:tabs>
          <w:tab w:leader="none" w:pos="239" w:val="left"/>
        </w:tabs>
        <w:numPr>
          <w:ilvl w:val="0"/>
          <w:numId w:val="199"/>
        </w:numPr>
        <w:rPr>
          <w:rFonts w:ascii="Arial" w:cs="Arial" w:eastAsia="Arial" w:hAnsi="Arial"/>
          <w:sz w:val="18"/>
          <w:szCs w:val="18"/>
          <w:color w:val="auto"/>
        </w:rPr>
      </w:pPr>
      <w:r>
        <w:rPr>
          <w:rFonts w:ascii="Arial" w:cs="Arial" w:eastAsia="Arial" w:hAnsi="Arial"/>
          <w:sz w:val="18"/>
          <w:szCs w:val="18"/>
          <w:b w:val="1"/>
          <w:bCs w:val="1"/>
          <w:i w:val="1"/>
          <w:iCs w:val="1"/>
          <w:color w:val="auto"/>
        </w:rPr>
        <w:t>Entire Agreement</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This Agreement constitutes the entire agreement and understanding of the parties with respect to its subject matter and supersedes all oral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communication and prior writings with respect thereto.</w:t>
      </w:r>
    </w:p>
    <w:p>
      <w:pPr>
        <w:spacing w:after="0" w:line="131" w:lineRule="exact"/>
        <w:rPr>
          <w:rFonts w:ascii="Arial" w:cs="Arial" w:eastAsia="Arial" w:hAnsi="Arial"/>
          <w:sz w:val="18"/>
          <w:szCs w:val="18"/>
          <w:color w:val="auto"/>
        </w:rPr>
      </w:pPr>
    </w:p>
    <w:p>
      <w:pPr>
        <w:ind w:right="260" w:firstLine="8"/>
        <w:spacing w:after="0" w:line="370" w:lineRule="auto"/>
        <w:tabs>
          <w:tab w:leader="none" w:pos="249" w:val="left"/>
        </w:tabs>
        <w:numPr>
          <w:ilvl w:val="0"/>
          <w:numId w:val="199"/>
        </w:numPr>
        <w:rPr>
          <w:rFonts w:ascii="Arial" w:cs="Arial" w:eastAsia="Arial" w:hAnsi="Arial"/>
          <w:sz w:val="15"/>
          <w:szCs w:val="15"/>
          <w:color w:val="auto"/>
        </w:rPr>
      </w:pPr>
      <w:r>
        <w:rPr>
          <w:rFonts w:ascii="Arial" w:cs="Arial" w:eastAsia="Arial" w:hAnsi="Arial"/>
          <w:sz w:val="15"/>
          <w:szCs w:val="15"/>
          <w:b w:val="1"/>
          <w:bCs w:val="1"/>
          <w:i w:val="1"/>
          <w:iCs w:val="1"/>
          <w:color w:val="auto"/>
        </w:rPr>
        <w:t>Amendments</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No amendment, modification or waiver in respect of this Agreement will be effective unless in writing (including a writing evidenced by a</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facsimile transmission) and executed by each of the parties or confirmed by an exchange of telexes or electronic messages on an electronic messaging system.</w:t>
      </w:r>
    </w:p>
    <w:p>
      <w:pPr>
        <w:spacing w:after="0" w:line="62" w:lineRule="exact"/>
        <w:rPr>
          <w:rFonts w:ascii="Arial" w:cs="Arial" w:eastAsia="Arial" w:hAnsi="Arial"/>
          <w:sz w:val="15"/>
          <w:szCs w:val="15"/>
          <w:color w:val="auto"/>
        </w:rPr>
      </w:pPr>
    </w:p>
    <w:p>
      <w:pPr>
        <w:ind w:right="20" w:firstLine="8"/>
        <w:spacing w:after="0" w:line="268" w:lineRule="auto"/>
        <w:tabs>
          <w:tab w:leader="none" w:pos="239" w:val="left"/>
        </w:tabs>
        <w:numPr>
          <w:ilvl w:val="0"/>
          <w:numId w:val="19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Survival of Obligations. </w:t>
      </w:r>
      <w:r>
        <w:rPr>
          <w:rFonts w:ascii="Arial" w:cs="Arial" w:eastAsia="Arial" w:hAnsi="Arial"/>
          <w:sz w:val="18"/>
          <w:szCs w:val="18"/>
          <w:color w:val="auto"/>
        </w:rPr>
        <w:t>Without prejudice to Sections 2(a)(iii) and 6(c)(ii), the obligations of the parties under this Agreement will survive the termination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Transaction.</w:t>
      </w:r>
    </w:p>
    <w:p>
      <w:pPr>
        <w:spacing w:after="0" w:line="131" w:lineRule="exact"/>
        <w:rPr>
          <w:rFonts w:ascii="Arial" w:cs="Arial" w:eastAsia="Arial" w:hAnsi="Arial"/>
          <w:sz w:val="18"/>
          <w:szCs w:val="18"/>
          <w:color w:val="auto"/>
        </w:rPr>
      </w:pPr>
    </w:p>
    <w:p>
      <w:pPr>
        <w:ind w:right="100" w:firstLine="8"/>
        <w:spacing w:after="0" w:line="268" w:lineRule="auto"/>
        <w:tabs>
          <w:tab w:leader="none" w:pos="249" w:val="left"/>
        </w:tabs>
        <w:numPr>
          <w:ilvl w:val="0"/>
          <w:numId w:val="19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Remedies Cumulative. </w:t>
      </w:r>
      <w:r>
        <w:rPr>
          <w:rFonts w:ascii="Arial" w:cs="Arial" w:eastAsia="Arial" w:hAnsi="Arial"/>
          <w:sz w:val="18"/>
          <w:szCs w:val="18"/>
          <w:color w:val="auto"/>
        </w:rPr>
        <w:t>Except as provided in this Agreement, the rights, powers, remedies and privileges provided in this Agreement are cumulative and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exclusive of any rights, powers, remedies and privileges provided by law.</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199"/>
        </w:numPr>
        <w:rPr>
          <w:rFonts w:ascii="Arial" w:cs="Arial" w:eastAsia="Arial" w:hAnsi="Arial"/>
          <w:sz w:val="18"/>
          <w:szCs w:val="18"/>
          <w:color w:val="auto"/>
        </w:rPr>
      </w:pPr>
      <w:r>
        <w:rPr>
          <w:rFonts w:ascii="Arial" w:cs="Arial" w:eastAsia="Arial" w:hAnsi="Arial"/>
          <w:sz w:val="18"/>
          <w:szCs w:val="18"/>
          <w:b w:val="1"/>
          <w:bCs w:val="1"/>
          <w:i w:val="1"/>
          <w:iCs w:val="1"/>
          <w:color w:val="auto"/>
        </w:rPr>
        <w:t>Counterparts and Confirmations</w:t>
      </w:r>
      <w:r>
        <w:rPr>
          <w:rFonts w:ascii="Arial" w:cs="Arial" w:eastAsia="Arial" w:hAnsi="Arial"/>
          <w:sz w:val="18"/>
          <w:szCs w:val="18"/>
          <w:color w:val="auto"/>
        </w:rPr>
        <w:t>.</w:t>
      </w:r>
    </w:p>
    <w:p>
      <w:pPr>
        <w:spacing w:after="0" w:line="90" w:lineRule="exact"/>
        <w:rPr>
          <w:rFonts w:ascii="Arial" w:cs="Arial" w:eastAsia="Arial" w:hAnsi="Arial"/>
          <w:sz w:val="18"/>
          <w:szCs w:val="18"/>
          <w:color w:val="auto"/>
        </w:rPr>
      </w:pPr>
    </w:p>
    <w:p>
      <w:pPr>
        <w:ind w:left="460" w:right="100" w:firstLine="4"/>
        <w:spacing w:after="0" w:line="268" w:lineRule="auto"/>
        <w:tabs>
          <w:tab w:leader="none" w:pos="670"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This Agreement (and each amendment, modification and waiver in respect of it) may be executed and delivered in counterparts (including by facsimile transmission), each of which will be deemed an original.</w:t>
      </w:r>
    </w:p>
    <w:p>
      <w:pPr>
        <w:spacing w:after="0" w:line="50" w:lineRule="exact"/>
        <w:rPr>
          <w:rFonts w:ascii="Arial" w:cs="Arial" w:eastAsia="Arial" w:hAnsi="Arial"/>
          <w:sz w:val="18"/>
          <w:szCs w:val="18"/>
          <w:color w:val="auto"/>
        </w:rPr>
      </w:pPr>
    </w:p>
    <w:p>
      <w:pPr>
        <w:ind w:left="460" w:firstLine="4"/>
        <w:spacing w:after="0" w:line="255" w:lineRule="auto"/>
        <w:tabs>
          <w:tab w:leader="none" w:pos="719" w:val="left"/>
        </w:tabs>
        <w:numPr>
          <w:ilvl w:val="1"/>
          <w:numId w:val="199"/>
        </w:numPr>
        <w:rPr>
          <w:rFonts w:ascii="Arial" w:cs="Arial" w:eastAsia="Arial" w:hAnsi="Arial"/>
          <w:sz w:val="18"/>
          <w:szCs w:val="18"/>
          <w:color w:val="auto"/>
        </w:rPr>
      </w:pPr>
      <w:r>
        <w:rPr>
          <w:rFonts w:ascii="Arial" w:cs="Arial" w:eastAsia="Arial" w:hAnsi="Arial"/>
          <w:sz w:val="18"/>
          <w:szCs w:val="18"/>
          <w:color w:val="auto"/>
        </w:rPr>
        <w:t>The parties intend that they are legally bound by the terms of each Transaction from the moment they agree to those terms (whether orally or otherwise). A Confirmation shall be entered into as soon as practicable and may be executed and delivered in counterparts (including by facsimile transmission) or be created by an exchange of telexes or by an exchange of electronic messages on an electronic messaging system, which in each case will be sufficient for all purposes to evidence a binding supplement to this Agreement. The parties will specify therein or through another effective means that any such counterpart, telex or electronic message constitutes a Confirmation.</w:t>
      </w:r>
    </w:p>
    <w:p>
      <w:pPr>
        <w:spacing w:after="0" w:line="142" w:lineRule="exact"/>
        <w:rPr>
          <w:rFonts w:ascii="Arial" w:cs="Arial" w:eastAsia="Arial" w:hAnsi="Arial"/>
          <w:sz w:val="18"/>
          <w:szCs w:val="18"/>
          <w:color w:val="auto"/>
        </w:rPr>
      </w:pPr>
    </w:p>
    <w:p>
      <w:pPr>
        <w:ind w:right="180" w:firstLine="8"/>
        <w:spacing w:after="0" w:line="259" w:lineRule="auto"/>
        <w:tabs>
          <w:tab w:leader="none" w:pos="219" w:val="left"/>
        </w:tabs>
        <w:numPr>
          <w:ilvl w:val="0"/>
          <w:numId w:val="199"/>
        </w:numPr>
        <w:rPr>
          <w:rFonts w:ascii="Arial" w:cs="Arial" w:eastAsia="Arial" w:hAnsi="Arial"/>
          <w:sz w:val="18"/>
          <w:szCs w:val="18"/>
          <w:color w:val="auto"/>
        </w:rPr>
      </w:pPr>
      <w:r>
        <w:rPr>
          <w:rFonts w:ascii="Arial" w:cs="Arial" w:eastAsia="Arial" w:hAnsi="Arial"/>
          <w:sz w:val="18"/>
          <w:szCs w:val="18"/>
          <w:b w:val="1"/>
          <w:bCs w:val="1"/>
          <w:i w:val="1"/>
          <w:iCs w:val="1"/>
          <w:color w:val="auto"/>
        </w:rPr>
        <w:t>No Waiver of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 failure or delay in exercising any right, power or privilege in respect of this Agreement will not be presumed to operate as a waiver,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a single or partial exercise of any right, power or privilege will not be presumed to preclude any subsequent or further exercise, of that right, power or privilege or the exercise of any other right, power or privilege.</w:t>
      </w:r>
    </w:p>
    <w:p>
      <w:pPr>
        <w:spacing w:after="0" w:line="140" w:lineRule="exact"/>
        <w:rPr>
          <w:rFonts w:ascii="Arial" w:cs="Arial" w:eastAsia="Arial" w:hAnsi="Arial"/>
          <w:sz w:val="18"/>
          <w:szCs w:val="18"/>
          <w:color w:val="auto"/>
        </w:rPr>
      </w:pPr>
    </w:p>
    <w:p>
      <w:pPr>
        <w:ind w:right="940" w:firstLine="8"/>
        <w:spacing w:after="0" w:line="268" w:lineRule="auto"/>
        <w:tabs>
          <w:tab w:leader="none" w:pos="249" w:val="left"/>
        </w:tabs>
        <w:numPr>
          <w:ilvl w:val="0"/>
          <w:numId w:val="199"/>
        </w:numPr>
        <w:rPr>
          <w:rFonts w:ascii="Arial" w:cs="Arial" w:eastAsia="Arial" w:hAnsi="Arial"/>
          <w:sz w:val="18"/>
          <w:szCs w:val="18"/>
          <w:color w:val="auto"/>
        </w:rPr>
      </w:pPr>
      <w:r>
        <w:rPr>
          <w:rFonts w:ascii="Arial" w:cs="Arial" w:eastAsia="Arial" w:hAnsi="Arial"/>
          <w:sz w:val="18"/>
          <w:szCs w:val="18"/>
          <w:b w:val="1"/>
          <w:bCs w:val="1"/>
          <w:i w:val="1"/>
          <w:iCs w:val="1"/>
          <w:color w:val="auto"/>
        </w:rPr>
        <w:t>Headings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headings used in this Agreement are for convenience of reference only and are not to affect the construction of or to be taken into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consideration in interpreting this Agreement.</w:t>
      </w:r>
    </w:p>
    <w:p>
      <w:pPr>
        <w:spacing w:after="0" w:line="248" w:lineRule="exact"/>
        <w:rPr>
          <w:sz w:val="20"/>
          <w:szCs w:val="20"/>
          <w:color w:val="auto"/>
        </w:rPr>
      </w:pPr>
    </w:p>
    <w:p>
      <w:pPr>
        <w:ind w:left="460" w:hanging="452"/>
        <w:spacing w:after="0"/>
        <w:tabs>
          <w:tab w:leader="none" w:pos="460" w:val="left"/>
        </w:tabs>
        <w:numPr>
          <w:ilvl w:val="0"/>
          <w:numId w:val="200"/>
        </w:numPr>
        <w:rPr>
          <w:rFonts w:ascii="Arial" w:cs="Arial" w:eastAsia="Arial" w:hAnsi="Arial"/>
          <w:sz w:val="18"/>
          <w:szCs w:val="18"/>
          <w:b w:val="1"/>
          <w:bCs w:val="1"/>
          <w:color w:val="auto"/>
        </w:rPr>
      </w:pPr>
      <w:r>
        <w:rPr>
          <w:rFonts w:ascii="Arial" w:cs="Arial" w:eastAsia="Arial" w:hAnsi="Arial"/>
          <w:sz w:val="18"/>
          <w:szCs w:val="18"/>
          <w:b w:val="1"/>
          <w:bCs w:val="1"/>
          <w:color w:val="auto"/>
        </w:rPr>
        <w:t>Offices; Multibranch Parties</w:t>
      </w:r>
    </w:p>
    <w:p>
      <w:pPr>
        <w:spacing w:after="0" w:line="96" w:lineRule="exact"/>
        <w:rPr>
          <w:sz w:val="20"/>
          <w:szCs w:val="20"/>
          <w:color w:val="auto"/>
        </w:rPr>
      </w:pPr>
    </w:p>
    <w:p>
      <w:pPr>
        <w:ind w:firstLine="8"/>
        <w:spacing w:after="0" w:line="256" w:lineRule="auto"/>
        <w:tabs>
          <w:tab w:leader="none" w:pos="23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Section 10(a) is specified in the Schedule as applying, each party that enters into a Transaction through an Office other than its head or home office represents to the other party that, notwithstanding the place of booking office or jurisdiction of incorporation or organisation of such party, the obligations of such party are the same as if it had entered into the Transaction through its head or home office. This representation will be deemed to be repeated by such party on each date on which a Transaction is entered into.</w:t>
      </w:r>
    </w:p>
    <w:p>
      <w:pPr>
        <w:spacing w:after="0" w:line="143" w:lineRule="exact"/>
        <w:rPr>
          <w:rFonts w:ascii="Arial" w:cs="Arial" w:eastAsia="Arial" w:hAnsi="Arial"/>
          <w:sz w:val="18"/>
          <w:szCs w:val="18"/>
          <w:color w:val="auto"/>
        </w:rPr>
      </w:pPr>
    </w:p>
    <w:p>
      <w:pPr>
        <w:ind w:right="260" w:firstLine="8"/>
        <w:spacing w:after="0" w:line="268" w:lineRule="auto"/>
        <w:tabs>
          <w:tab w:leader="none" w:pos="24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Neither party may change the Office through which it makes and receives payments or deliveries for the purpose of a Transaction without the prior written consent of the other party.</w:t>
      </w:r>
    </w:p>
    <w:p>
      <w:pPr>
        <w:spacing w:after="0" w:line="131" w:lineRule="exact"/>
        <w:rPr>
          <w:rFonts w:ascii="Arial" w:cs="Arial" w:eastAsia="Arial" w:hAnsi="Arial"/>
          <w:sz w:val="18"/>
          <w:szCs w:val="18"/>
          <w:color w:val="auto"/>
        </w:rPr>
      </w:pPr>
    </w:p>
    <w:p>
      <w:pPr>
        <w:ind w:right="300" w:firstLine="8"/>
        <w:spacing w:after="0" w:line="259" w:lineRule="auto"/>
        <w:tabs>
          <w:tab w:leader="none" w:pos="239"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If a party is specified as a Multibranch Party in the Schedule, such Multibranch Party may make and receive payments or deliveries under any Transaction through any Office listed in the Schedule, and the Office through which it makes and receives payments or deliveries with respect to a Transaction will be specified in the relevant Confirmation.</w:t>
      </w:r>
    </w:p>
    <w:p>
      <w:pPr>
        <w:spacing w:after="0" w:line="256" w:lineRule="exact"/>
        <w:rPr>
          <w:sz w:val="20"/>
          <w:szCs w:val="20"/>
          <w:color w:val="auto"/>
        </w:rPr>
      </w:pPr>
    </w:p>
    <w:p>
      <w:pPr>
        <w:ind w:left="460" w:hanging="452"/>
        <w:spacing w:after="0"/>
        <w:tabs>
          <w:tab w:leader="none" w:pos="460" w:val="left"/>
        </w:tabs>
        <w:numPr>
          <w:ilvl w:val="0"/>
          <w:numId w:val="202"/>
        </w:numPr>
        <w:rPr>
          <w:rFonts w:ascii="Arial" w:cs="Arial" w:eastAsia="Arial" w:hAnsi="Arial"/>
          <w:sz w:val="18"/>
          <w:szCs w:val="18"/>
          <w:b w:val="1"/>
          <w:bCs w:val="1"/>
          <w:color w:val="auto"/>
        </w:rPr>
      </w:pPr>
      <w:r>
        <w:rPr>
          <w:rFonts w:ascii="Arial" w:cs="Arial" w:eastAsia="Arial" w:hAnsi="Arial"/>
          <w:sz w:val="18"/>
          <w:szCs w:val="18"/>
          <w:b w:val="1"/>
          <w:bCs w:val="1"/>
          <w:color w:val="auto"/>
        </w:rPr>
        <w:t>Expenses</w:t>
      </w:r>
    </w:p>
    <w:p>
      <w:pPr>
        <w:spacing w:after="0" w:line="96"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 Defaulting Party will, on demand, indemnify and hold harmless the other party for and against all reasonable out-of-pocket expenses, including legal fees and Stamp Tax, incurred by such other party by reason of the enforcement and protection of its rights under this Agreement or any Credit Support Document</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80"/>
          </w:cols>
          <w:pgMar w:left="240" w:top="274" w:right="27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which the Defaulting Party is a party or by reason of the early termination of any Transaction, including, but not limited to, costs of collection.</w:t>
      </w:r>
    </w:p>
    <w:p>
      <w:pPr>
        <w:spacing w:after="0" w:line="287" w:lineRule="exact"/>
        <w:rPr>
          <w:sz w:val="20"/>
          <w:szCs w:val="20"/>
          <w:color w:val="auto"/>
        </w:rPr>
      </w:pPr>
    </w:p>
    <w:p>
      <w:pPr>
        <w:ind w:left="460" w:hanging="452"/>
        <w:spacing w:after="0"/>
        <w:tabs>
          <w:tab w:leader="none" w:pos="460" w:val="left"/>
        </w:tabs>
        <w:numPr>
          <w:ilvl w:val="0"/>
          <w:numId w:val="203"/>
        </w:numPr>
        <w:rPr>
          <w:rFonts w:ascii="Arial" w:cs="Arial" w:eastAsia="Arial" w:hAnsi="Arial"/>
          <w:sz w:val="18"/>
          <w:szCs w:val="18"/>
          <w:b w:val="1"/>
          <w:bCs w:val="1"/>
          <w:color w:val="auto"/>
        </w:rPr>
      </w:pPr>
      <w:r>
        <w:rPr>
          <w:rFonts w:ascii="Arial" w:cs="Arial" w:eastAsia="Arial" w:hAnsi="Arial"/>
          <w:sz w:val="18"/>
          <w:szCs w:val="18"/>
          <w:b w:val="1"/>
          <w:bCs w:val="1"/>
          <w:color w:val="auto"/>
        </w:rPr>
        <w:t>Notices</w:t>
      </w:r>
    </w:p>
    <w:p>
      <w:pPr>
        <w:spacing w:after="0" w:line="96" w:lineRule="exact"/>
        <w:rPr>
          <w:sz w:val="20"/>
          <w:szCs w:val="20"/>
          <w:color w:val="auto"/>
        </w:rPr>
      </w:pPr>
    </w:p>
    <w:p>
      <w:pPr>
        <w:ind w:right="120" w:firstLine="8"/>
        <w:spacing w:after="0" w:line="306" w:lineRule="auto"/>
        <w:tabs>
          <w:tab w:leader="none" w:pos="239" w:val="left"/>
        </w:tabs>
        <w:numPr>
          <w:ilvl w:val="0"/>
          <w:numId w:val="2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Effectiveness. </w:t>
      </w:r>
      <w:r>
        <w:rPr>
          <w:rFonts w:ascii="Arial" w:cs="Arial" w:eastAsia="Arial" w:hAnsi="Arial"/>
          <w:sz w:val="16"/>
          <w:szCs w:val="16"/>
          <w:color w:val="auto"/>
        </w:rPr>
        <w:t>Any notice or other communication in respect of this Agreement may be given in any manner set forth below (except that a notice or other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communication under Section 5 or 6 may not be given by facsimile transmission or electronic messaging system) to the address or number or in accordance with the electronic messaging system details provided (see the Schedule) and will be deemed effective as indicated:—</w:t>
      </w:r>
    </w:p>
    <w:p>
      <w:pPr>
        <w:spacing w:after="0" w:line="25" w:lineRule="exact"/>
        <w:rPr>
          <w:rFonts w:ascii="Arial" w:cs="Arial" w:eastAsia="Arial" w:hAnsi="Arial"/>
          <w:sz w:val="16"/>
          <w:szCs w:val="16"/>
          <w:color w:val="auto"/>
        </w:rPr>
      </w:pPr>
    </w:p>
    <w:p>
      <w:pPr>
        <w:ind w:left="680" w:hanging="216"/>
        <w:spacing w:after="0"/>
        <w:tabs>
          <w:tab w:leader="none" w:pos="68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if in writing and delivered in person or by courier, on the date it is delivered;</w:t>
      </w:r>
    </w:p>
    <w:p>
      <w:pPr>
        <w:spacing w:after="0" w:line="90" w:lineRule="exact"/>
        <w:rPr>
          <w:rFonts w:ascii="Arial" w:cs="Arial" w:eastAsia="Arial" w:hAnsi="Arial"/>
          <w:sz w:val="18"/>
          <w:szCs w:val="18"/>
          <w:color w:val="auto"/>
        </w:rPr>
      </w:pPr>
    </w:p>
    <w:p>
      <w:pPr>
        <w:ind w:left="720" w:hanging="256"/>
        <w:spacing w:after="0"/>
        <w:tabs>
          <w:tab w:leader="none" w:pos="7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if sent by telex, on the date the recipient’s answerback is received;</w:t>
      </w:r>
    </w:p>
    <w:p>
      <w:pPr>
        <w:spacing w:after="0" w:line="90" w:lineRule="exact"/>
        <w:rPr>
          <w:rFonts w:ascii="Arial" w:cs="Arial" w:eastAsia="Arial" w:hAnsi="Arial"/>
          <w:sz w:val="18"/>
          <w:szCs w:val="18"/>
          <w:color w:val="auto"/>
        </w:rPr>
      </w:pPr>
    </w:p>
    <w:p>
      <w:pPr>
        <w:ind w:left="460" w:right="220" w:firstLine="4"/>
        <w:spacing w:after="0" w:line="357" w:lineRule="auto"/>
        <w:tabs>
          <w:tab w:leader="none" w:pos="767" w:val="left"/>
        </w:tabs>
        <w:numPr>
          <w:ilvl w:val="1"/>
          <w:numId w:val="204"/>
        </w:numPr>
        <w:rPr>
          <w:rFonts w:ascii="Arial" w:cs="Arial" w:eastAsia="Arial" w:hAnsi="Arial"/>
          <w:sz w:val="15"/>
          <w:szCs w:val="15"/>
          <w:color w:val="auto"/>
        </w:rPr>
      </w:pPr>
      <w:r>
        <w:rPr>
          <w:rFonts w:ascii="Arial" w:cs="Arial" w:eastAsia="Arial" w:hAnsi="Arial"/>
          <w:sz w:val="15"/>
          <w:szCs w:val="15"/>
          <w:color w:val="auto"/>
        </w:rPr>
        <w:t>if sent by facsimile transmission, on the date that transmission is received by a responsible employee of the recipient in legible form (it being agreed that the burden of proving receipt will be on the sender and will not be met by a transmission report generated by the sender’s facsimile machine);</w:t>
      </w:r>
    </w:p>
    <w:p>
      <w:pPr>
        <w:ind w:left="460" w:right="160" w:firstLine="4"/>
        <w:spacing w:after="0" w:line="268" w:lineRule="auto"/>
        <w:tabs>
          <w:tab w:leader="none" w:pos="757"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if sent by certified or registered mail (airmail, if overseas) or the equivalent (return receipt requested), on the date that mail is delivered or its delivery is attempted; or</w:t>
      </w:r>
    </w:p>
    <w:p>
      <w:pPr>
        <w:spacing w:after="0" w:line="50" w:lineRule="exact"/>
        <w:rPr>
          <w:rFonts w:ascii="Arial" w:cs="Arial" w:eastAsia="Arial" w:hAnsi="Arial"/>
          <w:sz w:val="18"/>
          <w:szCs w:val="18"/>
          <w:color w:val="auto"/>
        </w:rPr>
      </w:pPr>
    </w:p>
    <w:p>
      <w:pPr>
        <w:ind w:left="720" w:hanging="256"/>
        <w:spacing w:after="0"/>
        <w:tabs>
          <w:tab w:leader="none" w:pos="72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if sent by electronic messaging system, on the date that electronic message is received,</w:t>
      </w:r>
    </w:p>
    <w:p>
      <w:pPr>
        <w:spacing w:after="0" w:line="17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unless the date of that delivery (or attempted delivery) or that receipt, as applicable, is not a Local Business Day or that communication is delivered (or attempted) or received, as applicable, after the close of business on a Local Business Day, in which case that communication shall be deemed given and effective on the first following day that is a Local Business Day.</w:t>
      </w:r>
    </w:p>
    <w:p>
      <w:pPr>
        <w:spacing w:after="0" w:line="140" w:lineRule="exact"/>
        <w:rPr>
          <w:sz w:val="20"/>
          <w:szCs w:val="20"/>
          <w:color w:val="auto"/>
        </w:rPr>
      </w:pPr>
    </w:p>
    <w:p>
      <w:pPr>
        <w:ind w:right="200" w:firstLine="8"/>
        <w:spacing w:after="0" w:line="268" w:lineRule="auto"/>
        <w:tabs>
          <w:tab w:leader="none" w:pos="249"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Change of Addresses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Either party may by notice to the other change the address, telex or facsimile number or electronic messaging system details at which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notices or other communications are to be given to it.</w:t>
      </w:r>
    </w:p>
    <w:p>
      <w:pPr>
        <w:spacing w:after="0" w:line="248" w:lineRule="exact"/>
        <w:rPr>
          <w:sz w:val="20"/>
          <w:szCs w:val="20"/>
          <w:color w:val="auto"/>
        </w:rPr>
      </w:pPr>
    </w:p>
    <w:p>
      <w:pPr>
        <w:ind w:left="460" w:hanging="452"/>
        <w:spacing w:after="0"/>
        <w:tabs>
          <w:tab w:leader="none" w:pos="460" w:val="left"/>
        </w:tabs>
        <w:numPr>
          <w:ilvl w:val="0"/>
          <w:numId w:val="206"/>
        </w:numPr>
        <w:rPr>
          <w:rFonts w:ascii="Arial" w:cs="Arial" w:eastAsia="Arial" w:hAnsi="Arial"/>
          <w:sz w:val="18"/>
          <w:szCs w:val="18"/>
          <w:b w:val="1"/>
          <w:bCs w:val="1"/>
          <w:color w:val="auto"/>
        </w:rPr>
      </w:pPr>
      <w:r>
        <w:rPr>
          <w:rFonts w:ascii="Arial" w:cs="Arial" w:eastAsia="Arial" w:hAnsi="Arial"/>
          <w:sz w:val="18"/>
          <w:szCs w:val="18"/>
          <w:b w:val="1"/>
          <w:bCs w:val="1"/>
          <w:color w:val="auto"/>
        </w:rPr>
        <w:t>Governing Law and Jurisdiction</w:t>
      </w:r>
    </w:p>
    <w:p>
      <w:pPr>
        <w:spacing w:after="0" w:line="96" w:lineRule="exact"/>
        <w:rPr>
          <w:sz w:val="20"/>
          <w:szCs w:val="20"/>
          <w:color w:val="auto"/>
        </w:rPr>
      </w:pPr>
    </w:p>
    <w:p>
      <w:pPr>
        <w:ind w:left="240" w:hanging="232"/>
        <w:spacing w:after="0"/>
        <w:tabs>
          <w:tab w:leader="none" w:pos="240" w:val="left"/>
        </w:tabs>
        <w:numPr>
          <w:ilvl w:val="0"/>
          <w:numId w:val="2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Governing Law. </w:t>
      </w:r>
      <w:r>
        <w:rPr>
          <w:rFonts w:ascii="Arial" w:cs="Arial" w:eastAsia="Arial" w:hAnsi="Arial"/>
          <w:sz w:val="18"/>
          <w:szCs w:val="18"/>
          <w:color w:val="auto"/>
        </w:rPr>
        <w:t>This Agreement will be governed by and construed in accordance with the law specified in the Schedule.</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2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Jurisdiction. </w:t>
      </w:r>
      <w:r>
        <w:rPr>
          <w:rFonts w:ascii="Arial" w:cs="Arial" w:eastAsia="Arial" w:hAnsi="Arial"/>
          <w:sz w:val="18"/>
          <w:szCs w:val="18"/>
          <w:color w:val="auto"/>
        </w:rPr>
        <w:t>With respect to any suit, action or proceedings relating to this Agreement (“Proceedings”), each party irrevocably:—</w:t>
      </w:r>
    </w:p>
    <w:p>
      <w:pPr>
        <w:spacing w:after="0" w:line="90" w:lineRule="exact"/>
        <w:rPr>
          <w:rFonts w:ascii="Arial" w:cs="Arial" w:eastAsia="Arial" w:hAnsi="Arial"/>
          <w:sz w:val="18"/>
          <w:szCs w:val="18"/>
          <w:color w:val="auto"/>
        </w:rPr>
      </w:pPr>
    </w:p>
    <w:p>
      <w:pPr>
        <w:jc w:val="both"/>
        <w:ind w:left="460" w:right="40" w:firstLine="4"/>
        <w:spacing w:after="0" w:line="259" w:lineRule="auto"/>
        <w:tabs>
          <w:tab w:leader="none" w:pos="670" w:val="left"/>
        </w:tabs>
        <w:numPr>
          <w:ilvl w:val="1"/>
          <w:numId w:val="207"/>
        </w:numPr>
        <w:rPr>
          <w:rFonts w:ascii="Arial" w:cs="Arial" w:eastAsia="Arial" w:hAnsi="Arial"/>
          <w:sz w:val="18"/>
          <w:szCs w:val="18"/>
          <w:color w:val="auto"/>
        </w:rPr>
      </w:pPr>
      <w:r>
        <w:rPr>
          <w:rFonts w:ascii="Arial" w:cs="Arial" w:eastAsia="Arial" w:hAnsi="Arial"/>
          <w:sz w:val="18"/>
          <w:szCs w:val="18"/>
          <w:color w:val="auto"/>
        </w:rPr>
        <w:t>submits to the jurisdiction of the English courts, if this Agreement is expressed to be governed by English law, or to the non-exclusive jurisdiction of the courts of the State of New York and the United States District Court located in the Borough of Manhattan in New York City, if this Agreement is expressed to be governed by the laws of the State of New York; and</w:t>
      </w:r>
    </w:p>
    <w:p>
      <w:pPr>
        <w:spacing w:after="0" w:line="59" w:lineRule="exact"/>
        <w:rPr>
          <w:rFonts w:ascii="Arial" w:cs="Arial" w:eastAsia="Arial" w:hAnsi="Arial"/>
          <w:sz w:val="18"/>
          <w:szCs w:val="18"/>
          <w:color w:val="auto"/>
        </w:rPr>
      </w:pPr>
    </w:p>
    <w:p>
      <w:pPr>
        <w:ind w:left="460" w:right="160" w:firstLine="4"/>
        <w:spacing w:after="0" w:line="259" w:lineRule="auto"/>
        <w:tabs>
          <w:tab w:leader="none" w:pos="719" w:val="left"/>
        </w:tabs>
        <w:numPr>
          <w:ilvl w:val="1"/>
          <w:numId w:val="207"/>
        </w:numPr>
        <w:rPr>
          <w:rFonts w:ascii="Arial" w:cs="Arial" w:eastAsia="Arial" w:hAnsi="Arial"/>
          <w:sz w:val="18"/>
          <w:szCs w:val="18"/>
          <w:color w:val="auto"/>
        </w:rPr>
      </w:pPr>
      <w:r>
        <w:rPr>
          <w:rFonts w:ascii="Arial" w:cs="Arial" w:eastAsia="Arial" w:hAnsi="Arial"/>
          <w:sz w:val="18"/>
          <w:szCs w:val="18"/>
          <w:color w:val="auto"/>
        </w:rPr>
        <w:t>waives any objection which it may have at any time to the laying of venue of any Proceedings brought in any such court, waives any claim that such Proceedings have been brought in an inconvenient forum and further waives the right to object, with respect to such Proceedings, that such court does not have any jurisdiction over such party.</w:t>
      </w:r>
    </w:p>
    <w:p>
      <w:pPr>
        <w:spacing w:after="0" w:line="140"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Nothing in this Agreement precludes either party from bringing Proceedings in any other jurisdiction (outside, if this Agreement is expressed to be governed by English law, the Contracting States, as defined in Section 1(3) of the Civil Jurisdiction and Judgments Act 1982 or any modification, extension or reenactment thereof for the time being in force) nor will the bringing of Proceedings in any one or more jurisdictions preclude the bringing of Proceedings in any other jurisdiction.</w:t>
      </w:r>
    </w:p>
    <w:p>
      <w:pPr>
        <w:spacing w:after="0" w:line="143" w:lineRule="exact"/>
        <w:rPr>
          <w:sz w:val="20"/>
          <w:szCs w:val="20"/>
          <w:color w:val="auto"/>
        </w:rPr>
      </w:pPr>
    </w:p>
    <w:p>
      <w:pPr>
        <w:ind w:right="160" w:firstLine="8"/>
        <w:spacing w:after="0" w:line="268" w:lineRule="auto"/>
        <w:tabs>
          <w:tab w:leader="none" w:pos="239" w:val="left"/>
        </w:tabs>
        <w:numPr>
          <w:ilvl w:val="0"/>
          <w:numId w:val="20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Service of Process. </w:t>
      </w:r>
      <w:r>
        <w:rPr>
          <w:rFonts w:ascii="Arial" w:cs="Arial" w:eastAsia="Arial" w:hAnsi="Arial"/>
          <w:sz w:val="18"/>
          <w:szCs w:val="18"/>
          <w:color w:val="auto"/>
        </w:rPr>
        <w:t>Each party irrevocably appoints the Process Agent (if any) specified opposite its name in the Schedule to receive, for it and on its behalf,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 of process in any Proceedings. If for any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0" w:right="239" w:bottom="1440" w:gutter="0" w:footer="0" w:header="0"/>
        </w:sectPr>
      </w:pPr>
    </w:p>
    <w:bookmarkStart w:id="114" w:name="page115"/>
    <w:bookmarkEnd w:id="114"/>
    <w:p>
      <w:pPr>
        <w:ind w:right="260"/>
        <w:spacing w:after="0" w:line="30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reason any party’s Process Agent is unable to act as such, such party will promptly notify the other party and within 30 days appoint a substitute process agent acceptable to the other party. The parties irrevocably consent to service of process given in the manner provided for notices in Section 12. Nothing in this Agreement will affect the right of either party to serve process in any other manner permitted by law.</w:t>
      </w:r>
    </w:p>
    <w:p>
      <w:pPr>
        <w:spacing w:after="0" w:line="107" w:lineRule="exact"/>
        <w:rPr>
          <w:sz w:val="20"/>
          <w:szCs w:val="20"/>
          <w:color w:val="auto"/>
        </w:rPr>
      </w:pPr>
    </w:p>
    <w:p>
      <w:pPr>
        <w:ind w:firstLine="8"/>
        <w:spacing w:after="0" w:line="294" w:lineRule="auto"/>
        <w:tabs>
          <w:tab w:leader="none" w:pos="249" w:val="left"/>
        </w:tabs>
        <w:numPr>
          <w:ilvl w:val="0"/>
          <w:numId w:val="20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Waiver of Immunities. </w:t>
      </w:r>
      <w:r>
        <w:rPr>
          <w:rFonts w:ascii="Arial" w:cs="Arial" w:eastAsia="Arial" w:hAnsi="Arial"/>
          <w:sz w:val="16"/>
          <w:szCs w:val="16"/>
          <w:color w:val="auto"/>
        </w:rPr>
        <w:t>Each party irrevocably waives, to the fullest extent permitted by applicable law, with respect to itself and its revenues and assets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(irrespective of their use or intended use), all immunity on the grounds of sovereignty or other similar grounds from (i) suit, (ii) jurisdiction of any court, (iii) relief by way of injunction, order for specific performance or for recovery of property, (iv) attachment of its assets (whether before or after judgment) and (v) execution or enforcement of any judgment to which it or its revenues or assets might otherwise be entitled in any Proceedings in the courts of any jurisdiction and irrevocably agrees, to the extent permitted by applicable law, that it will not claim any such immunity in any Proceedings.</w:t>
      </w:r>
    </w:p>
    <w:p>
      <w:pPr>
        <w:spacing w:after="0" w:line="231" w:lineRule="exact"/>
        <w:rPr>
          <w:sz w:val="20"/>
          <w:szCs w:val="20"/>
          <w:color w:val="auto"/>
        </w:rPr>
      </w:pPr>
    </w:p>
    <w:p>
      <w:pPr>
        <w:ind w:left="460" w:hanging="452"/>
        <w:spacing w:after="0"/>
        <w:tabs>
          <w:tab w:leader="none" w:pos="460" w:val="left"/>
        </w:tabs>
        <w:numPr>
          <w:ilvl w:val="0"/>
          <w:numId w:val="210"/>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As used in this Agreement:—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“Additional Termination Event” </w:t>
      </w:r>
      <w:r>
        <w:rPr>
          <w:rFonts w:ascii="Arial" w:cs="Arial" w:eastAsia="Arial" w:hAnsi="Arial"/>
          <w:sz w:val="18"/>
          <w:szCs w:val="18"/>
          <w:color w:val="auto"/>
        </w:rPr>
        <w:t>has the meaning specified in Section 5(b).</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“Affected Party” </w:t>
      </w:r>
      <w:r>
        <w:rPr>
          <w:rFonts w:ascii="Arial" w:cs="Arial" w:eastAsia="Arial" w:hAnsi="Arial"/>
          <w:sz w:val="18"/>
          <w:szCs w:val="18"/>
          <w:color w:val="auto"/>
        </w:rPr>
        <w:t>has the meaning specified in Section 5(b).</w:t>
      </w:r>
    </w:p>
    <w:p>
      <w:pPr>
        <w:spacing w:after="0" w:line="171" w:lineRule="exact"/>
        <w:rPr>
          <w:sz w:val="20"/>
          <w:szCs w:val="20"/>
          <w:color w:val="auto"/>
        </w:rPr>
      </w:pPr>
    </w:p>
    <w:p>
      <w:pPr>
        <w:ind w:right="400"/>
        <w:spacing w:after="0" w:line="332" w:lineRule="auto"/>
        <w:rPr>
          <w:sz w:val="20"/>
          <w:szCs w:val="20"/>
          <w:color w:val="auto"/>
        </w:rPr>
      </w:pPr>
      <w:r>
        <w:rPr>
          <w:rFonts w:ascii="Arial" w:cs="Arial" w:eastAsia="Arial" w:hAnsi="Arial"/>
          <w:sz w:val="16"/>
          <w:szCs w:val="16"/>
          <w:b w:val="1"/>
          <w:bCs w:val="1"/>
          <w:i w:val="1"/>
          <w:iCs w:val="1"/>
          <w:color w:val="auto"/>
        </w:rPr>
        <w:t xml:space="preserve">“Affected Transactions” </w:t>
      </w:r>
      <w:r>
        <w:rPr>
          <w:rFonts w:ascii="Arial" w:cs="Arial" w:eastAsia="Arial" w:hAnsi="Arial"/>
          <w:sz w:val="16"/>
          <w:szCs w:val="16"/>
          <w:color w:val="auto"/>
        </w:rPr>
        <w:t>means (a) with respect to any Termination Event consisting of an Illegality, Tax Event or Tax Event Upon Merger, all Transactions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affected by the occurrence of such Termination Event and (b) with respect to any other Termination Event, all Transactions.</w:t>
      </w:r>
    </w:p>
    <w:p>
      <w:pPr>
        <w:spacing w:after="0" w:line="8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“Affiliate” </w:t>
      </w:r>
      <w:r>
        <w:rPr>
          <w:rFonts w:ascii="Arial" w:cs="Arial" w:eastAsia="Arial" w:hAnsi="Arial"/>
          <w:sz w:val="18"/>
          <w:szCs w:val="18"/>
          <w:color w:val="auto"/>
        </w:rPr>
        <w:t>means, subject to the Schedule, in relation to any person, any entity controlled, directly or indirectly, by the person, any entity that controls, directly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indirectly, the person or any entity directly or indirectly under common control with the person. For this purpose, “control” of any entity or person means ownership of a majority of the voting power of the entity or person.</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“Applicable Rate” </w:t>
      </w:r>
      <w:r>
        <w:rPr>
          <w:rFonts w:ascii="Arial" w:cs="Arial" w:eastAsia="Arial" w:hAnsi="Arial"/>
          <w:sz w:val="18"/>
          <w:szCs w:val="18"/>
          <w:color w:val="auto"/>
        </w:rPr>
        <w:t>means:—</w:t>
      </w:r>
    </w:p>
    <w:p>
      <w:pPr>
        <w:spacing w:after="0" w:line="171" w:lineRule="exact"/>
        <w:rPr>
          <w:sz w:val="20"/>
          <w:szCs w:val="20"/>
          <w:color w:val="auto"/>
        </w:rPr>
      </w:pPr>
    </w:p>
    <w:p>
      <w:pPr>
        <w:ind w:left="240" w:hanging="232"/>
        <w:spacing w:after="0"/>
        <w:tabs>
          <w:tab w:leader="none" w:pos="24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respect of obligations payable or deliverable (or which would have been but for Section 2(a)(iii)) by a Defaulting Party, the Default Rate;</w:t>
      </w:r>
    </w:p>
    <w:p>
      <w:pPr>
        <w:spacing w:after="0" w:line="171" w:lineRule="exact"/>
        <w:rPr>
          <w:rFonts w:ascii="Arial" w:cs="Arial" w:eastAsia="Arial" w:hAnsi="Arial"/>
          <w:sz w:val="18"/>
          <w:szCs w:val="18"/>
          <w:color w:val="auto"/>
        </w:rPr>
      </w:pPr>
    </w:p>
    <w:p>
      <w:pPr>
        <w:ind w:right="340" w:firstLine="8"/>
        <w:spacing w:after="0" w:line="268" w:lineRule="auto"/>
        <w:tabs>
          <w:tab w:leader="none" w:pos="24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respect of an obligation to pay an amount under Section 6(e) of either party from and after the date (determined in accordance with Section 6(d)(ii)) on which that amount is payable, the Default Rate;</w:t>
      </w:r>
    </w:p>
    <w:p>
      <w:pPr>
        <w:spacing w:after="0" w:line="131" w:lineRule="exact"/>
        <w:rPr>
          <w:rFonts w:ascii="Arial" w:cs="Arial" w:eastAsia="Arial" w:hAnsi="Arial"/>
          <w:sz w:val="18"/>
          <w:szCs w:val="18"/>
          <w:color w:val="auto"/>
        </w:rPr>
      </w:pPr>
    </w:p>
    <w:p>
      <w:pPr>
        <w:ind w:right="60" w:firstLine="8"/>
        <w:spacing w:after="0" w:line="268" w:lineRule="auto"/>
        <w:tabs>
          <w:tab w:leader="none" w:pos="23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respect of all other obligations payable or deliverable (or which would have been but for Section 2(a)(iii)) by a Non-defaulting Party, the Non-default Rate; and</w:t>
      </w:r>
    </w:p>
    <w:p>
      <w:pPr>
        <w:spacing w:after="0" w:line="131" w:lineRule="exact"/>
        <w:rPr>
          <w:rFonts w:ascii="Arial" w:cs="Arial" w:eastAsia="Arial" w:hAnsi="Arial"/>
          <w:sz w:val="18"/>
          <w:szCs w:val="18"/>
          <w:color w:val="auto"/>
        </w:rPr>
      </w:pPr>
    </w:p>
    <w:p>
      <w:pPr>
        <w:ind w:left="260" w:hanging="252"/>
        <w:spacing w:after="0"/>
        <w:tabs>
          <w:tab w:leader="none" w:pos="260" w:val="left"/>
        </w:tabs>
        <w:numPr>
          <w:ilvl w:val="0"/>
          <w:numId w:val="211"/>
        </w:numPr>
        <w:rPr>
          <w:rFonts w:ascii="Arial" w:cs="Arial" w:eastAsia="Arial" w:hAnsi="Arial"/>
          <w:sz w:val="18"/>
          <w:szCs w:val="18"/>
          <w:color w:val="auto"/>
        </w:rPr>
      </w:pPr>
      <w:r>
        <w:rPr>
          <w:rFonts w:ascii="Arial" w:cs="Arial" w:eastAsia="Arial" w:hAnsi="Arial"/>
          <w:sz w:val="18"/>
          <w:szCs w:val="18"/>
          <w:color w:val="auto"/>
        </w:rPr>
        <w:t>in all other cases, the Termination Rate.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“Burdened Party” </w:t>
      </w:r>
      <w:r>
        <w:rPr>
          <w:rFonts w:ascii="Arial" w:cs="Arial" w:eastAsia="Arial" w:hAnsi="Arial"/>
          <w:sz w:val="18"/>
          <w:szCs w:val="18"/>
          <w:color w:val="auto"/>
        </w:rPr>
        <w:t>has the meaning specified in Section 5(b).</w:t>
      </w:r>
    </w:p>
    <w:p>
      <w:pPr>
        <w:spacing w:after="0" w:line="17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b w:val="1"/>
          <w:bCs w:val="1"/>
          <w:i w:val="1"/>
          <w:iCs w:val="1"/>
          <w:color w:val="auto"/>
        </w:rPr>
        <w:t xml:space="preserve">“Change in Tax Law” </w:t>
      </w:r>
      <w:r>
        <w:rPr>
          <w:rFonts w:ascii="Arial" w:cs="Arial" w:eastAsia="Arial" w:hAnsi="Arial"/>
          <w:sz w:val="18"/>
          <w:szCs w:val="18"/>
          <w:color w:val="auto"/>
        </w:rPr>
        <w:t>means the enactment, promulgation, execution or ratification of, or any change in or amendment to, any law (or in the application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official interpretation of any law) that occurs on or after the date on which the relevant Transaction is entered into.</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“consent” </w:t>
      </w:r>
      <w:r>
        <w:rPr>
          <w:rFonts w:ascii="Arial" w:cs="Arial" w:eastAsia="Arial" w:hAnsi="Arial"/>
          <w:sz w:val="18"/>
          <w:szCs w:val="18"/>
          <w:color w:val="auto"/>
        </w:rPr>
        <w:t>includes a consent, approval, action, authorisation, exemption, notice, filing, registration or exchange control consent.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“Credit Event Upon Merger” </w:t>
      </w:r>
      <w:r>
        <w:rPr>
          <w:rFonts w:ascii="Arial" w:cs="Arial" w:eastAsia="Arial" w:hAnsi="Arial"/>
          <w:sz w:val="18"/>
          <w:szCs w:val="18"/>
          <w:color w:val="auto"/>
        </w:rPr>
        <w:t>has the meaning specified in Section 5(b).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“Credit Support Document” </w:t>
      </w:r>
      <w:r>
        <w:rPr>
          <w:rFonts w:ascii="Arial" w:cs="Arial" w:eastAsia="Arial" w:hAnsi="Arial"/>
          <w:sz w:val="18"/>
          <w:szCs w:val="18"/>
          <w:color w:val="auto"/>
        </w:rPr>
        <w:t>means any agreement or instrument that is specified as such in this Agreement.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“Credit Support Provider” </w:t>
      </w:r>
      <w:r>
        <w:rPr>
          <w:rFonts w:ascii="Arial" w:cs="Arial" w:eastAsia="Arial" w:hAnsi="Arial"/>
          <w:sz w:val="18"/>
          <w:szCs w:val="18"/>
          <w:color w:val="auto"/>
        </w:rPr>
        <w:t>has the meaning specified in the Schedule.</w:t>
      </w:r>
    </w:p>
    <w:p>
      <w:pPr>
        <w:spacing w:after="0" w:line="17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 xml:space="preserve">“Default Rate” </w:t>
      </w:r>
      <w:r>
        <w:rPr>
          <w:rFonts w:ascii="Arial" w:cs="Arial" w:eastAsia="Arial" w:hAnsi="Arial"/>
          <w:sz w:val="18"/>
          <w:szCs w:val="18"/>
          <w:color w:val="auto"/>
        </w:rPr>
        <w:t>means a rate per annum equal to the cost (without proof or evidence of any actual cost) to the relevant payee (as certified by it) if it were to fund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of funding the relevant amount plus 1% per annum.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80" w:right="27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“Defaulting Party” </w:t>
      </w:r>
      <w:r>
        <w:rPr>
          <w:rFonts w:ascii="Arial" w:cs="Arial" w:eastAsia="Arial" w:hAnsi="Arial"/>
          <w:sz w:val="18"/>
          <w:szCs w:val="18"/>
          <w:color w:val="auto"/>
        </w:rPr>
        <w:t>has the meaning specified in Section 6(a).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“Early Termination Date” </w:t>
      </w:r>
      <w:r>
        <w:rPr>
          <w:rFonts w:ascii="Arial" w:cs="Arial" w:eastAsia="Arial" w:hAnsi="Arial"/>
          <w:sz w:val="18"/>
          <w:szCs w:val="18"/>
          <w:color w:val="auto"/>
        </w:rPr>
        <w:t>means the date determined in accordance with Section 6(a) or 6(b)(iv).</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“Event of Default” </w:t>
      </w:r>
      <w:r>
        <w:rPr>
          <w:rFonts w:ascii="Arial" w:cs="Arial" w:eastAsia="Arial" w:hAnsi="Arial"/>
          <w:sz w:val="18"/>
          <w:szCs w:val="18"/>
          <w:color w:val="auto"/>
        </w:rPr>
        <w:t>has the meaning specified in Section 5(a) and, if applicable, in the Schedule.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“Illegality” </w:t>
      </w:r>
      <w:r>
        <w:rPr>
          <w:rFonts w:ascii="Arial" w:cs="Arial" w:eastAsia="Arial" w:hAnsi="Arial"/>
          <w:sz w:val="18"/>
          <w:szCs w:val="18"/>
          <w:color w:val="auto"/>
        </w:rPr>
        <w:t>has the meaning specified in Section 5(b).</w:t>
      </w:r>
    </w:p>
    <w:p>
      <w:pPr>
        <w:spacing w:after="0" w:line="165"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i w:val="1"/>
          <w:iCs w:val="1"/>
          <w:color w:val="auto"/>
        </w:rPr>
        <w:t xml:space="preserve">“Indemnifiable </w:t>
      </w:r>
      <w:r>
        <w:rPr>
          <w:rFonts w:ascii="Arial" w:cs="Arial" w:eastAsia="Arial" w:hAnsi="Arial"/>
          <w:sz w:val="16"/>
          <w:szCs w:val="16"/>
          <w:b w:val="1"/>
          <w:bCs w:val="1"/>
          <w:color w:val="auto"/>
        </w:rPr>
        <w:t>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means any Tax other than a Tax that would not be imposed in respect of a payment under this Agreement but for a present or former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connection between the jurisdiction of the government or taxation authority imposing such Tax and the recipient of such payment or a person related to such recipient (including, without limitation, a connection arising from such recipient or related person being or having been a citizen or resident of such jurisdiction, or being or having been organised, present or engaged in a trade or business in such jurisdiction, or having or having had a permanent establishment or fixed place of business in such jurisdiction, but excluding a connection arising solely from such recipient or related person having executed, delivered, performed its obligations or received a payment under, or enforced, this Agreement or a Credit Support Document).</w:t>
      </w:r>
    </w:p>
    <w:p>
      <w:pPr>
        <w:spacing w:after="0" w:line="11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 xml:space="preserve">“law” </w:t>
      </w:r>
      <w:r>
        <w:rPr>
          <w:rFonts w:ascii="Arial" w:cs="Arial" w:eastAsia="Arial" w:hAnsi="Arial"/>
          <w:sz w:val="18"/>
          <w:szCs w:val="18"/>
          <w:color w:val="auto"/>
        </w:rPr>
        <w:t>includes any treaty, law, rule or regulation (as modified, in the case of tax matters, by the practice of any relevant governmental revenue authority) and</w:t>
      </w:r>
      <w:r>
        <w:rPr>
          <w:rFonts w:ascii="Arial" w:cs="Arial" w:eastAsia="Arial" w:hAnsi="Arial"/>
          <w:sz w:val="18"/>
          <w:szCs w:val="18"/>
          <w:b w:val="1"/>
          <w:bCs w:val="1"/>
          <w:i w:val="1"/>
          <w:iCs w:val="1"/>
          <w:color w:val="auto"/>
        </w:rPr>
        <w:t xml:space="preserve"> “lawful” </w:t>
      </w:r>
      <w:r>
        <w:rPr>
          <w:rFonts w:ascii="Arial" w:cs="Arial" w:eastAsia="Arial" w:hAnsi="Arial"/>
          <w:sz w:val="18"/>
          <w:szCs w:val="18"/>
          <w:color w:val="auto"/>
        </w:rPr>
        <w:t>and</w:t>
      </w:r>
      <w:r>
        <w:rPr>
          <w:rFonts w:ascii="Arial" w:cs="Arial" w:eastAsia="Arial" w:hAnsi="Arial"/>
          <w:sz w:val="18"/>
          <w:szCs w:val="18"/>
          <w:b w:val="1"/>
          <w:bCs w:val="1"/>
          <w:i w:val="1"/>
          <w:iCs w:val="1"/>
          <w:color w:val="auto"/>
        </w:rPr>
        <w:t xml:space="preserve"> “unlawful” </w:t>
      </w:r>
      <w:r>
        <w:rPr>
          <w:rFonts w:ascii="Arial" w:cs="Arial" w:eastAsia="Arial" w:hAnsi="Arial"/>
          <w:sz w:val="18"/>
          <w:szCs w:val="18"/>
          <w:color w:val="auto"/>
        </w:rPr>
        <w:t>will be construed accordingly.</w:t>
      </w:r>
    </w:p>
    <w:p>
      <w:pPr>
        <w:spacing w:after="0" w:line="13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b w:val="1"/>
          <w:bCs w:val="1"/>
          <w:i w:val="1"/>
          <w:iCs w:val="1"/>
          <w:color w:val="auto"/>
        </w:rPr>
        <w:t xml:space="preserve">“Local Business Day” </w:t>
      </w:r>
      <w:r>
        <w:rPr>
          <w:rFonts w:ascii="Arial" w:cs="Arial" w:eastAsia="Arial" w:hAnsi="Arial"/>
          <w:sz w:val="16"/>
          <w:szCs w:val="16"/>
          <w:color w:val="auto"/>
        </w:rPr>
        <w:t>means, subject to the Schedule, a day on which commercial banks are open for business (including dealings in foreign exchange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foreign currency deposits) (a) in relation to any obligation under Section 2(a)(i), in the place(s) specified in the relevant Confirmation or, if not so specified, as otherwise agreed by the parties in writing or determined pursuant to provisions contained, or incorporated by reference, in this Agreement, (b) in relation to any other payment, in the place where the relevant account is located and, if different, in the principal financial centre, if any, of the currency of such payment, (c) in relation to any notice or other communication, including notice contemplated under Section 5(a)(i)</w:t>
      </w:r>
      <w:r>
        <w:rPr>
          <w:rFonts w:ascii="Arial" w:cs="Arial" w:eastAsia="Arial" w:hAnsi="Arial"/>
          <w:sz w:val="16"/>
          <w:szCs w:val="16"/>
          <w:i w:val="1"/>
          <w:iCs w:val="1"/>
          <w:color w:val="auto"/>
        </w:rPr>
        <w:t>,</w:t>
      </w:r>
      <w:r>
        <w:rPr>
          <w:rFonts w:ascii="Arial" w:cs="Arial" w:eastAsia="Arial" w:hAnsi="Arial"/>
          <w:sz w:val="16"/>
          <w:szCs w:val="16"/>
          <w:color w:val="auto"/>
        </w:rPr>
        <w:t xml:space="preserve"> in the city specified in the address for notice provided by the recipient and, in the case of a notice contemplated by Section 2(b), in the place where the relevant new account is to be located and (d) in relation to Section 5(a) (v)(2)</w:t>
      </w:r>
      <w:r>
        <w:rPr>
          <w:rFonts w:ascii="Arial" w:cs="Arial" w:eastAsia="Arial" w:hAnsi="Arial"/>
          <w:sz w:val="16"/>
          <w:szCs w:val="16"/>
          <w:b w:val="1"/>
          <w:bCs w:val="1"/>
          <w:i w:val="1"/>
          <w:iCs w:val="1"/>
          <w:color w:val="auto"/>
        </w:rPr>
        <w:t>,</w:t>
      </w:r>
      <w:r>
        <w:rPr>
          <w:rFonts w:ascii="Arial" w:cs="Arial" w:eastAsia="Arial" w:hAnsi="Arial"/>
          <w:sz w:val="16"/>
          <w:szCs w:val="16"/>
          <w:color w:val="auto"/>
        </w:rPr>
        <w:t xml:space="preserve"> in the relevant locations for performance with respect to such Specified Transaction.</w:t>
      </w:r>
    </w:p>
    <w:p>
      <w:pPr>
        <w:spacing w:after="0" w:line="118" w:lineRule="exact"/>
        <w:rPr>
          <w:sz w:val="20"/>
          <w:szCs w:val="20"/>
          <w:color w:val="auto"/>
        </w:rPr>
      </w:pPr>
    </w:p>
    <w:p>
      <w:pPr>
        <w:spacing w:after="0" w:line="287" w:lineRule="auto"/>
        <w:rPr>
          <w:sz w:val="20"/>
          <w:szCs w:val="20"/>
          <w:color w:val="auto"/>
        </w:rPr>
      </w:pPr>
      <w:r>
        <w:rPr>
          <w:rFonts w:ascii="Arial" w:cs="Arial" w:eastAsia="Arial" w:hAnsi="Arial"/>
          <w:sz w:val="16"/>
          <w:szCs w:val="16"/>
          <w:b w:val="1"/>
          <w:bCs w:val="1"/>
          <w:i w:val="1"/>
          <w:iCs w:val="1"/>
          <w:color w:val="auto"/>
        </w:rPr>
        <w:t xml:space="preserve">“Loss” </w:t>
      </w:r>
      <w:r>
        <w:rPr>
          <w:rFonts w:ascii="Arial" w:cs="Arial" w:eastAsia="Arial" w:hAnsi="Arial"/>
          <w:sz w:val="16"/>
          <w:szCs w:val="16"/>
          <w:color w:val="auto"/>
        </w:rPr>
        <w:t>means, with respect to this Agreement or one or more Terminated Transactions, as the case may be, and a party, the Termination Currency Equivalent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 amount that party reasonably determines in good faith to be its total losses and costs (or gain, in which case expressed as a negative number) in connection with this Agreement or that Terminated Transaction or group of Terminated Transactions, as the case may be, including any loss of bargain, cost of funding or, at the election of such party but without duplication, loss or cost incurred as a result of its terminating, liquidating, obtaining or reestablishing any hedge or related trading position (or any gain resulting from any of them). Loss includes losses and costs (or gains) in respect of any payment or delivery required to have been made (assuming satisfaction of each applicable condition precedent) on or before the relevant Early Termination Date and not made, except, so as to avoid duplication, if Section 6(e)(i)(1) or (3) or 6(e)(ii)(2)(A) applies. Loss does not include a party’s legal fees and out-of-pocket expenses referred to under Section 11. A party will determine its Loss as of the relevant Early Termination Date, or, if that is not reasonably practicable, as of the earliest date thereafter as is reasonably practicable. A party may (but need not) determine its Loss by reference to quotations of relevant rates or prices from one or more leading dealers in the relevant markets.</w:t>
      </w:r>
    </w:p>
    <w:p>
      <w:pPr>
        <w:spacing w:after="0" w:line="123"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“Market Quotation” </w:t>
      </w:r>
      <w:r>
        <w:rPr>
          <w:rFonts w:ascii="Arial" w:cs="Arial" w:eastAsia="Arial" w:hAnsi="Arial"/>
          <w:sz w:val="16"/>
          <w:szCs w:val="16"/>
          <w:color w:val="auto"/>
        </w:rPr>
        <w:t>means, with respect to one or more Terminated Transactions and a party making the determination, an amount determined on the basis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quotations from Reference Market-makers. Each quotation will be for an amount, if any, that would be paid to such party (expressed as a negative number) or by such party (expressed as a positive number) in consideration of an agreement between such party (taking into account any existing Credit Support Document with respect to the obligations of such party) and the quoting Reference Market-maker to enter into a transaction (the “Replacement Transaction”) that would have the effect of preserving for such party the economic equivalent of any payment or delivery (whether the underlying obligation was absolute or contingent and assuming the satisfaction of each applicable condition precedent) by the parties under Section 2(a)(i) in respect of such Terminated Transaction or group of Terminated Transactions that would, but for the occurrence of the relevant Early Termination Date, have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0" w:right="239" w:bottom="1440" w:gutter="0" w:footer="0" w:header="0"/>
        </w:sectPr>
      </w:pPr>
    </w:p>
    <w:bookmarkStart w:id="116" w:name="page117"/>
    <w:bookmarkEnd w:id="116"/>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been required after that date. For this purpose, Unpaid Amounts in respect of the Terminated Transaction or group of Terminated Transactions are to be excluded but, without limitation, any payment or delivery that would, but for the relevant Early Termination Date, have been required (assuming satisfaction of each applicable condition precedent) after that Early Termination Date is to be included. The Replacement Transaction would be subject to such documentation as such party and the Reference Market-maker may, in good faith, agree. The party making the determination (or its agent) will request each Reference Market maker to provide its quotation to the extent reasonably practicable as of the same day and time (without regard to different time zones) on or as soon as reasonably practicable after the relevant Early Termination Date. The day and time as of which those quotations are to be obtained will be selected in good faith by the party obliged to make a determination under Section 6(e), and, if each party is so obliged, after consultation with the other. If more than three quotations are provided, the Market Quotation will be the arithmetic mean of the quotations, without regard to the quotations having the highest and lowest values. If exactly three such quotations are provided, the Market Quotation will be the quotation remaining after disregarding the highest and lowest quotations. For this purpose, if more than one quotation has the same highest value or lowest value, then one of such quotations shall be disregarded. If fewer than three quotations are provided, it will be deemed that the Market Quotation in respect of such Terminated Transaction or group of Terminated Transactions cannot be determined.</w:t>
      </w:r>
    </w:p>
    <w:p>
      <w:pPr>
        <w:spacing w:after="0" w:line="12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 xml:space="preserve">“Non-default Rate” </w:t>
      </w:r>
      <w:r>
        <w:rPr>
          <w:rFonts w:ascii="Arial" w:cs="Arial" w:eastAsia="Arial" w:hAnsi="Arial"/>
          <w:sz w:val="18"/>
          <w:szCs w:val="18"/>
          <w:color w:val="auto"/>
        </w:rPr>
        <w:t>means a rate per annum equal to the cost (without proof or evidence of any actual cost) to the Non-defaulting Party (as certified by it) if it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were to fund the relevant amount.</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“Non-defaulting Party” </w:t>
      </w:r>
      <w:r>
        <w:rPr>
          <w:rFonts w:ascii="Arial" w:cs="Arial" w:eastAsia="Arial" w:hAnsi="Arial"/>
          <w:sz w:val="18"/>
          <w:szCs w:val="18"/>
          <w:color w:val="auto"/>
        </w:rPr>
        <w:t>has the meaning specified in Section 6(a).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“Office” </w:t>
      </w:r>
      <w:r>
        <w:rPr>
          <w:rFonts w:ascii="Arial" w:cs="Arial" w:eastAsia="Arial" w:hAnsi="Arial"/>
          <w:sz w:val="18"/>
          <w:szCs w:val="18"/>
          <w:color w:val="auto"/>
        </w:rPr>
        <w:t>means a branch or office of a party, which may be such party’s head or home office.</w:t>
      </w:r>
    </w:p>
    <w:p>
      <w:pPr>
        <w:spacing w:after="0" w:line="171"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 xml:space="preserve">“Potential Event of Default” </w:t>
      </w:r>
      <w:r>
        <w:rPr>
          <w:rFonts w:ascii="Arial" w:cs="Arial" w:eastAsia="Arial" w:hAnsi="Arial"/>
          <w:sz w:val="16"/>
          <w:szCs w:val="16"/>
          <w:color w:val="auto"/>
        </w:rPr>
        <w:t>means any event which, with the giving of notice or the lapse of time or both, would constitute an Event of Default.</w:t>
      </w:r>
    </w:p>
    <w:p>
      <w:pPr>
        <w:spacing w:after="0" w:line="194"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b w:val="1"/>
          <w:bCs w:val="1"/>
          <w:i w:val="1"/>
          <w:iCs w:val="1"/>
          <w:color w:val="auto"/>
        </w:rPr>
        <w:t xml:space="preserve">“Reference Market-makers” </w:t>
      </w:r>
      <w:r>
        <w:rPr>
          <w:rFonts w:ascii="Arial" w:cs="Arial" w:eastAsia="Arial" w:hAnsi="Arial"/>
          <w:sz w:val="16"/>
          <w:szCs w:val="16"/>
          <w:color w:val="auto"/>
        </w:rPr>
        <w:t>means four leading dealers in the relevant market selected by the party determining a Market Quotation in good faith (a) from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among dealers of the highest credit standing which satisfy all the criteria that such party applies generally at the time in deciding whether to offer or to make an extension of credit and (b) to the extent practicable, from among such dealers having an office in the same city.</w:t>
      </w:r>
    </w:p>
    <w:p>
      <w:pPr>
        <w:spacing w:after="0" w:line="107"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b w:val="1"/>
          <w:bCs w:val="1"/>
          <w:i w:val="1"/>
          <w:iCs w:val="1"/>
          <w:color w:val="auto"/>
        </w:rPr>
        <w:t xml:space="preserve">“Relevant Jurisdiction” </w:t>
      </w:r>
      <w:r>
        <w:rPr>
          <w:rFonts w:ascii="Arial" w:cs="Arial" w:eastAsia="Arial" w:hAnsi="Arial"/>
          <w:sz w:val="18"/>
          <w:szCs w:val="18"/>
          <w:color w:val="auto"/>
        </w:rPr>
        <w:t>means, with respect to a party, the jurisdictions (a) in which the party is incorporated, organised, managed and controlled or considered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have its seat, (b) where an Office through which the party is acting for purposes of this Agreement is located, (c) in which the party executes this Agreement and (d) in relation to any payment, from or through which such payment is made.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“Scheduled Payment Date” </w:t>
      </w:r>
      <w:r>
        <w:rPr>
          <w:rFonts w:ascii="Arial" w:cs="Arial" w:eastAsia="Arial" w:hAnsi="Arial"/>
          <w:sz w:val="18"/>
          <w:szCs w:val="18"/>
          <w:color w:val="auto"/>
        </w:rPr>
        <w:t>means a date on which a payment or delivery is to be made under Section 2(a)(i) with respect to a Transaction.</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“Set-off” </w:t>
      </w:r>
      <w:r>
        <w:rPr>
          <w:rFonts w:ascii="Arial" w:cs="Arial" w:eastAsia="Arial" w:hAnsi="Arial"/>
          <w:sz w:val="18"/>
          <w:szCs w:val="18"/>
          <w:color w:val="auto"/>
        </w:rPr>
        <w:t>means set-off, offset, combination of accounts, right of retention or withholding or similar right or requirement to which the payer of an amount under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6 is entitled or subject (whether arising under this Agreement, another contract, applicable law or otherwise) that is exercised by, or imposed on, such payer.</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“Settlement Amount” </w:t>
      </w:r>
      <w:r>
        <w:rPr>
          <w:rFonts w:ascii="Arial" w:cs="Arial" w:eastAsia="Arial" w:hAnsi="Arial"/>
          <w:sz w:val="18"/>
          <w:szCs w:val="18"/>
          <w:color w:val="auto"/>
        </w:rPr>
        <w:t>means, with respect to a party and any Early Termination Date, the sum of:—</w:t>
      </w:r>
    </w:p>
    <w:p>
      <w:pPr>
        <w:spacing w:after="0" w:line="90" w:lineRule="exact"/>
        <w:rPr>
          <w:sz w:val="20"/>
          <w:szCs w:val="20"/>
          <w:color w:val="auto"/>
        </w:rPr>
      </w:pPr>
    </w:p>
    <w:p>
      <w:pPr>
        <w:ind w:right="580" w:firstLine="8"/>
        <w:spacing w:after="0" w:line="268" w:lineRule="auto"/>
        <w:tabs>
          <w:tab w:leader="none" w:pos="23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Termination Currency Equivalent of the Market Quotations (whether positive or negative) for each Terminated Transaction or group of Terminated Transactions for which a Market Quotation is determined; and</w:t>
      </w:r>
    </w:p>
    <w:p>
      <w:pPr>
        <w:spacing w:after="0" w:line="131" w:lineRule="exact"/>
        <w:rPr>
          <w:rFonts w:ascii="Arial" w:cs="Arial" w:eastAsia="Arial" w:hAnsi="Arial"/>
          <w:sz w:val="18"/>
          <w:szCs w:val="18"/>
          <w:color w:val="auto"/>
        </w:rPr>
      </w:pPr>
    </w:p>
    <w:p>
      <w:pPr>
        <w:ind w:right="480" w:firstLine="8"/>
        <w:spacing w:after="0" w:line="259" w:lineRule="auto"/>
        <w:tabs>
          <w:tab w:leader="none" w:pos="249" w:val="left"/>
        </w:tabs>
        <w:numPr>
          <w:ilvl w:val="0"/>
          <w:numId w:val="212"/>
        </w:numPr>
        <w:rPr>
          <w:rFonts w:ascii="Arial" w:cs="Arial" w:eastAsia="Arial" w:hAnsi="Arial"/>
          <w:sz w:val="18"/>
          <w:szCs w:val="18"/>
          <w:color w:val="auto"/>
        </w:rPr>
      </w:pPr>
      <w:r>
        <w:rPr>
          <w:rFonts w:ascii="Arial" w:cs="Arial" w:eastAsia="Arial" w:hAnsi="Arial"/>
          <w:sz w:val="18"/>
          <w:szCs w:val="18"/>
          <w:color w:val="auto"/>
        </w:rPr>
        <w:t>such party’s Loss (whether positive or negative and without reference to any Unpaid Amounts) for each Terminated Transaction or group of Terminated Transactions for which a Market Quotation cannot be determined or would not (in the reasonable belief of the party making the determination) produce a commercially reasonable result.</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“Specified Entity” </w:t>
      </w:r>
      <w:r>
        <w:rPr>
          <w:rFonts w:ascii="Arial" w:cs="Arial" w:eastAsia="Arial" w:hAnsi="Arial"/>
          <w:sz w:val="18"/>
          <w:szCs w:val="18"/>
          <w:color w:val="auto"/>
        </w:rPr>
        <w:t>has the meaning specified in the Schedule.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280" w:right="259" w:bottom="1440" w:gutter="0" w:footer="0" w:header="0"/>
        </w:sectPr>
      </w:pPr>
    </w:p>
    <w:bookmarkStart w:id="117" w:name="page118"/>
    <w:bookmarkEnd w:id="117"/>
    <w:p>
      <w:pPr>
        <w:ind w:right="100"/>
        <w:spacing w:after="0" w:line="268" w:lineRule="auto"/>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“Specified Indebtedness” </w:t>
      </w:r>
      <w:r>
        <w:rPr>
          <w:rFonts w:ascii="Arial" w:cs="Arial" w:eastAsia="Arial" w:hAnsi="Arial"/>
          <w:sz w:val="18"/>
          <w:szCs w:val="18"/>
          <w:color w:val="auto"/>
        </w:rPr>
        <w:t>means, subject to the Schedule, any obligation (whether present or future, contingent or otherwise, as principal or surety or otherwise)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respect of borrowed money.</w:t>
      </w:r>
    </w:p>
    <w:p>
      <w:pPr>
        <w:spacing w:after="0" w:line="132"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“Specified Transaction” </w:t>
      </w:r>
      <w:r>
        <w:rPr>
          <w:rFonts w:ascii="Arial" w:cs="Arial" w:eastAsia="Arial" w:hAnsi="Arial"/>
          <w:sz w:val="16"/>
          <w:szCs w:val="16"/>
          <w:color w:val="auto"/>
        </w:rPr>
        <w:t>means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subject to the Schedule, (a) any transaction (including an agreement with respect thereto) now existing or hereafter entered into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between one party to this Agreement (or any Credit Support Provider of such party or any applicable Specified Entity of such party) and the other party to this Agreement (or any Credit Support Provider of such other party or any applicable Specified Entity of such other party) which is a rate swap transaction, basis swap, forward rate transaction, commodity swap, commodity option, equity or equity index swap, equity or equity index option, bond option, interest rate option, foreign exchange transaction, cap transaction, floor transaction, collar transaction, currency swap transaction, cross-currency rate swap transaction, currency option or any other similar transaction (including any option with respect to any of these transactions), (b) any combination of these transactions and (c) any other transaction identified as a Specified Transaction in this Agreement or the relevant confirmation.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“Stamp Tax” </w:t>
      </w:r>
      <w:r>
        <w:rPr>
          <w:rFonts w:ascii="Arial" w:cs="Arial" w:eastAsia="Arial" w:hAnsi="Arial"/>
          <w:sz w:val="18"/>
          <w:szCs w:val="18"/>
          <w:color w:val="auto"/>
        </w:rPr>
        <w:t>means any stamp, registration, documentation or similar tax.</w:t>
      </w:r>
    </w:p>
    <w:p>
      <w:pPr>
        <w:spacing w:after="0" w:line="171"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b w:val="1"/>
          <w:bCs w:val="1"/>
          <w:i w:val="1"/>
          <w:iCs w:val="1"/>
          <w:color w:val="auto"/>
        </w:rPr>
        <w:t xml:space="preserve">“Tax” </w:t>
      </w:r>
      <w:r>
        <w:rPr>
          <w:rFonts w:ascii="Arial" w:cs="Arial" w:eastAsia="Arial" w:hAnsi="Arial"/>
          <w:sz w:val="18"/>
          <w:szCs w:val="18"/>
          <w:color w:val="auto"/>
        </w:rPr>
        <w:t>means any present or future tax, levy, impost, duty, charge, assessment or fee of any nature (including interest, penalties and additions thereto) that 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imposed by any government or other taxing authority in respect of any payment under this Agreement other than a stamp, registration, documentation or similar tax.</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“Tax Event” </w:t>
      </w:r>
      <w:r>
        <w:rPr>
          <w:rFonts w:ascii="Arial" w:cs="Arial" w:eastAsia="Arial" w:hAnsi="Arial"/>
          <w:sz w:val="18"/>
          <w:szCs w:val="18"/>
          <w:color w:val="auto"/>
        </w:rPr>
        <w:t>has the meaning specified in Section 5(b).</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“Tax Event Upon Merger” </w:t>
      </w:r>
      <w:r>
        <w:rPr>
          <w:rFonts w:ascii="Arial" w:cs="Arial" w:eastAsia="Arial" w:hAnsi="Arial"/>
          <w:sz w:val="18"/>
          <w:szCs w:val="18"/>
          <w:color w:val="auto"/>
        </w:rPr>
        <w:t>has the meaning specified in Section 5(b).</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 xml:space="preserve">“Terminated Transactions” </w:t>
      </w:r>
      <w:r>
        <w:rPr>
          <w:rFonts w:ascii="Arial" w:cs="Arial" w:eastAsia="Arial" w:hAnsi="Arial"/>
          <w:sz w:val="18"/>
          <w:szCs w:val="18"/>
          <w:color w:val="auto"/>
        </w:rPr>
        <w:t>means with respect to any Early Termination Date (a) if resulting from a Termination Event, all Affected Transactions and (b) if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resulting from an Event of Default, all Transactions (in either case) in effect immediately before the effectiveness of the notice designating that Early Termination Date (or, if “Automatic Early Termination” applies, immediately before that Early Termination Date).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“Termination Currency” </w:t>
      </w:r>
      <w:r>
        <w:rPr>
          <w:rFonts w:ascii="Arial" w:cs="Arial" w:eastAsia="Arial" w:hAnsi="Arial"/>
          <w:sz w:val="18"/>
          <w:szCs w:val="18"/>
          <w:color w:val="auto"/>
        </w:rPr>
        <w:t>has the meaning specified in the Schedule.</w:t>
      </w:r>
    </w:p>
    <w:p>
      <w:pPr>
        <w:spacing w:after="0" w:line="17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b w:val="1"/>
          <w:bCs w:val="1"/>
          <w:i w:val="1"/>
          <w:iCs w:val="1"/>
          <w:color w:val="auto"/>
        </w:rPr>
        <w:t xml:space="preserve">“Termination Currency Equivalent” </w:t>
      </w:r>
      <w:r>
        <w:rPr>
          <w:rFonts w:ascii="Arial" w:cs="Arial" w:eastAsia="Arial" w:hAnsi="Arial"/>
          <w:sz w:val="18"/>
          <w:szCs w:val="18"/>
          <w:color w:val="auto"/>
        </w:rPr>
        <w:t>means, in respect of any amount denominated in the Termination Currency, such Termination Currency amount and,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respect of any amount denominated in a currency other than the Termination Currency (the “Other Currency”), the amount in the Termination Currency determined by the party making the relevant determination as being required to purchase such amount of such Other Currency as at the relevant Early Termination Date, or, if the relevant Market Quotation or Loss (as the case may be), is determined as of a later date, that later date, with the Termination Currency at the rate equal to the spot exchange rate of the foreign exchange agent (selected as provided below) for the purchase of such Other Currency with the Termination Currency at or about 11:00 a.m. (in the city in which such foreign exchange agent is located) on such date as would be customary for the determination of such a rate for the purchase of such Other Currency for value on the relevant Early Termination Date or that later date. The foreign exchange agent will, if only one party is obliged to make a determination under Section 6(e), be selected in good faith by that party and otherwise will be agreed by the parties.</w:t>
      </w:r>
    </w:p>
    <w:p>
      <w:pPr>
        <w:spacing w:after="0" w:line="15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 xml:space="preserve">“Termination Event” </w:t>
      </w:r>
      <w:r>
        <w:rPr>
          <w:rFonts w:ascii="Arial" w:cs="Arial" w:eastAsia="Arial" w:hAnsi="Arial"/>
          <w:sz w:val="18"/>
          <w:szCs w:val="18"/>
          <w:color w:val="auto"/>
        </w:rPr>
        <w:t>means an Illegality, a Tax Event or a Tax Event Upon Merger or, if specified to be applicable, a Credit Event Upon Merger or an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Termination Event.</w:t>
      </w:r>
    </w:p>
    <w:p>
      <w:pPr>
        <w:spacing w:after="0" w:line="132"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b w:val="1"/>
          <w:bCs w:val="1"/>
          <w:i w:val="1"/>
          <w:iCs w:val="1"/>
          <w:color w:val="auto"/>
        </w:rPr>
        <w:t xml:space="preserve">“Termination Rate” </w:t>
      </w:r>
      <w:r>
        <w:rPr>
          <w:rFonts w:ascii="Arial" w:cs="Arial" w:eastAsia="Arial" w:hAnsi="Arial"/>
          <w:sz w:val="18"/>
          <w:szCs w:val="18"/>
          <w:color w:val="auto"/>
        </w:rPr>
        <w:t>means a rate per annum equal to the arithmetic mean of the cost (without proof or evidence of any actual cost) to each party (as certified by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party) if it were to fund or of funding such amounts.</w:t>
      </w:r>
    </w:p>
    <w:p>
      <w:pPr>
        <w:spacing w:after="0" w:line="132" w:lineRule="exact"/>
        <w:rPr>
          <w:sz w:val="20"/>
          <w:szCs w:val="20"/>
          <w:color w:val="auto"/>
        </w:rPr>
      </w:pPr>
    </w:p>
    <w:p>
      <w:pPr>
        <w:ind w:right="340"/>
        <w:spacing w:after="0" w:line="294" w:lineRule="auto"/>
        <w:rPr>
          <w:sz w:val="20"/>
          <w:szCs w:val="20"/>
          <w:color w:val="auto"/>
        </w:rPr>
      </w:pPr>
      <w:r>
        <w:rPr>
          <w:rFonts w:ascii="Arial" w:cs="Arial" w:eastAsia="Arial" w:hAnsi="Arial"/>
          <w:sz w:val="16"/>
          <w:szCs w:val="16"/>
          <w:b w:val="1"/>
          <w:bCs w:val="1"/>
          <w:i w:val="1"/>
          <w:iCs w:val="1"/>
          <w:color w:val="auto"/>
        </w:rPr>
        <w:t xml:space="preserve">“Unpaid Amounts” </w:t>
      </w:r>
      <w:r>
        <w:rPr>
          <w:rFonts w:ascii="Arial" w:cs="Arial" w:eastAsia="Arial" w:hAnsi="Arial"/>
          <w:sz w:val="16"/>
          <w:szCs w:val="16"/>
          <w:color w:val="auto"/>
        </w:rPr>
        <w:t>owing to any party means, with respect to an Early Termination Date, the aggregate of (a) in respect of all Terminated Transactions,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amounts that became payable (or that would have become payable but for Section 2(a)(iii)) to such party under Section 2(a)(i) on or prior to such Early Termination Date and which remain unpaid as at such Early Termination Date and (b) in respect of each Terminated Transaction, for each obligation under Section 2(a)(i) which was (or would have been but for Section 2(a) (iii)) required to be settled by delivery to such party on or prior to such Early Termination Date and which has not been so settled as at such Early Termination Date, an amount equal to the fair market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118" w:name="page119"/>
    <w:bookmarkEnd w:id="118"/>
    <w:p>
      <w:pPr>
        <w:ind w:right="300"/>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value of that which was (or would have been) required to be delivered as of the originally scheduled date for delivery, in each case together with (to the extent permitted under applicable law) interest, in the currency of such amounts, from (and including) the date such amounts or obligations were</w:t>
      </w:r>
    </w:p>
    <w:p>
      <w:pPr>
        <w:spacing w:after="0" w:line="281" w:lineRule="auto"/>
        <w:rPr>
          <w:sz w:val="20"/>
          <w:szCs w:val="20"/>
          <w:color w:val="auto"/>
        </w:rPr>
      </w:pPr>
      <w:r>
        <w:rPr>
          <w:rFonts w:ascii="Arial" w:cs="Arial" w:eastAsia="Arial" w:hAnsi="Arial"/>
          <w:sz w:val="16"/>
          <w:szCs w:val="16"/>
          <w:color w:val="auto"/>
        </w:rPr>
        <w:t>or would have been required to have been paid or performed to (but excluding) such Early Termination Date, at the Applicable Rate. Such amounts of interest will be calculated on the basis of daily compounding and the actual number of days elapsed. The fair market value of any obligation referred to in clause</w:t>
      </w:r>
    </w:p>
    <w:p>
      <w:pPr>
        <w:spacing w:after="0" w:line="1" w:lineRule="exact"/>
        <w:rPr>
          <w:sz w:val="20"/>
          <w:szCs w:val="20"/>
          <w:color w:val="auto"/>
        </w:rPr>
      </w:pPr>
    </w:p>
    <w:p>
      <w:pPr>
        <w:ind w:right="140" w:firstLine="8"/>
        <w:spacing w:after="0" w:line="261" w:lineRule="auto"/>
        <w:tabs>
          <w:tab w:leader="none" w:pos="249" w:val="left"/>
        </w:tabs>
        <w:numPr>
          <w:ilvl w:val="0"/>
          <w:numId w:val="213"/>
        </w:numPr>
        <w:rPr>
          <w:rFonts w:ascii="Arial" w:cs="Arial" w:eastAsia="Arial" w:hAnsi="Arial"/>
          <w:sz w:val="18"/>
          <w:szCs w:val="18"/>
          <w:color w:val="auto"/>
        </w:rPr>
      </w:pPr>
      <w:r>
        <w:rPr>
          <w:rFonts w:ascii="Arial" w:cs="Arial" w:eastAsia="Arial" w:hAnsi="Arial"/>
          <w:sz w:val="18"/>
          <w:szCs w:val="18"/>
          <w:color w:val="auto"/>
        </w:rPr>
        <w:t>above shall be reasonably determined by the party obliged to make the determination under Section 6(e) or, if each party is so obliged, it shall be the average of the Termination Currency Equivalents of the fair market values reasonably determined by both parties.</w:t>
      </w:r>
    </w:p>
    <w:p>
      <w:pPr>
        <w:spacing w:after="0" w:line="138"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 WITNESS WHEREOF the parties have executed this document on the respective dates specified below with effect from the date specified on the first page of this document.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460" w:type="dxa"/>
            <w:vAlign w:val="bottom"/>
          </w:tcPr>
          <w:p>
            <w:pPr>
              <w:jc w:val="center"/>
              <w:ind w:right="492"/>
              <w:spacing w:after="0"/>
              <w:rPr>
                <w:sz w:val="20"/>
                <w:szCs w:val="20"/>
                <w:color w:val="auto"/>
              </w:rPr>
            </w:pPr>
            <w:r>
              <w:rPr>
                <w:rFonts w:ascii="Arial" w:cs="Arial" w:eastAsia="Arial" w:hAnsi="Arial"/>
                <w:sz w:val="18"/>
                <w:szCs w:val="18"/>
                <w:b w:val="1"/>
                <w:bCs w:val="1"/>
                <w:color w:val="auto"/>
                <w:w w:val="98"/>
              </w:rPr>
              <w:t>LEHMAN BROTHERS</w:t>
            </w:r>
          </w:p>
        </w:tc>
        <w:tc>
          <w:tcPr>
            <w:tcW w:w="17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580" w:type="dxa"/>
            <w:vAlign w:val="bottom"/>
          </w:tcPr>
          <w:p>
            <w:pPr>
              <w:jc w:val="center"/>
              <w:ind w:right="492"/>
              <w:spacing w:after="0"/>
              <w:rPr>
                <w:sz w:val="20"/>
                <w:szCs w:val="20"/>
                <w:color w:val="auto"/>
              </w:rPr>
            </w:pPr>
            <w:r>
              <w:rPr>
                <w:rFonts w:ascii="Arial" w:cs="Arial" w:eastAsia="Arial" w:hAnsi="Arial"/>
                <w:sz w:val="18"/>
                <w:szCs w:val="18"/>
                <w:b w:val="1"/>
                <w:bCs w:val="1"/>
                <w:color w:val="auto"/>
              </w:rPr>
              <w:t>NATIONAL CINEMEDIA, LLC</w:t>
            </w:r>
          </w:p>
        </w:tc>
      </w:tr>
      <w:tr>
        <w:trPr>
          <w:trHeight w:val="228"/>
        </w:trPr>
        <w:tc>
          <w:tcPr>
            <w:tcW w:w="580" w:type="dxa"/>
            <w:vAlign w:val="bottom"/>
          </w:tcPr>
          <w:p>
            <w:pPr>
              <w:spacing w:after="0"/>
              <w:rPr>
                <w:sz w:val="19"/>
                <w:szCs w:val="19"/>
                <w:color w:val="auto"/>
              </w:rPr>
            </w:pPr>
          </w:p>
        </w:tc>
        <w:tc>
          <w:tcPr>
            <w:tcW w:w="4460" w:type="dxa"/>
            <w:vAlign w:val="bottom"/>
          </w:tcPr>
          <w:p>
            <w:pPr>
              <w:jc w:val="center"/>
              <w:ind w:right="492"/>
              <w:spacing w:after="0"/>
              <w:rPr>
                <w:sz w:val="20"/>
                <w:szCs w:val="20"/>
                <w:color w:val="auto"/>
              </w:rPr>
            </w:pPr>
            <w:r>
              <w:rPr>
                <w:rFonts w:ascii="Arial" w:cs="Arial" w:eastAsia="Arial" w:hAnsi="Arial"/>
                <w:sz w:val="18"/>
                <w:szCs w:val="18"/>
                <w:b w:val="1"/>
                <w:bCs w:val="1"/>
                <w:color w:val="auto"/>
                <w:w w:val="99"/>
              </w:rPr>
              <w:t>SPECIAL FINANCING INC.</w:t>
            </w:r>
          </w:p>
        </w:tc>
        <w:tc>
          <w:tcPr>
            <w:tcW w:w="1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580" w:type="dxa"/>
            <w:vAlign w:val="bottom"/>
          </w:tcPr>
          <w:p>
            <w:pPr>
              <w:spacing w:after="0"/>
              <w:rPr>
                <w:sz w:val="19"/>
                <w:szCs w:val="19"/>
                <w:color w:val="auto"/>
              </w:rPr>
            </w:pPr>
          </w:p>
        </w:tc>
      </w:tr>
      <w:tr>
        <w:trPr>
          <w:trHeight w:val="230"/>
        </w:trPr>
        <w:tc>
          <w:tcPr>
            <w:tcW w:w="580" w:type="dxa"/>
            <w:vAlign w:val="bottom"/>
          </w:tcPr>
          <w:p>
            <w:pPr>
              <w:spacing w:after="0"/>
              <w:rPr>
                <w:sz w:val="19"/>
                <w:szCs w:val="19"/>
                <w:color w:val="auto"/>
              </w:rPr>
            </w:pPr>
          </w:p>
        </w:tc>
        <w:tc>
          <w:tcPr>
            <w:tcW w:w="4460" w:type="dxa"/>
            <w:vAlign w:val="bottom"/>
          </w:tcPr>
          <w:p>
            <w:pPr>
              <w:jc w:val="center"/>
              <w:ind w:right="492"/>
              <w:spacing w:after="0"/>
              <w:rPr>
                <w:sz w:val="20"/>
                <w:szCs w:val="20"/>
                <w:color w:val="auto"/>
              </w:rPr>
            </w:pPr>
            <w:r>
              <w:rPr>
                <w:rFonts w:ascii="Arial" w:cs="Arial" w:eastAsia="Arial" w:hAnsi="Arial"/>
                <w:sz w:val="18"/>
                <w:szCs w:val="18"/>
                <w:i w:val="1"/>
                <w:iCs w:val="1"/>
                <w:color w:val="auto"/>
                <w:w w:val="91"/>
              </w:rPr>
              <w:t>(Name of Party)</w:t>
            </w:r>
          </w:p>
        </w:tc>
        <w:tc>
          <w:tcPr>
            <w:tcW w:w="1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580" w:type="dxa"/>
            <w:vAlign w:val="bottom"/>
          </w:tcPr>
          <w:p>
            <w:pPr>
              <w:jc w:val="center"/>
              <w:ind w:right="472"/>
              <w:spacing w:after="0"/>
              <w:rPr>
                <w:sz w:val="20"/>
                <w:szCs w:val="20"/>
                <w:color w:val="auto"/>
              </w:rPr>
            </w:pPr>
            <w:r>
              <w:rPr>
                <w:rFonts w:ascii="Arial" w:cs="Arial" w:eastAsia="Arial" w:hAnsi="Arial"/>
                <w:sz w:val="18"/>
                <w:szCs w:val="18"/>
                <w:i w:val="1"/>
                <w:iCs w:val="1"/>
                <w:color w:val="auto"/>
                <w:w w:val="89"/>
              </w:rPr>
              <w:t>(Name of Party)</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Jacqueline M. Didier</w:t>
            </w:r>
          </w:p>
        </w:tc>
        <w:tc>
          <w:tcPr>
            <w:tcW w:w="1740" w:type="dxa"/>
            <w:vAlign w:val="bottom"/>
          </w:tcPr>
          <w:p>
            <w:pPr>
              <w:ind w:left="1220"/>
              <w:spacing w:after="0"/>
              <w:rPr>
                <w:sz w:val="20"/>
                <w:szCs w:val="20"/>
                <w:color w:val="auto"/>
              </w:rPr>
            </w:pPr>
            <w:r>
              <w:rPr>
                <w:rFonts w:ascii="Arial" w:cs="Arial" w:eastAsia="Arial" w:hAnsi="Arial"/>
                <w:sz w:val="18"/>
                <w:szCs w:val="18"/>
                <w:color w:val="auto"/>
              </w:rPr>
              <w:t>By:</w:t>
            </w:r>
          </w:p>
        </w:tc>
        <w:tc>
          <w:tcPr>
            <w:tcW w:w="60" w:type="dxa"/>
            <w:vAlign w:val="bottom"/>
          </w:tcPr>
          <w:p>
            <w:pPr>
              <w:spacing w:after="0"/>
              <w:rPr>
                <w:sz w:val="24"/>
                <w:szCs w:val="24"/>
                <w:color w:val="auto"/>
              </w:rPr>
            </w:pPr>
          </w:p>
        </w:tc>
        <w:tc>
          <w:tcPr>
            <w:tcW w:w="4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W. Ferrera</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Pr>
          <w:p>
            <w:pPr>
              <w:spacing w:after="0"/>
              <w:rPr>
                <w:sz w:val="20"/>
                <w:szCs w:val="20"/>
                <w:color w:val="auto"/>
              </w:rPr>
            </w:pPr>
            <w:r>
              <w:rPr>
                <w:rFonts w:ascii="Arial" w:cs="Arial" w:eastAsia="Arial" w:hAnsi="Arial"/>
                <w:sz w:val="18"/>
                <w:szCs w:val="18"/>
                <w:color w:val="auto"/>
              </w:rPr>
              <w:t>Jacqueline M. Didier</w:t>
            </w:r>
          </w:p>
        </w:tc>
        <w:tc>
          <w:tcPr>
            <w:tcW w:w="1740" w:type="dxa"/>
            <w:vAlign w:val="bottom"/>
          </w:tcPr>
          <w:p>
            <w:pPr>
              <w:ind w:left="1220"/>
              <w:spacing w:after="0"/>
              <w:rPr>
                <w:sz w:val="20"/>
                <w:szCs w:val="20"/>
                <w:color w:val="auto"/>
              </w:rPr>
            </w:pPr>
            <w:r>
              <w:rPr>
                <w:rFonts w:ascii="Arial" w:cs="Arial" w:eastAsia="Arial" w:hAnsi="Arial"/>
                <w:sz w:val="18"/>
                <w:szCs w:val="18"/>
                <w:color w:val="auto"/>
                <w:w w:val="94"/>
              </w:rPr>
              <w:t>Name:</w:t>
            </w:r>
          </w:p>
        </w:tc>
        <w:tc>
          <w:tcPr>
            <w:tcW w:w="4640" w:type="dxa"/>
            <w:vAlign w:val="bottom"/>
            <w:gridSpan w:val="2"/>
          </w:tcPr>
          <w:p>
            <w:pPr>
              <w:ind w:left="60"/>
              <w:spacing w:after="0"/>
              <w:rPr>
                <w:sz w:val="20"/>
                <w:szCs w:val="20"/>
                <w:color w:val="auto"/>
              </w:rPr>
            </w:pPr>
            <w:r>
              <w:rPr>
                <w:rFonts w:ascii="Arial" w:cs="Arial" w:eastAsia="Arial" w:hAnsi="Arial"/>
                <w:sz w:val="18"/>
                <w:szCs w:val="18"/>
                <w:color w:val="auto"/>
              </w:rPr>
              <w:t>Gary W. Ferrera</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spacing w:after="0"/>
              <w:rPr>
                <w:sz w:val="20"/>
                <w:szCs w:val="20"/>
                <w:color w:val="auto"/>
              </w:rPr>
            </w:pPr>
            <w:r>
              <w:rPr>
                <w:rFonts w:ascii="Arial" w:cs="Arial" w:eastAsia="Arial" w:hAnsi="Arial"/>
                <w:sz w:val="18"/>
                <w:szCs w:val="18"/>
                <w:color w:val="auto"/>
              </w:rPr>
              <w:t>Vice President</w:t>
            </w:r>
          </w:p>
        </w:tc>
        <w:tc>
          <w:tcPr>
            <w:tcW w:w="1740" w:type="dxa"/>
            <w:vAlign w:val="bottom"/>
          </w:tcPr>
          <w:p>
            <w:pPr>
              <w:ind w:left="1220"/>
              <w:spacing w:after="0"/>
              <w:rPr>
                <w:sz w:val="20"/>
                <w:szCs w:val="20"/>
                <w:color w:val="auto"/>
              </w:rPr>
            </w:pPr>
            <w:r>
              <w:rPr>
                <w:rFonts w:ascii="Arial" w:cs="Arial" w:eastAsia="Arial" w:hAnsi="Arial"/>
                <w:sz w:val="18"/>
                <w:szCs w:val="18"/>
                <w:color w:val="auto"/>
              </w:rPr>
              <w:t>Title:</w:t>
            </w:r>
          </w:p>
        </w:tc>
        <w:tc>
          <w:tcPr>
            <w:tcW w:w="4640" w:type="dxa"/>
            <w:vAlign w:val="bottom"/>
            <w:gridSpan w:val="2"/>
          </w:tcPr>
          <w:p>
            <w:pPr>
              <w:ind w:left="60"/>
              <w:spacing w:after="0"/>
              <w:rPr>
                <w:sz w:val="20"/>
                <w:szCs w:val="20"/>
                <w:color w:val="auto"/>
              </w:rPr>
            </w:pPr>
            <w:r>
              <w:rPr>
                <w:rFonts w:ascii="Arial" w:cs="Arial" w:eastAsia="Arial" w:hAnsi="Arial"/>
                <w:sz w:val="18"/>
                <w:szCs w:val="18"/>
                <w:color w:val="auto"/>
              </w:rPr>
              <w:t>CFO/EVP</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460" w:type="dxa"/>
            <w:vAlign w:val="bottom"/>
          </w:tcPr>
          <w:p>
            <w:pPr>
              <w:spacing w:after="0"/>
              <w:rPr>
                <w:sz w:val="19"/>
                <w:szCs w:val="19"/>
                <w:color w:val="auto"/>
              </w:rPr>
            </w:pPr>
          </w:p>
        </w:tc>
        <w:tc>
          <w:tcPr>
            <w:tcW w:w="1740" w:type="dxa"/>
            <w:vAlign w:val="bottom"/>
          </w:tcPr>
          <w:p>
            <w:pPr>
              <w:ind w:left="1220"/>
              <w:spacing w:after="0"/>
              <w:rPr>
                <w:sz w:val="20"/>
                <w:szCs w:val="20"/>
                <w:color w:val="auto"/>
              </w:rPr>
            </w:pPr>
            <w:r>
              <w:rPr>
                <w:rFonts w:ascii="Arial" w:cs="Arial" w:eastAsia="Arial" w:hAnsi="Arial"/>
                <w:sz w:val="18"/>
                <w:szCs w:val="18"/>
                <w:color w:val="auto"/>
              </w:rPr>
              <w:t>Date:</w:t>
            </w:r>
          </w:p>
        </w:tc>
        <w:tc>
          <w:tcPr>
            <w:tcW w:w="4640" w:type="dxa"/>
            <w:vAlign w:val="bottom"/>
            <w:gridSpan w:val="2"/>
          </w:tcPr>
          <w:p>
            <w:pPr>
              <w:ind w:left="60"/>
              <w:spacing w:after="0"/>
              <w:rPr>
                <w:sz w:val="20"/>
                <w:szCs w:val="20"/>
                <w:color w:val="auto"/>
              </w:rPr>
            </w:pPr>
            <w:r>
              <w:rPr>
                <w:rFonts w:ascii="Arial" w:cs="Arial" w:eastAsia="Arial" w:hAnsi="Arial"/>
                <w:sz w:val="18"/>
                <w:szCs w:val="18"/>
                <w:color w:val="auto"/>
              </w:rPr>
              <w:t>September 17, 2007</w:t>
            </w:r>
          </w:p>
        </w:tc>
      </w:tr>
      <w:tr>
        <w:trPr>
          <w:trHeight w:val="365"/>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740" w:type="dxa"/>
            <w:vAlign w:val="bottom"/>
          </w:tcPr>
          <w:p>
            <w:pPr>
              <w:ind w:left="58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24"/>
                <w:szCs w:val="24"/>
                <w:color w:val="auto"/>
              </w:rPr>
            </w:pPr>
          </w:p>
        </w:tc>
        <w:tc>
          <w:tcPr>
            <w:tcW w:w="4580" w:type="dxa"/>
            <w:vAlign w:val="bottom"/>
          </w:tcPr>
          <w:p>
            <w:pPr>
              <w:spacing w:after="0"/>
              <w:rPr>
                <w:sz w:val="24"/>
                <w:szCs w:val="24"/>
                <w:color w:val="auto"/>
              </w:rPr>
            </w:pPr>
          </w:p>
        </w:tc>
      </w:tr>
    </w:tbl>
    <w:p>
      <w:pPr>
        <w:sectPr>
          <w:pgSz w:w="11900" w:h="16838" w:orient="portrait"/>
          <w:cols w:equalWidth="0" w:num="1">
            <w:col w:w="11420"/>
          </w:cols>
          <w:pgMar w:left="240" w:top="280"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1992 ISDA MASTER AGREEMENT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March 2, 2007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LEHMAN BROTHERS SPECIAL FINANCING INC.</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(“Party A”)</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560" w:type="dxa"/>
            <w:vAlign w:val="bottom"/>
          </w:tcPr>
          <w:p>
            <w:pPr>
              <w:jc w:val="center"/>
              <w:ind w:left="1452"/>
              <w:spacing w:after="0"/>
              <w:rPr>
                <w:sz w:val="20"/>
                <w:szCs w:val="20"/>
                <w:color w:val="auto"/>
              </w:rPr>
            </w:pPr>
            <w:r>
              <w:rPr>
                <w:rFonts w:ascii="Arial" w:cs="Arial" w:eastAsia="Arial" w:hAnsi="Arial"/>
                <w:sz w:val="18"/>
                <w:szCs w:val="18"/>
                <w:color w:val="auto"/>
                <w:w w:val="86"/>
              </w:rPr>
              <w:t>and</w:t>
            </w:r>
          </w:p>
        </w:tc>
        <w:tc>
          <w:tcPr>
            <w:tcW w:w="3700" w:type="dxa"/>
            <w:vAlign w:val="bottom"/>
          </w:tcPr>
          <w:p>
            <w:pPr>
              <w:spacing w:after="0"/>
              <w:rPr>
                <w:sz w:val="19"/>
                <w:szCs w:val="19"/>
                <w:color w:val="auto"/>
              </w:rPr>
            </w:pPr>
          </w:p>
        </w:tc>
      </w:tr>
      <w:tr>
        <w:trPr>
          <w:trHeight w:val="366"/>
        </w:trPr>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560" w:type="dxa"/>
            <w:vAlign w:val="bottom"/>
          </w:tcPr>
          <w:p>
            <w:pPr>
              <w:jc w:val="center"/>
              <w:ind w:left="1452"/>
              <w:spacing w:after="0"/>
              <w:rPr>
                <w:sz w:val="20"/>
                <w:szCs w:val="20"/>
                <w:color w:val="auto"/>
              </w:rPr>
            </w:pPr>
            <w:r>
              <w:rPr>
                <w:rFonts w:ascii="Arial" w:cs="Arial" w:eastAsia="Arial" w:hAnsi="Arial"/>
                <w:sz w:val="18"/>
                <w:szCs w:val="18"/>
                <w:b w:val="1"/>
                <w:bCs w:val="1"/>
                <w:color w:val="auto"/>
              </w:rPr>
              <w:t>NATIONAL CINEMEDIA, LLC</w:t>
            </w:r>
          </w:p>
        </w:tc>
        <w:tc>
          <w:tcPr>
            <w:tcW w:w="3700" w:type="dxa"/>
            <w:vAlign w:val="bottom"/>
          </w:tcPr>
          <w:p>
            <w:pPr>
              <w:spacing w:after="0"/>
              <w:rPr>
                <w:sz w:val="24"/>
                <w:szCs w:val="24"/>
                <w:color w:val="auto"/>
              </w:rPr>
            </w:pPr>
          </w:p>
        </w:tc>
      </w:tr>
      <w:tr>
        <w:trPr>
          <w:trHeight w:val="222"/>
        </w:trPr>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560" w:type="dxa"/>
            <w:vAlign w:val="bottom"/>
          </w:tcPr>
          <w:p>
            <w:pPr>
              <w:jc w:val="center"/>
              <w:ind w:left="1472"/>
              <w:spacing w:after="0"/>
              <w:rPr>
                <w:sz w:val="20"/>
                <w:szCs w:val="20"/>
                <w:color w:val="auto"/>
              </w:rPr>
            </w:pPr>
            <w:r>
              <w:rPr>
                <w:rFonts w:ascii="Arial" w:cs="Arial" w:eastAsia="Arial" w:hAnsi="Arial"/>
                <w:sz w:val="18"/>
                <w:szCs w:val="18"/>
                <w:b w:val="1"/>
                <w:bCs w:val="1"/>
                <w:color w:val="auto"/>
                <w:w w:val="89"/>
              </w:rPr>
              <w:t>a Delaware limited liability company</w:t>
            </w:r>
          </w:p>
        </w:tc>
        <w:tc>
          <w:tcPr>
            <w:tcW w:w="3700" w:type="dxa"/>
            <w:vAlign w:val="bottom"/>
          </w:tcPr>
          <w:p>
            <w:pPr>
              <w:spacing w:after="0"/>
              <w:rPr>
                <w:sz w:val="19"/>
                <w:szCs w:val="19"/>
                <w:color w:val="auto"/>
              </w:rPr>
            </w:pPr>
          </w:p>
        </w:tc>
      </w:tr>
      <w:tr>
        <w:trPr>
          <w:trHeight w:val="222"/>
        </w:trPr>
        <w:tc>
          <w:tcPr>
            <w:tcW w:w="5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5560" w:type="dxa"/>
            <w:vAlign w:val="bottom"/>
          </w:tcPr>
          <w:p>
            <w:pPr>
              <w:jc w:val="center"/>
              <w:ind w:left="1472"/>
              <w:spacing w:after="0"/>
              <w:rPr>
                <w:sz w:val="20"/>
                <w:szCs w:val="20"/>
                <w:color w:val="auto"/>
              </w:rPr>
            </w:pPr>
            <w:r>
              <w:rPr>
                <w:rFonts w:ascii="Arial" w:cs="Arial" w:eastAsia="Arial" w:hAnsi="Arial"/>
                <w:sz w:val="18"/>
                <w:szCs w:val="18"/>
                <w:color w:val="auto"/>
                <w:w w:val="96"/>
              </w:rPr>
              <w:t>(“Party B”)</w:t>
            </w:r>
          </w:p>
        </w:tc>
        <w:tc>
          <w:tcPr>
            <w:tcW w:w="3700" w:type="dxa"/>
            <w:vAlign w:val="bottom"/>
          </w:tcPr>
          <w:p>
            <w:pPr>
              <w:spacing w:after="0"/>
              <w:rPr>
                <w:sz w:val="19"/>
                <w:szCs w:val="19"/>
                <w:color w:val="auto"/>
              </w:rPr>
            </w:pPr>
          </w:p>
        </w:tc>
      </w:tr>
      <w:tr>
        <w:trPr>
          <w:trHeight w:val="340"/>
        </w:trPr>
        <w:tc>
          <w:tcPr>
            <w:tcW w:w="7720" w:type="dxa"/>
            <w:vAlign w:val="bottom"/>
            <w:gridSpan w:val="3"/>
          </w:tcPr>
          <w:p>
            <w:pPr>
              <w:spacing w:after="0"/>
              <w:rPr>
                <w:sz w:val="20"/>
                <w:szCs w:val="20"/>
                <w:color w:val="auto"/>
              </w:rPr>
            </w:pPr>
            <w:r>
              <w:rPr>
                <w:rFonts w:ascii="Arial" w:cs="Arial" w:eastAsia="Arial" w:hAnsi="Arial"/>
                <w:sz w:val="18"/>
                <w:szCs w:val="18"/>
                <w:color w:val="auto"/>
              </w:rPr>
              <w:t>Part 1. Termination Provisions.</w:t>
            </w:r>
          </w:p>
        </w:tc>
        <w:tc>
          <w:tcPr>
            <w:tcW w:w="3700" w:type="dxa"/>
            <w:vAlign w:val="bottom"/>
          </w:tcPr>
          <w:p>
            <w:pPr>
              <w:spacing w:after="0"/>
              <w:rPr>
                <w:sz w:val="24"/>
                <w:szCs w:val="24"/>
                <w:color w:val="auto"/>
              </w:rPr>
            </w:pPr>
          </w:p>
        </w:tc>
      </w:tr>
      <w:tr>
        <w:trPr>
          <w:trHeight w:val="20"/>
        </w:trPr>
        <w:tc>
          <w:tcPr>
            <w:tcW w:w="520" w:type="dxa"/>
            <w:vAlign w:val="bottom"/>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r>
      <w:tr>
        <w:trPr>
          <w:trHeight w:val="437"/>
        </w:trPr>
        <w:tc>
          <w:tcPr>
            <w:tcW w:w="7720" w:type="dxa"/>
            <w:vAlign w:val="bottom"/>
            <w:gridSpan w:val="3"/>
          </w:tcPr>
          <w:p>
            <w:pPr>
              <w:spacing w:after="0"/>
              <w:rPr>
                <w:sz w:val="20"/>
                <w:szCs w:val="20"/>
                <w:color w:val="auto"/>
              </w:rPr>
            </w:pPr>
            <w:r>
              <w:rPr>
                <w:rFonts w:ascii="Arial" w:cs="Arial" w:eastAsia="Arial" w:hAnsi="Arial"/>
                <w:sz w:val="18"/>
                <w:szCs w:val="18"/>
                <w:color w:val="auto"/>
              </w:rPr>
              <w:t>(a)  “</w:t>
            </w:r>
            <w:r>
              <w:rPr>
                <w:rFonts w:ascii="Arial" w:cs="Arial" w:eastAsia="Arial" w:hAnsi="Arial"/>
                <w:sz w:val="18"/>
                <w:szCs w:val="18"/>
                <w:b w:val="1"/>
                <w:bCs w:val="1"/>
                <w:color w:val="auto"/>
              </w:rPr>
              <w:t>Specified Entity</w:t>
            </w:r>
            <w:r>
              <w:rPr>
                <w:rFonts w:ascii="Arial" w:cs="Arial" w:eastAsia="Arial" w:hAnsi="Arial"/>
                <w:sz w:val="18"/>
                <w:szCs w:val="18"/>
                <w:color w:val="auto"/>
              </w:rPr>
              <w:t>” means in relation to Party A for the purpose of:</w:t>
            </w:r>
          </w:p>
        </w:tc>
        <w:tc>
          <w:tcPr>
            <w:tcW w:w="3700" w:type="dxa"/>
            <w:vAlign w:val="bottom"/>
          </w:tcPr>
          <w:p>
            <w:pPr>
              <w:spacing w:after="0"/>
              <w:rPr>
                <w:sz w:val="24"/>
                <w:szCs w:val="24"/>
                <w:color w:val="auto"/>
              </w:rPr>
            </w:pPr>
          </w:p>
        </w:tc>
      </w:tr>
      <w:tr>
        <w:trPr>
          <w:trHeight w:val="324"/>
        </w:trPr>
        <w:tc>
          <w:tcPr>
            <w:tcW w:w="7720" w:type="dxa"/>
            <w:vAlign w:val="bottom"/>
            <w:gridSpan w:val="3"/>
          </w:tcPr>
          <w:p>
            <w:pPr>
              <w:ind w:left="360"/>
              <w:spacing w:after="0"/>
              <w:rPr>
                <w:sz w:val="20"/>
                <w:szCs w:val="20"/>
                <w:color w:val="auto"/>
              </w:rPr>
            </w:pPr>
            <w:r>
              <w:rPr>
                <w:rFonts w:ascii="Arial" w:cs="Arial" w:eastAsia="Arial" w:hAnsi="Arial"/>
                <w:sz w:val="18"/>
                <w:szCs w:val="18"/>
                <w:color w:val="auto"/>
              </w:rPr>
              <w:t>Section 5(a)(v) (Default Under Specified Transaction)</w:t>
            </w:r>
          </w:p>
        </w:tc>
        <w:tc>
          <w:tcPr>
            <w:tcW w:w="3700" w:type="dxa"/>
            <w:vAlign w:val="bottom"/>
          </w:tcPr>
          <w:p>
            <w:pPr>
              <w:jc w:val="right"/>
              <w:spacing w:after="0"/>
              <w:rPr>
                <w:sz w:val="20"/>
                <w:szCs w:val="20"/>
                <w:color w:val="auto"/>
              </w:rPr>
            </w:pPr>
            <w:r>
              <w:rPr>
                <w:rFonts w:ascii="Arial" w:cs="Arial" w:eastAsia="Arial" w:hAnsi="Arial"/>
                <w:sz w:val="18"/>
                <w:szCs w:val="18"/>
                <w:color w:val="auto"/>
              </w:rPr>
              <w:t>Lehman Brothers Finance, S.A.</w:t>
            </w:r>
          </w:p>
        </w:tc>
      </w:tr>
      <w:tr>
        <w:trPr>
          <w:trHeight w:val="324"/>
        </w:trPr>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700" w:type="dxa"/>
            <w:vAlign w:val="bottom"/>
          </w:tcPr>
          <w:p>
            <w:pPr>
              <w:jc w:val="right"/>
              <w:spacing w:after="0"/>
              <w:rPr>
                <w:sz w:val="20"/>
                <w:szCs w:val="20"/>
                <w:color w:val="auto"/>
              </w:rPr>
            </w:pPr>
            <w:r>
              <w:rPr>
                <w:rFonts w:ascii="Arial" w:cs="Arial" w:eastAsia="Arial" w:hAnsi="Arial"/>
                <w:sz w:val="18"/>
                <w:szCs w:val="18"/>
                <w:color w:val="auto"/>
              </w:rPr>
              <w:t>Lehman Brothers Commercial Corporation</w:t>
            </w:r>
          </w:p>
        </w:tc>
      </w:tr>
      <w:tr>
        <w:trPr>
          <w:trHeight w:val="324"/>
        </w:trPr>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700" w:type="dxa"/>
            <w:vAlign w:val="bottom"/>
          </w:tcPr>
          <w:p>
            <w:pPr>
              <w:jc w:val="right"/>
              <w:spacing w:after="0"/>
              <w:rPr>
                <w:sz w:val="20"/>
                <w:szCs w:val="20"/>
                <w:color w:val="auto"/>
              </w:rPr>
            </w:pPr>
            <w:r>
              <w:rPr>
                <w:rFonts w:ascii="Arial" w:cs="Arial" w:eastAsia="Arial" w:hAnsi="Arial"/>
                <w:sz w:val="18"/>
                <w:szCs w:val="18"/>
                <w:color w:val="auto"/>
              </w:rPr>
              <w:t>Lehman Brothers Commodity Services Inc.</w:t>
            </w:r>
          </w:p>
        </w:tc>
      </w:tr>
      <w:tr>
        <w:trPr>
          <w:trHeight w:val="324"/>
        </w:trPr>
        <w:tc>
          <w:tcPr>
            <w:tcW w:w="5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5560" w:type="dxa"/>
            <w:vAlign w:val="bottom"/>
          </w:tcPr>
          <w:p>
            <w:pPr>
              <w:spacing w:after="0"/>
              <w:rPr>
                <w:sz w:val="24"/>
                <w:szCs w:val="24"/>
                <w:color w:val="auto"/>
              </w:rPr>
            </w:pPr>
          </w:p>
        </w:tc>
        <w:tc>
          <w:tcPr>
            <w:tcW w:w="3700" w:type="dxa"/>
            <w:vAlign w:val="bottom"/>
          </w:tcPr>
          <w:p>
            <w:pPr>
              <w:jc w:val="right"/>
              <w:spacing w:after="0"/>
              <w:rPr>
                <w:sz w:val="20"/>
                <w:szCs w:val="20"/>
                <w:color w:val="auto"/>
              </w:rPr>
            </w:pPr>
            <w:r>
              <w:rPr>
                <w:rFonts w:ascii="Arial" w:cs="Arial" w:eastAsia="Arial" w:hAnsi="Arial"/>
                <w:sz w:val="18"/>
                <w:szCs w:val="18"/>
                <w:color w:val="auto"/>
              </w:rPr>
              <w:t>Lehman Brothers OTC Derivatives Inc.</w:t>
            </w:r>
          </w:p>
        </w:tc>
      </w:tr>
      <w:tr>
        <w:trPr>
          <w:trHeight w:val="324"/>
        </w:trPr>
        <w:tc>
          <w:tcPr>
            <w:tcW w:w="7720" w:type="dxa"/>
            <w:vAlign w:val="bottom"/>
            <w:gridSpan w:val="3"/>
          </w:tcPr>
          <w:p>
            <w:pPr>
              <w:ind w:left="360"/>
              <w:spacing w:after="0"/>
              <w:rPr>
                <w:sz w:val="20"/>
                <w:szCs w:val="20"/>
                <w:color w:val="auto"/>
              </w:rPr>
            </w:pPr>
            <w:r>
              <w:rPr>
                <w:rFonts w:ascii="Arial" w:cs="Arial" w:eastAsia="Arial" w:hAnsi="Arial"/>
                <w:sz w:val="18"/>
                <w:szCs w:val="18"/>
                <w:color w:val="auto"/>
              </w:rPr>
              <w:t>Section 5(a)(vi) (Cross Default)</w:t>
            </w:r>
          </w:p>
        </w:tc>
        <w:tc>
          <w:tcPr>
            <w:tcW w:w="370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24"/>
        </w:trPr>
        <w:tc>
          <w:tcPr>
            <w:tcW w:w="7720" w:type="dxa"/>
            <w:vAlign w:val="bottom"/>
            <w:gridSpan w:val="3"/>
          </w:tcPr>
          <w:p>
            <w:pPr>
              <w:ind w:left="360"/>
              <w:spacing w:after="0"/>
              <w:rPr>
                <w:sz w:val="20"/>
                <w:szCs w:val="20"/>
                <w:color w:val="auto"/>
              </w:rPr>
            </w:pPr>
            <w:r>
              <w:rPr>
                <w:rFonts w:ascii="Arial" w:cs="Arial" w:eastAsia="Arial" w:hAnsi="Arial"/>
                <w:sz w:val="18"/>
                <w:szCs w:val="18"/>
                <w:color w:val="auto"/>
              </w:rPr>
              <w:t>Section 5(a)(vii) (Bankruptcy)</w:t>
            </w:r>
          </w:p>
        </w:tc>
        <w:tc>
          <w:tcPr>
            <w:tcW w:w="370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18"/>
        </w:trPr>
        <w:tc>
          <w:tcPr>
            <w:tcW w:w="7720" w:type="dxa"/>
            <w:vAlign w:val="bottom"/>
            <w:gridSpan w:val="3"/>
          </w:tcPr>
          <w:p>
            <w:pPr>
              <w:ind w:left="360"/>
              <w:spacing w:after="0"/>
              <w:rPr>
                <w:sz w:val="20"/>
                <w:szCs w:val="20"/>
                <w:color w:val="auto"/>
              </w:rPr>
            </w:pPr>
            <w:r>
              <w:rPr>
                <w:rFonts w:ascii="Arial" w:cs="Arial" w:eastAsia="Arial" w:hAnsi="Arial"/>
                <w:sz w:val="18"/>
                <w:szCs w:val="18"/>
                <w:color w:val="auto"/>
              </w:rPr>
              <w:t>Section 5(b)(v) (Credit Event Upon Merger) and in relation to Party B for the</w:t>
            </w:r>
          </w:p>
        </w:tc>
        <w:tc>
          <w:tcPr>
            <w:tcW w:w="3700" w:type="dxa"/>
            <w:vAlign w:val="bottom"/>
          </w:tcPr>
          <w:p>
            <w:pPr>
              <w:spacing w:after="0"/>
              <w:rPr>
                <w:sz w:val="24"/>
                <w:szCs w:val="24"/>
                <w:color w:val="auto"/>
              </w:rPr>
            </w:pPr>
          </w:p>
        </w:tc>
      </w:tr>
      <w:tr>
        <w:trPr>
          <w:trHeight w:val="222"/>
        </w:trPr>
        <w:tc>
          <w:tcPr>
            <w:tcW w:w="7720" w:type="dxa"/>
            <w:vAlign w:val="bottom"/>
            <w:gridSpan w:val="3"/>
          </w:tcPr>
          <w:p>
            <w:pPr>
              <w:ind w:left="360"/>
              <w:spacing w:after="0"/>
              <w:rPr>
                <w:sz w:val="20"/>
                <w:szCs w:val="20"/>
                <w:color w:val="auto"/>
              </w:rPr>
            </w:pPr>
            <w:r>
              <w:rPr>
                <w:rFonts w:ascii="Arial" w:cs="Arial" w:eastAsia="Arial" w:hAnsi="Arial"/>
                <w:sz w:val="18"/>
                <w:szCs w:val="18"/>
                <w:color w:val="auto"/>
              </w:rPr>
              <w:t>purpose of:</w:t>
            </w:r>
          </w:p>
        </w:tc>
        <w:tc>
          <w:tcPr>
            <w:tcW w:w="370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24"/>
        </w:trPr>
        <w:tc>
          <w:tcPr>
            <w:tcW w:w="7720" w:type="dxa"/>
            <w:vAlign w:val="bottom"/>
            <w:gridSpan w:val="3"/>
          </w:tcPr>
          <w:p>
            <w:pPr>
              <w:ind w:left="360"/>
              <w:spacing w:after="0"/>
              <w:rPr>
                <w:sz w:val="20"/>
                <w:szCs w:val="20"/>
                <w:color w:val="auto"/>
              </w:rPr>
            </w:pPr>
            <w:r>
              <w:rPr>
                <w:rFonts w:ascii="Arial" w:cs="Arial" w:eastAsia="Arial" w:hAnsi="Arial"/>
                <w:sz w:val="18"/>
                <w:szCs w:val="18"/>
                <w:color w:val="auto"/>
              </w:rPr>
              <w:t>Section 5(a)(v) (Default Under Specified Transaction)</w:t>
            </w:r>
          </w:p>
        </w:tc>
        <w:tc>
          <w:tcPr>
            <w:tcW w:w="3700" w:type="dxa"/>
            <w:vAlign w:val="bottom"/>
          </w:tcPr>
          <w:p>
            <w:pPr>
              <w:jc w:val="right"/>
              <w:spacing w:after="0"/>
              <w:rPr>
                <w:sz w:val="20"/>
                <w:szCs w:val="20"/>
                <w:color w:val="auto"/>
              </w:rPr>
            </w:pPr>
            <w:r>
              <w:rPr>
                <w:rFonts w:ascii="Arial" w:cs="Arial" w:eastAsia="Arial" w:hAnsi="Arial"/>
                <w:sz w:val="18"/>
                <w:szCs w:val="18"/>
                <w:color w:val="auto"/>
              </w:rPr>
              <w:t>National CineMedia, Inc.</w:t>
            </w:r>
          </w:p>
        </w:tc>
      </w:tr>
      <w:tr>
        <w:trPr>
          <w:trHeight w:val="324"/>
        </w:trPr>
        <w:tc>
          <w:tcPr>
            <w:tcW w:w="7720" w:type="dxa"/>
            <w:vAlign w:val="bottom"/>
            <w:gridSpan w:val="3"/>
          </w:tcPr>
          <w:p>
            <w:pPr>
              <w:ind w:left="360"/>
              <w:spacing w:after="0"/>
              <w:rPr>
                <w:sz w:val="20"/>
                <w:szCs w:val="20"/>
                <w:color w:val="auto"/>
              </w:rPr>
            </w:pPr>
            <w:r>
              <w:rPr>
                <w:rFonts w:ascii="Arial" w:cs="Arial" w:eastAsia="Arial" w:hAnsi="Arial"/>
                <w:sz w:val="18"/>
                <w:szCs w:val="18"/>
                <w:color w:val="auto"/>
              </w:rPr>
              <w:t>Section 5(a)(vi) (Cross Default)</w:t>
            </w:r>
          </w:p>
        </w:tc>
        <w:tc>
          <w:tcPr>
            <w:tcW w:w="370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24"/>
        </w:trPr>
        <w:tc>
          <w:tcPr>
            <w:tcW w:w="7720" w:type="dxa"/>
            <w:vAlign w:val="bottom"/>
            <w:gridSpan w:val="3"/>
          </w:tcPr>
          <w:p>
            <w:pPr>
              <w:ind w:left="360"/>
              <w:spacing w:after="0"/>
              <w:rPr>
                <w:sz w:val="20"/>
                <w:szCs w:val="20"/>
                <w:color w:val="auto"/>
              </w:rPr>
            </w:pPr>
            <w:r>
              <w:rPr>
                <w:rFonts w:ascii="Arial" w:cs="Arial" w:eastAsia="Arial" w:hAnsi="Arial"/>
                <w:sz w:val="18"/>
                <w:szCs w:val="18"/>
                <w:color w:val="auto"/>
              </w:rPr>
              <w:t>Section 5(a)(vii) (Bankruptcy)</w:t>
            </w:r>
          </w:p>
        </w:tc>
        <w:tc>
          <w:tcPr>
            <w:tcW w:w="370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318"/>
        </w:trPr>
        <w:tc>
          <w:tcPr>
            <w:tcW w:w="7720" w:type="dxa"/>
            <w:vAlign w:val="bottom"/>
            <w:gridSpan w:val="3"/>
          </w:tcPr>
          <w:p>
            <w:pPr>
              <w:ind w:left="360"/>
              <w:spacing w:after="0"/>
              <w:rPr>
                <w:sz w:val="20"/>
                <w:szCs w:val="20"/>
                <w:color w:val="auto"/>
              </w:rPr>
            </w:pPr>
            <w:r>
              <w:rPr>
                <w:rFonts w:ascii="Arial" w:cs="Arial" w:eastAsia="Arial" w:hAnsi="Arial"/>
                <w:sz w:val="18"/>
                <w:szCs w:val="18"/>
                <w:color w:val="auto"/>
              </w:rPr>
              <w:t>Section 5(b)(v) (Credit Event Upon Merger)</w:t>
            </w:r>
          </w:p>
        </w:tc>
        <w:tc>
          <w:tcPr>
            <w:tcW w:w="3700" w:type="dxa"/>
            <w:vAlign w:val="bottom"/>
          </w:tcPr>
          <w:p>
            <w:pPr>
              <w:jc w:val="right"/>
              <w:spacing w:after="0"/>
              <w:rPr>
                <w:sz w:val="20"/>
                <w:szCs w:val="20"/>
                <w:color w:val="auto"/>
              </w:rPr>
            </w:pPr>
            <w:r>
              <w:rPr>
                <w:rFonts w:ascii="Arial" w:cs="Arial" w:eastAsia="Arial" w:hAnsi="Arial"/>
                <w:sz w:val="18"/>
                <w:szCs w:val="18"/>
                <w:color w:val="auto"/>
              </w:rPr>
              <w:t>None</w:t>
            </w:r>
          </w:p>
        </w:tc>
      </w:tr>
      <w:tr>
        <w:trPr>
          <w:trHeight w:val="217"/>
        </w:trPr>
        <w:tc>
          <w:tcPr>
            <w:tcW w:w="7720" w:type="dxa"/>
            <w:vAlign w:val="bottom"/>
            <w:gridSpan w:val="3"/>
          </w:tcPr>
          <w:p>
            <w:pPr>
              <w:spacing w:after="0"/>
              <w:rPr>
                <w:sz w:val="20"/>
                <w:szCs w:val="20"/>
                <w:color w:val="auto"/>
              </w:rPr>
            </w:pPr>
            <w:r>
              <w:rPr>
                <w:rFonts w:ascii="Arial" w:cs="Arial" w:eastAsia="Arial" w:hAnsi="Arial"/>
                <w:sz w:val="18"/>
                <w:szCs w:val="18"/>
                <w:color w:val="auto"/>
              </w:rPr>
              <w:t>(b)</w:t>
            </w:r>
          </w:p>
        </w:tc>
        <w:tc>
          <w:tcPr>
            <w:tcW w:w="3700" w:type="dxa"/>
            <w:vAlign w:val="bottom"/>
          </w:tcPr>
          <w:p>
            <w:pPr>
              <w:spacing w:after="0"/>
              <w:rPr>
                <w:sz w:val="18"/>
                <w:szCs w:val="18"/>
                <w:color w:val="auto"/>
              </w:rPr>
            </w:pPr>
          </w:p>
        </w:tc>
      </w:tr>
    </w:tbl>
    <w:p>
      <w:pPr>
        <w:jc w:val="both"/>
        <w:ind w:left="360" w:right="120"/>
        <w:spacing w:after="0" w:line="25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Specified Transaction</w:t>
      </w:r>
      <w:r>
        <w:rPr>
          <w:rFonts w:ascii="Arial" w:cs="Arial" w:eastAsia="Arial" w:hAnsi="Arial"/>
          <w:sz w:val="18"/>
          <w:szCs w:val="18"/>
          <w:color w:val="auto"/>
        </w:rPr>
        <w:t>” shall have the meaning specified in Section 14 of this Agreement with the addition of the words “credit swap, credit default swap, credit default option, total return swap, credit spread transaction, repurchase transaction, reverse repurchase transaction, buy/sell back transaction” after the word “currency option” in the eighth line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74" w:right="239" w:bottom="1440" w:gutter="0" w:footer="0" w:header="0"/>
        </w:sectPr>
      </w:pPr>
    </w:p>
    <w:bookmarkStart w:id="120" w:name="page121"/>
    <w:bookmarkEnd w:id="120"/>
    <w:p>
      <w:pPr>
        <w:ind w:left="452" w:hanging="452"/>
        <w:spacing w:after="0" w:line="275" w:lineRule="auto"/>
        <w:tabs>
          <w:tab w:leader="none" w:pos="452" w:val="left"/>
        </w:tabs>
        <w:numPr>
          <w:ilvl w:val="0"/>
          <w:numId w:val="21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Cross Default</w:t>
      </w:r>
      <w:r>
        <w:rPr>
          <w:rFonts w:ascii="Arial" w:cs="Arial" w:eastAsia="Arial" w:hAnsi="Arial"/>
          <w:sz w:val="18"/>
          <w:szCs w:val="18"/>
          <w:color w:val="auto"/>
        </w:rPr>
        <w:t>” applies to Party A and Party B. Section 5(a)(vi) is amended by deleting the words “becoming, or becoming capable at such time of” in the seventh line.</w:t>
      </w:r>
    </w:p>
    <w:p>
      <w:pPr>
        <w:spacing w:after="0" w:line="38" w:lineRule="exact"/>
        <w:rPr>
          <w:rFonts w:ascii="Arial" w:cs="Arial" w:eastAsia="Arial" w:hAnsi="Arial"/>
          <w:sz w:val="18"/>
          <w:szCs w:val="18"/>
          <w:color w:val="auto"/>
        </w:rPr>
      </w:pPr>
    </w:p>
    <w:p>
      <w:pPr>
        <w:ind w:left="452" w:right="80"/>
        <w:spacing w:after="0" w:line="255" w:lineRule="auto"/>
        <w:rPr>
          <w:rFonts w:ascii="Arial" w:cs="Arial" w:eastAsia="Arial" w:hAnsi="Arial"/>
          <w:sz w:val="18"/>
          <w:szCs w:val="18"/>
          <w:color w:val="auto"/>
        </w:rPr>
      </w:pPr>
      <w:r>
        <w:rPr>
          <w:rFonts w:ascii="Arial" w:cs="Arial" w:eastAsia="Arial" w:hAnsi="Arial"/>
          <w:sz w:val="18"/>
          <w:szCs w:val="18"/>
          <w:b w:val="1"/>
          <w:bCs w:val="1"/>
          <w:color w:val="auto"/>
        </w:rPr>
        <w:t xml:space="preserve">“Specified Indebtedness” </w:t>
      </w:r>
      <w:r>
        <w:rPr>
          <w:rFonts w:ascii="Arial" w:cs="Arial" w:eastAsia="Arial" w:hAnsi="Arial"/>
          <w:sz w:val="18"/>
          <w:szCs w:val="18"/>
          <w:color w:val="auto"/>
        </w:rPr>
        <w:t>has the meaning specified in Section 14 of this Agreement. In addition, with respect to Party B, “Specified Indebtedness”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include, without limitation, the obligations of Party B under that certain Credit Agreement dated as of February 13, 2007, made by and between Party B, Lehman Brothers Inc. and J.P. Morgan Securities, Inc., as Arrangers, Credit Suisse (USA) LLC and Morgan Stanley Senior Funding, Inc., as Co-Documentation Agents, Lehman Commercial Paper Inc., as Administrative Agent, and the other Lenders party thereto, as the same may be amended, modified, supplemented or replaced from time to time (the </w:t>
      </w:r>
      <w:r>
        <w:rPr>
          <w:rFonts w:ascii="Arial" w:cs="Arial" w:eastAsia="Arial" w:hAnsi="Arial"/>
          <w:sz w:val="18"/>
          <w:szCs w:val="18"/>
          <w:b w:val="1"/>
          <w:bCs w:val="1"/>
          <w:color w:val="auto"/>
        </w:rPr>
        <w:t>“Credit Agreement”</w:t>
      </w:r>
      <w:r>
        <w:rPr>
          <w:rFonts w:ascii="Arial" w:cs="Arial" w:eastAsia="Arial" w:hAnsi="Arial"/>
          <w:sz w:val="18"/>
          <w:szCs w:val="18"/>
          <w:color w:val="auto"/>
        </w:rPr>
        <w:t>) (and to which other lenders, borrowers or other persons may be or become party).</w:t>
      </w:r>
    </w:p>
    <w:p>
      <w:pPr>
        <w:spacing w:after="0" w:line="58" w:lineRule="exact"/>
        <w:rPr>
          <w:rFonts w:ascii="Arial" w:cs="Arial" w:eastAsia="Arial" w:hAnsi="Arial"/>
          <w:sz w:val="18"/>
          <w:szCs w:val="18"/>
          <w:color w:val="auto"/>
        </w:rPr>
      </w:pPr>
    </w:p>
    <w:p>
      <w:pPr>
        <w:ind w:left="452" w:right="720"/>
        <w:spacing w:after="0" w:line="334" w:lineRule="auto"/>
        <w:rPr>
          <w:rFonts w:ascii="Arial" w:cs="Arial" w:eastAsia="Arial" w:hAnsi="Arial"/>
          <w:sz w:val="18"/>
          <w:szCs w:val="18"/>
          <w:color w:val="auto"/>
        </w:rPr>
      </w:pPr>
      <w:r>
        <w:rPr>
          <w:rFonts w:ascii="Arial" w:cs="Arial" w:eastAsia="Arial" w:hAnsi="Arial"/>
          <w:sz w:val="16"/>
          <w:szCs w:val="16"/>
          <w:b w:val="1"/>
          <w:bCs w:val="1"/>
          <w:color w:val="auto"/>
        </w:rPr>
        <w:t xml:space="preserve">“Threshold Amount” </w:t>
      </w:r>
      <w:r>
        <w:rPr>
          <w:rFonts w:ascii="Arial" w:cs="Arial" w:eastAsia="Arial" w:hAnsi="Arial"/>
          <w:sz w:val="16"/>
          <w:szCs w:val="16"/>
          <w:color w:val="auto"/>
        </w:rPr>
        <w:t>means, (1) with respect to Party A, an amount equal to three percent of its Credit Support Provider’s shareholders’ equity,</w:t>
      </w:r>
      <w:r>
        <w:rPr>
          <w:rFonts w:ascii="Arial" w:cs="Arial" w:eastAsia="Arial" w:hAnsi="Arial"/>
          <w:sz w:val="16"/>
          <w:szCs w:val="16"/>
          <w:b w:val="1"/>
          <w:bCs w:val="1"/>
          <w:color w:val="auto"/>
        </w:rPr>
        <w:t xml:space="preserve"> </w:t>
      </w:r>
      <w:r>
        <w:rPr>
          <w:rFonts w:ascii="Arial" w:cs="Arial" w:eastAsia="Arial" w:hAnsi="Arial"/>
          <w:sz w:val="16"/>
          <w:szCs w:val="16"/>
          <w:color w:val="auto"/>
        </w:rPr>
        <w:t>determined in accordance with generally acceptable accounting principles, and (2) with respect to Party B, $25,000,000.</w:t>
      </w:r>
    </w:p>
    <w:p>
      <w:pPr>
        <w:spacing w:after="0" w:line="1" w:lineRule="exact"/>
        <w:rPr>
          <w:rFonts w:ascii="Arial" w:cs="Arial" w:eastAsia="Arial" w:hAnsi="Arial"/>
          <w:sz w:val="18"/>
          <w:szCs w:val="18"/>
          <w:color w:val="auto"/>
        </w:rPr>
      </w:pPr>
    </w:p>
    <w:p>
      <w:pPr>
        <w:ind w:left="452" w:hanging="452"/>
        <w:spacing w:after="0"/>
        <w:tabs>
          <w:tab w:leader="none" w:pos="45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Event Upon Merger</w:t>
      </w:r>
      <w:r>
        <w:rPr>
          <w:rFonts w:ascii="Arial" w:cs="Arial" w:eastAsia="Arial" w:hAnsi="Arial"/>
          <w:sz w:val="18"/>
          <w:szCs w:val="18"/>
          <w:color w:val="auto"/>
        </w:rPr>
        <w:t>” applies to Party A and Party B.</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w:t>
      </w:r>
      <w:r>
        <w:rPr>
          <w:rFonts w:ascii="Arial" w:cs="Arial" w:eastAsia="Arial" w:hAnsi="Arial"/>
          <w:sz w:val="18"/>
          <w:szCs w:val="18"/>
          <w:b w:val="1"/>
          <w:bCs w:val="1"/>
          <w:color w:val="auto"/>
        </w:rPr>
        <w:t>Automatic Early Termination</w:t>
      </w:r>
      <w:r>
        <w:rPr>
          <w:rFonts w:ascii="Arial" w:cs="Arial" w:eastAsia="Arial" w:hAnsi="Arial"/>
          <w:sz w:val="18"/>
          <w:szCs w:val="18"/>
          <w:color w:val="auto"/>
        </w:rPr>
        <w:t>” provision of Section 6(a) of this Agreement will not apply to Party A and will not apply to Party B.</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14"/>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Termination Currency</w:t>
      </w:r>
      <w:r>
        <w:rPr>
          <w:rFonts w:ascii="Arial" w:cs="Arial" w:eastAsia="Arial" w:hAnsi="Arial"/>
          <w:sz w:val="18"/>
          <w:szCs w:val="18"/>
          <w:color w:val="auto"/>
        </w:rPr>
        <w:t>” means United States Dollars (“USD”).</w:t>
      </w:r>
    </w:p>
    <w:p>
      <w:pPr>
        <w:spacing w:after="0" w:line="90" w:lineRule="exact"/>
        <w:rPr>
          <w:rFonts w:ascii="Arial" w:cs="Arial" w:eastAsia="Arial" w:hAnsi="Arial"/>
          <w:sz w:val="18"/>
          <w:szCs w:val="18"/>
          <w:color w:val="auto"/>
        </w:rPr>
      </w:pPr>
    </w:p>
    <w:p>
      <w:pPr>
        <w:ind w:left="452" w:hanging="452"/>
        <w:spacing w:after="0"/>
        <w:tabs>
          <w:tab w:leader="none" w:pos="452" w:val="left"/>
        </w:tabs>
        <w:numPr>
          <w:ilvl w:val="0"/>
          <w:numId w:val="214"/>
        </w:numPr>
        <w:rPr>
          <w:rFonts w:ascii="Arial" w:cs="Arial" w:eastAsia="Arial" w:hAnsi="Arial"/>
          <w:sz w:val="18"/>
          <w:szCs w:val="18"/>
          <w:color w:val="auto"/>
        </w:rPr>
      </w:pPr>
      <w:r>
        <w:rPr>
          <w:rFonts w:ascii="Arial" w:cs="Arial" w:eastAsia="Arial" w:hAnsi="Arial"/>
          <w:sz w:val="18"/>
          <w:szCs w:val="18"/>
          <w:b w:val="1"/>
          <w:bCs w:val="1"/>
          <w:u w:val="single" w:color="auto"/>
          <w:color w:val="auto"/>
        </w:rPr>
        <w:t>Payments on Early Termination</w:t>
      </w:r>
      <w:r>
        <w:rPr>
          <w:rFonts w:ascii="Arial" w:cs="Arial" w:eastAsia="Arial" w:hAnsi="Arial"/>
          <w:sz w:val="18"/>
          <w:szCs w:val="18"/>
          <w:color w:val="auto"/>
        </w:rPr>
        <w:t>. For the purpose of Section 6(e):</w:t>
      </w:r>
    </w:p>
    <w:p>
      <w:pPr>
        <w:spacing w:after="0" w:line="96" w:lineRule="exact"/>
        <w:rPr>
          <w:rFonts w:ascii="Arial" w:cs="Arial" w:eastAsia="Arial" w:hAnsi="Arial"/>
          <w:sz w:val="18"/>
          <w:szCs w:val="18"/>
          <w:color w:val="auto"/>
        </w:rPr>
      </w:pPr>
    </w:p>
    <w:p>
      <w:pPr>
        <w:ind w:left="1132" w:hanging="219"/>
        <w:spacing w:after="0"/>
        <w:tabs>
          <w:tab w:leader="none" w:pos="113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Market Quotation will apply.</w:t>
      </w:r>
    </w:p>
    <w:p>
      <w:pPr>
        <w:spacing w:after="0" w:line="90" w:lineRule="exact"/>
        <w:rPr>
          <w:rFonts w:ascii="Arial" w:cs="Arial" w:eastAsia="Arial" w:hAnsi="Arial"/>
          <w:sz w:val="18"/>
          <w:szCs w:val="18"/>
          <w:color w:val="auto"/>
        </w:rPr>
      </w:pPr>
    </w:p>
    <w:p>
      <w:pPr>
        <w:ind w:left="1172" w:hanging="259"/>
        <w:spacing w:after="0"/>
        <w:tabs>
          <w:tab w:leader="none" w:pos="1172" w:val="left"/>
        </w:tabs>
        <w:numPr>
          <w:ilvl w:val="1"/>
          <w:numId w:val="214"/>
        </w:numPr>
        <w:rPr>
          <w:rFonts w:ascii="Arial" w:cs="Arial" w:eastAsia="Arial" w:hAnsi="Arial"/>
          <w:sz w:val="18"/>
          <w:szCs w:val="18"/>
          <w:color w:val="auto"/>
        </w:rPr>
      </w:pPr>
      <w:r>
        <w:rPr>
          <w:rFonts w:ascii="Arial" w:cs="Arial" w:eastAsia="Arial" w:hAnsi="Arial"/>
          <w:sz w:val="18"/>
          <w:szCs w:val="18"/>
          <w:color w:val="auto"/>
        </w:rPr>
        <w:t>The Second Method will apply.</w:t>
      </w:r>
    </w:p>
    <w:p>
      <w:pPr>
        <w:spacing w:after="0" w:line="84" w:lineRule="exact"/>
        <w:rPr>
          <w:rFonts w:ascii="Arial" w:cs="Arial" w:eastAsia="Arial" w:hAnsi="Arial"/>
          <w:sz w:val="18"/>
          <w:szCs w:val="18"/>
          <w:color w:val="auto"/>
        </w:rPr>
      </w:pPr>
    </w:p>
    <w:p>
      <w:pPr>
        <w:ind w:left="452" w:right="660" w:hanging="452"/>
        <w:spacing w:after="0" w:line="275" w:lineRule="auto"/>
        <w:tabs>
          <w:tab w:leader="none" w:pos="452" w:val="left"/>
        </w:tabs>
        <w:numPr>
          <w:ilvl w:val="0"/>
          <w:numId w:val="214"/>
        </w:numPr>
        <w:rPr>
          <w:rFonts w:ascii="Arial" w:cs="Arial" w:eastAsia="Arial" w:hAnsi="Arial"/>
          <w:sz w:val="18"/>
          <w:szCs w:val="18"/>
          <w:color w:val="auto"/>
        </w:rPr>
      </w:pPr>
      <w:r>
        <w:rPr>
          <w:rFonts w:ascii="Arial" w:cs="Arial" w:eastAsia="Arial" w:hAnsi="Arial"/>
          <w:sz w:val="18"/>
          <w:szCs w:val="18"/>
          <w:b w:val="1"/>
          <w:bCs w:val="1"/>
          <w:u w:val="single" w:color="auto"/>
          <w:color w:val="auto"/>
        </w:rPr>
        <w:t>Additional Termination Event</w:t>
      </w:r>
      <w:r>
        <w:rPr>
          <w:rFonts w:ascii="Arial" w:cs="Arial" w:eastAsia="Arial" w:hAnsi="Arial"/>
          <w:sz w:val="18"/>
          <w:szCs w:val="18"/>
          <w:color w:val="auto"/>
        </w:rPr>
        <w:t>. The following will constitute an Additional Termination Event, where Party B shall be the Affected Party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shall be Affected Transactions:</w:t>
      </w:r>
    </w:p>
    <w:p>
      <w:pPr>
        <w:spacing w:after="0" w:line="44" w:lineRule="exact"/>
        <w:rPr>
          <w:rFonts w:ascii="Arial" w:cs="Arial" w:eastAsia="Arial" w:hAnsi="Arial"/>
          <w:sz w:val="18"/>
          <w:szCs w:val="18"/>
          <w:color w:val="auto"/>
        </w:rPr>
      </w:pPr>
    </w:p>
    <w:p>
      <w:pPr>
        <w:jc w:val="both"/>
        <w:ind w:left="912" w:firstLine="1"/>
        <w:spacing w:after="0" w:line="306" w:lineRule="auto"/>
        <w:tabs>
          <w:tab w:leader="none" w:pos="1122" w:val="left"/>
        </w:tabs>
        <w:numPr>
          <w:ilvl w:val="1"/>
          <w:numId w:val="214"/>
        </w:numPr>
        <w:rPr>
          <w:rFonts w:ascii="Arial" w:cs="Arial" w:eastAsia="Arial" w:hAnsi="Arial"/>
          <w:sz w:val="16"/>
          <w:szCs w:val="16"/>
          <w:color w:val="auto"/>
        </w:rPr>
      </w:pPr>
      <w:r>
        <w:rPr>
          <w:rFonts w:ascii="Arial" w:cs="Arial" w:eastAsia="Arial" w:hAnsi="Arial"/>
          <w:sz w:val="16"/>
          <w:szCs w:val="16"/>
          <w:color w:val="auto"/>
        </w:rPr>
        <w:t>If at any time the obligations of Party B under this Agreement shall cease to be equally and ratably secured and guaranteed with the obligations of Party B to the Lenders under the Credit Agreement, subject to the terms of the Credit Agreement and the Collateral Documents for any reason, other than to the extent such obligations to Party A hereunder are cash collateralized in accordance with customary terms.</w:t>
      </w:r>
    </w:p>
    <w:p>
      <w:pPr>
        <w:spacing w:after="0" w:line="25" w:lineRule="exact"/>
        <w:rPr>
          <w:rFonts w:ascii="Arial" w:cs="Arial" w:eastAsia="Arial" w:hAnsi="Arial"/>
          <w:sz w:val="16"/>
          <w:szCs w:val="16"/>
          <w:color w:val="auto"/>
        </w:rPr>
      </w:pPr>
    </w:p>
    <w:p>
      <w:pPr>
        <w:ind w:left="912" w:right="60" w:firstLine="1"/>
        <w:spacing w:after="0" w:line="256" w:lineRule="auto"/>
        <w:tabs>
          <w:tab w:leader="none" w:pos="1170" w:val="left"/>
        </w:tabs>
        <w:numPr>
          <w:ilvl w:val="1"/>
          <w:numId w:val="214"/>
        </w:numPr>
        <w:rPr>
          <w:rFonts w:ascii="Arial" w:cs="Arial" w:eastAsia="Arial" w:hAnsi="Arial"/>
          <w:sz w:val="18"/>
          <w:szCs w:val="18"/>
          <w:color w:val="auto"/>
        </w:rPr>
      </w:pPr>
      <w:r>
        <w:rPr>
          <w:rFonts w:ascii="Arial" w:cs="Arial" w:eastAsia="Arial" w:hAnsi="Arial"/>
          <w:sz w:val="18"/>
          <w:szCs w:val="18"/>
          <w:color w:val="auto"/>
        </w:rPr>
        <w:t>If (A) Party B fails to give Party A written notice at least 1 days prior to the prepayment in full of the Loans or release of any Collateral (other than with respect to any Collateral released pursuant to Section 7.5 of the Credit Agreement) or, (B) if requested by Party A in the event of such full repayment or Collateral release, Party B shall not have executed an ISDA Credit Support Annex or arranged for other credit support on terms and conditions reasonably satisfactory to Party A.</w:t>
      </w:r>
    </w:p>
    <w:p>
      <w:pPr>
        <w:spacing w:after="0" w:line="62" w:lineRule="exact"/>
        <w:rPr>
          <w:sz w:val="20"/>
          <w:szCs w:val="20"/>
          <w:color w:val="auto"/>
        </w:rPr>
      </w:pPr>
    </w:p>
    <w:p>
      <w:pPr>
        <w:ind w:left="452"/>
        <w:spacing w:after="0"/>
        <w:rPr>
          <w:sz w:val="20"/>
          <w:szCs w:val="20"/>
          <w:color w:val="auto"/>
        </w:rPr>
      </w:pPr>
      <w:r>
        <w:rPr>
          <w:rFonts w:ascii="Arial" w:cs="Arial" w:eastAsia="Arial" w:hAnsi="Arial"/>
          <w:sz w:val="18"/>
          <w:szCs w:val="18"/>
          <w:color w:val="auto"/>
        </w:rPr>
        <w:t>The following terms shall have the meanings set forth below for purposes of this Agreement:</w:t>
      </w:r>
    </w:p>
    <w:p>
      <w:pPr>
        <w:spacing w:after="0" w:line="90" w:lineRule="exact"/>
        <w:rPr>
          <w:sz w:val="20"/>
          <w:szCs w:val="20"/>
          <w:color w:val="auto"/>
        </w:rPr>
      </w:pPr>
    </w:p>
    <w:p>
      <w:pPr>
        <w:ind w:left="892"/>
        <w:spacing w:after="0"/>
        <w:rPr>
          <w:sz w:val="20"/>
          <w:szCs w:val="20"/>
          <w:color w:val="auto"/>
        </w:rPr>
      </w:pPr>
      <w:r>
        <w:rPr>
          <w:rFonts w:ascii="Arial" w:cs="Arial" w:eastAsia="Arial" w:hAnsi="Arial"/>
          <w:sz w:val="18"/>
          <w:szCs w:val="18"/>
          <w:color w:val="auto"/>
        </w:rPr>
        <w:t>“Collateral” means any collateral pledged to the Secured Parties under the Collateral Documents.</w:t>
      </w:r>
    </w:p>
    <w:p>
      <w:pPr>
        <w:spacing w:after="0" w:line="90" w:lineRule="exact"/>
        <w:rPr>
          <w:sz w:val="20"/>
          <w:szCs w:val="20"/>
          <w:color w:val="auto"/>
        </w:rPr>
      </w:pPr>
    </w:p>
    <w:p>
      <w:pPr>
        <w:ind w:left="892"/>
        <w:spacing w:after="0"/>
        <w:rPr>
          <w:sz w:val="20"/>
          <w:szCs w:val="20"/>
          <w:color w:val="auto"/>
        </w:rPr>
      </w:pPr>
      <w:r>
        <w:rPr>
          <w:rFonts w:ascii="Arial" w:cs="Arial" w:eastAsia="Arial" w:hAnsi="Arial"/>
          <w:sz w:val="18"/>
          <w:szCs w:val="18"/>
          <w:color w:val="auto"/>
        </w:rPr>
        <w:t>“Collateral Documents” means the Credit Agreement and the “Security Documents” as defined in the Credit Agreement.</w:t>
      </w:r>
    </w:p>
    <w:p>
      <w:pPr>
        <w:spacing w:after="0" w:line="90" w:lineRule="exact"/>
        <w:rPr>
          <w:sz w:val="20"/>
          <w:szCs w:val="20"/>
          <w:color w:val="auto"/>
        </w:rPr>
      </w:pPr>
    </w:p>
    <w:p>
      <w:pPr>
        <w:ind w:left="452" w:right="480" w:firstLine="438"/>
        <w:spacing w:after="0" w:line="268" w:lineRule="auto"/>
        <w:rPr>
          <w:sz w:val="20"/>
          <w:szCs w:val="20"/>
          <w:color w:val="auto"/>
        </w:rPr>
      </w:pPr>
      <w:r>
        <w:rPr>
          <w:rFonts w:ascii="Arial" w:cs="Arial" w:eastAsia="Arial" w:hAnsi="Arial"/>
          <w:sz w:val="18"/>
          <w:szCs w:val="18"/>
          <w:color w:val="auto"/>
        </w:rPr>
        <w:t>“Lender” means any lender under the Credit Agreement holding the most senior security interest in the Collateral relative to the other Secured Parties.</w:t>
      </w:r>
    </w:p>
    <w:p>
      <w:pPr>
        <w:spacing w:after="0" w:line="1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72"/>
          </w:cols>
          <w:pgMar w:left="248" w:top="274" w:right="279" w:bottom="1440" w:gutter="0" w:footer="0" w:header="0"/>
        </w:sectPr>
      </w:pPr>
    </w:p>
    <w:bookmarkStart w:id="121" w:name="page122"/>
    <w:bookmarkEnd w:id="121"/>
    <w:p>
      <w:pPr>
        <w:ind w:left="90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“Loan” means any loan made by a Lender to a borrower under the Credit Agreement.</w:t>
      </w:r>
    </w:p>
    <w:p>
      <w:pPr>
        <w:spacing w:after="0" w:line="90"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“Secured Party” means a secured party under the Collateral Documents.</w:t>
      </w:r>
    </w:p>
    <w:p>
      <w:pPr>
        <w:spacing w:after="0" w:line="84" w:lineRule="exact"/>
        <w:rPr>
          <w:sz w:val="20"/>
          <w:szCs w:val="20"/>
          <w:color w:val="auto"/>
        </w:rPr>
      </w:pPr>
    </w:p>
    <w:p>
      <w:pPr>
        <w:ind w:left="460" w:hanging="452"/>
        <w:spacing w:after="0" w:line="296" w:lineRule="auto"/>
        <w:tabs>
          <w:tab w:leader="none" w:pos="460" w:val="left"/>
        </w:tabs>
        <w:numPr>
          <w:ilvl w:val="0"/>
          <w:numId w:val="215"/>
        </w:numPr>
        <w:rPr>
          <w:rFonts w:ascii="Arial" w:cs="Arial" w:eastAsia="Arial" w:hAnsi="Arial"/>
          <w:sz w:val="16"/>
          <w:szCs w:val="16"/>
          <w:color w:val="auto"/>
        </w:rPr>
      </w:pPr>
      <w:r>
        <w:rPr>
          <w:rFonts w:ascii="Arial" w:cs="Arial" w:eastAsia="Arial" w:hAnsi="Arial"/>
          <w:sz w:val="16"/>
          <w:szCs w:val="16"/>
          <w:b w:val="1"/>
          <w:bCs w:val="1"/>
          <w:u w:val="single" w:color="auto"/>
          <w:color w:val="auto"/>
        </w:rPr>
        <w:t>Calculation of Termination Payment</w:t>
      </w:r>
      <w:r>
        <w:rPr>
          <w:rFonts w:ascii="Arial" w:cs="Arial" w:eastAsia="Arial" w:hAnsi="Arial"/>
          <w:sz w:val="16"/>
          <w:szCs w:val="16"/>
          <w:color w:val="auto"/>
        </w:rPr>
        <w:t>. Section 6(d)(i) is amended to add the following at the end of such Section: “Each party making any such</w:t>
      </w:r>
      <w:r>
        <w:rPr>
          <w:rFonts w:ascii="Arial" w:cs="Arial" w:eastAsia="Arial" w:hAnsi="Arial"/>
          <w:sz w:val="16"/>
          <w:szCs w:val="16"/>
          <w:b w:val="1"/>
          <w:bCs w:val="1"/>
          <w:color w:val="auto"/>
        </w:rPr>
        <w:t xml:space="preserve"> </w:t>
      </w:r>
      <w:r>
        <w:rPr>
          <w:rFonts w:ascii="Arial" w:cs="Arial" w:eastAsia="Arial" w:hAnsi="Arial"/>
          <w:sz w:val="16"/>
          <w:szCs w:val="16"/>
          <w:color w:val="auto"/>
        </w:rPr>
        <w:t>calculation shall, upon request, make available to the other party (and its Credit Support Provider, if applicable) such information used by it to make such calculation as may be reasonably necessary in order to enable the other party (or its Credit Support Provider) to independently confirm the accuracy of such calculation. Such information shall include, without limitation, the identity of any Reference Dealer, Reference Bank, Reference Market-maker or other source of any quotation and the details of the quotation provided by such dealer, bank or market-maker.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Part 2. </w:t>
      </w:r>
      <w:r>
        <w:rPr>
          <w:rFonts w:ascii="Arial" w:cs="Arial" w:eastAsia="Arial" w:hAnsi="Arial"/>
          <w:sz w:val="18"/>
          <w:szCs w:val="18"/>
          <w:u w:val="single" w:color="auto"/>
          <w:color w:val="auto"/>
        </w:rPr>
        <w:t>Tax Representations</w:t>
      </w:r>
      <w:r>
        <w:rPr>
          <w:rFonts w:ascii="Arial" w:cs="Arial" w:eastAsia="Arial" w:hAnsi="Arial"/>
          <w:sz w:val="18"/>
          <w:szCs w:val="18"/>
          <w:color w:val="auto"/>
        </w:rPr>
        <w:t>.</w:t>
      </w:r>
    </w:p>
    <w:p>
      <w:pPr>
        <w:spacing w:after="0" w:line="84" w:lineRule="exact"/>
        <w:rPr>
          <w:sz w:val="20"/>
          <w:szCs w:val="20"/>
          <w:color w:val="auto"/>
        </w:rPr>
      </w:pPr>
    </w:p>
    <w:p>
      <w:pPr>
        <w:ind w:left="460" w:hanging="452"/>
        <w:spacing w:after="0"/>
        <w:tabs>
          <w:tab w:leader="none" w:pos="460" w:val="left"/>
        </w:tabs>
        <w:numPr>
          <w:ilvl w:val="0"/>
          <w:numId w:val="216"/>
        </w:numPr>
        <w:rPr>
          <w:rFonts w:ascii="Arial" w:cs="Arial" w:eastAsia="Arial" w:hAnsi="Arial"/>
          <w:sz w:val="16"/>
          <w:szCs w:val="16"/>
          <w:color w:val="auto"/>
        </w:rPr>
      </w:pPr>
      <w:r>
        <w:rPr>
          <w:rFonts w:ascii="Arial" w:cs="Arial" w:eastAsia="Arial" w:hAnsi="Arial"/>
          <w:sz w:val="16"/>
          <w:szCs w:val="16"/>
          <w:b w:val="1"/>
          <w:bCs w:val="1"/>
          <w:color w:val="auto"/>
        </w:rPr>
        <w:t xml:space="preserve">Payer Tax Representations. </w:t>
      </w:r>
      <w:r>
        <w:rPr>
          <w:rFonts w:ascii="Arial" w:cs="Arial" w:eastAsia="Arial" w:hAnsi="Arial"/>
          <w:sz w:val="16"/>
          <w:szCs w:val="16"/>
          <w:color w:val="auto"/>
        </w:rPr>
        <w:t>For the purpose of Section 3(e) of this Agreement, each of Party A and Party B makes the following representation:</w:t>
      </w:r>
    </w:p>
    <w:p>
      <w:pPr>
        <w:spacing w:after="0" w:line="119" w:lineRule="exact"/>
        <w:rPr>
          <w:rFonts w:ascii="Arial" w:cs="Arial" w:eastAsia="Arial" w:hAnsi="Arial"/>
          <w:sz w:val="16"/>
          <w:szCs w:val="16"/>
          <w:color w:val="auto"/>
        </w:rPr>
      </w:pPr>
    </w:p>
    <w:p>
      <w:pPr>
        <w:ind w:left="460"/>
        <w:spacing w:after="0" w:line="302" w:lineRule="auto"/>
        <w:rPr>
          <w:rFonts w:ascii="Arial" w:cs="Arial" w:eastAsia="Arial" w:hAnsi="Arial"/>
          <w:sz w:val="16"/>
          <w:szCs w:val="16"/>
          <w:color w:val="auto"/>
        </w:rPr>
      </w:pPr>
      <w:r>
        <w:rPr>
          <w:rFonts w:ascii="Arial" w:cs="Arial" w:eastAsia="Arial" w:hAnsi="Arial"/>
          <w:sz w:val="15"/>
          <w:szCs w:val="15"/>
          <w:color w:val="auto"/>
        </w:rPr>
        <w:t xml:space="preserve">It is not required by any applicable law, as modified by the practice of any relevant governmental revenue authority, of any Relevant Jurisdiction to make any deduction or withholding for or on account of any Tax from any payment (other than interest under </w:t>
      </w:r>
      <w:r>
        <w:rPr>
          <w:rFonts w:ascii="Arial" w:cs="Arial" w:eastAsia="Arial" w:hAnsi="Arial"/>
          <w:sz w:val="15"/>
          <w:szCs w:val="15"/>
          <w:u w:val="single" w:color="auto"/>
          <w:color w:val="auto"/>
        </w:rPr>
        <w:t>Sections 2(e)</w:t>
      </w:r>
      <w:r>
        <w:rPr>
          <w:rFonts w:ascii="Arial" w:cs="Arial" w:eastAsia="Arial" w:hAnsi="Arial"/>
          <w:sz w:val="15"/>
          <w:szCs w:val="15"/>
          <w:color w:val="auto"/>
        </w:rPr>
        <w:t xml:space="preserve">, </w:t>
      </w:r>
      <w:r>
        <w:rPr>
          <w:rFonts w:ascii="Arial" w:cs="Arial" w:eastAsia="Arial" w:hAnsi="Arial"/>
          <w:sz w:val="15"/>
          <w:szCs w:val="15"/>
          <w:u w:val="single" w:color="auto"/>
          <w:color w:val="auto"/>
        </w:rPr>
        <w:t>6(d)(ii)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6(e)</w:t>
      </w:r>
      <w:r>
        <w:rPr>
          <w:rFonts w:ascii="Arial" w:cs="Arial" w:eastAsia="Arial" w:hAnsi="Arial"/>
          <w:sz w:val="15"/>
          <w:szCs w:val="15"/>
          <w:color w:val="auto"/>
        </w:rPr>
        <w:t xml:space="preserve"> of this Agreement) to be made by it to the other party under this Agreement. In making this representation, it may rely on (i) the accuracy of any representation made by the other party pursuant to </w:t>
      </w:r>
      <w:r>
        <w:rPr>
          <w:rFonts w:ascii="Arial" w:cs="Arial" w:eastAsia="Arial" w:hAnsi="Arial"/>
          <w:sz w:val="15"/>
          <w:szCs w:val="15"/>
          <w:u w:val="single" w:color="auto"/>
          <w:color w:val="auto"/>
        </w:rPr>
        <w:t>Section 3(f)</w:t>
      </w:r>
      <w:r>
        <w:rPr>
          <w:rFonts w:ascii="Arial" w:cs="Arial" w:eastAsia="Arial" w:hAnsi="Arial"/>
          <w:sz w:val="15"/>
          <w:szCs w:val="15"/>
          <w:color w:val="auto"/>
        </w:rPr>
        <w:t xml:space="preserve"> of this Agreement, (ii) the satisfaction(s) of the agreement of the other party contained in </w:t>
      </w:r>
      <w:r>
        <w:rPr>
          <w:rFonts w:ascii="Arial" w:cs="Arial" w:eastAsia="Arial" w:hAnsi="Arial"/>
          <w:sz w:val="15"/>
          <w:szCs w:val="15"/>
          <w:u w:val="single" w:color="auto"/>
          <w:color w:val="auto"/>
        </w:rPr>
        <w:t>Section 4(a)(i)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4(a)(iii)</w:t>
      </w:r>
      <w:r>
        <w:rPr>
          <w:rFonts w:ascii="Arial" w:cs="Arial" w:eastAsia="Arial" w:hAnsi="Arial"/>
          <w:sz w:val="15"/>
          <w:szCs w:val="15"/>
          <w:color w:val="auto"/>
        </w:rPr>
        <w:t xml:space="preserve"> of this Agreement and the accuracy and effectiveness of any document provided by the other party pursuant to </w:t>
      </w:r>
      <w:r>
        <w:rPr>
          <w:rFonts w:ascii="Arial" w:cs="Arial" w:eastAsia="Arial" w:hAnsi="Arial"/>
          <w:sz w:val="15"/>
          <w:szCs w:val="15"/>
          <w:u w:val="single" w:color="auto"/>
          <w:color w:val="auto"/>
        </w:rPr>
        <w:t>Section 4(a)(i)</w:t>
      </w:r>
      <w:r>
        <w:rPr>
          <w:rFonts w:ascii="Arial" w:cs="Arial" w:eastAsia="Arial" w:hAnsi="Arial"/>
          <w:sz w:val="15"/>
          <w:szCs w:val="15"/>
          <w:color w:val="auto"/>
        </w:rPr>
        <w:t xml:space="preserve"> or </w:t>
      </w:r>
      <w:r>
        <w:rPr>
          <w:rFonts w:ascii="Arial" w:cs="Arial" w:eastAsia="Arial" w:hAnsi="Arial"/>
          <w:sz w:val="15"/>
          <w:szCs w:val="15"/>
          <w:u w:val="single" w:color="auto"/>
          <w:color w:val="auto"/>
        </w:rPr>
        <w:t>4(a)(iii)</w:t>
      </w:r>
      <w:r>
        <w:rPr>
          <w:rFonts w:ascii="Arial" w:cs="Arial" w:eastAsia="Arial" w:hAnsi="Arial"/>
          <w:sz w:val="15"/>
          <w:szCs w:val="15"/>
          <w:color w:val="auto"/>
        </w:rPr>
        <w:t xml:space="preserve"> of this Agreement; and</w:t>
      </w:r>
    </w:p>
    <w:p>
      <w:pPr>
        <w:spacing w:after="0" w:line="1" w:lineRule="exact"/>
        <w:rPr>
          <w:rFonts w:ascii="Arial" w:cs="Arial" w:eastAsia="Arial" w:hAnsi="Arial"/>
          <w:sz w:val="16"/>
          <w:szCs w:val="16"/>
          <w:color w:val="auto"/>
        </w:rPr>
      </w:pPr>
    </w:p>
    <w:p>
      <w:pPr>
        <w:ind w:left="460" w:right="140" w:firstLine="4"/>
        <w:spacing w:after="0" w:line="255" w:lineRule="auto"/>
        <w:tabs>
          <w:tab w:leader="none" w:pos="767" w:val="left"/>
        </w:tabs>
        <w:numPr>
          <w:ilvl w:val="1"/>
          <w:numId w:val="216"/>
        </w:numPr>
        <w:rPr>
          <w:rFonts w:ascii="Arial" w:cs="Arial" w:eastAsia="Arial" w:hAnsi="Arial"/>
          <w:sz w:val="18"/>
          <w:szCs w:val="18"/>
          <w:color w:val="auto"/>
        </w:rPr>
      </w:pPr>
      <w:r>
        <w:rPr>
          <w:rFonts w:ascii="Arial" w:cs="Arial" w:eastAsia="Arial" w:hAnsi="Arial"/>
          <w:sz w:val="18"/>
          <w:szCs w:val="18"/>
          <w:color w:val="auto"/>
        </w:rPr>
        <w:t xml:space="preserve">the satisfaction of the agreement of the other party contained in </w:t>
      </w:r>
      <w:r>
        <w:rPr>
          <w:rFonts w:ascii="Arial" w:cs="Arial" w:eastAsia="Arial" w:hAnsi="Arial"/>
          <w:sz w:val="18"/>
          <w:szCs w:val="18"/>
          <w:u w:val="single" w:color="auto"/>
          <w:color w:val="auto"/>
        </w:rPr>
        <w:t>Section 4(d)</w:t>
      </w:r>
      <w:r>
        <w:rPr>
          <w:rFonts w:ascii="Arial" w:cs="Arial" w:eastAsia="Arial" w:hAnsi="Arial"/>
          <w:sz w:val="18"/>
          <w:szCs w:val="18"/>
          <w:color w:val="auto"/>
        </w:rPr>
        <w:t xml:space="preserve"> of this Agreement, provided that it shall not be a breach of this representation where reliance is placed on clause (ii) and the other party does not deliver a form or document under </w:t>
      </w:r>
      <w:r>
        <w:rPr>
          <w:rFonts w:ascii="Arial" w:cs="Arial" w:eastAsia="Arial" w:hAnsi="Arial"/>
          <w:sz w:val="18"/>
          <w:szCs w:val="18"/>
          <w:u w:val="single" w:color="auto"/>
          <w:color w:val="auto"/>
        </w:rPr>
        <w:t>Section 4(a)(iii)</w:t>
      </w:r>
      <w:r>
        <w:rPr>
          <w:rFonts w:ascii="Arial" w:cs="Arial" w:eastAsia="Arial" w:hAnsi="Arial"/>
          <w:sz w:val="18"/>
          <w:szCs w:val="18"/>
          <w:color w:val="auto"/>
        </w:rPr>
        <w:t xml:space="preserve"> of this Agreement by reason of material prejudice to its legal or commercial position.</w:t>
      </w:r>
    </w:p>
    <w:p>
      <w:pPr>
        <w:spacing w:after="0" w:line="57" w:lineRule="exact"/>
        <w:rPr>
          <w:rFonts w:ascii="Arial" w:cs="Arial" w:eastAsia="Arial" w:hAnsi="Arial"/>
          <w:sz w:val="18"/>
          <w:szCs w:val="18"/>
          <w:color w:val="auto"/>
        </w:rPr>
      </w:pPr>
    </w:p>
    <w:p>
      <w:pPr>
        <w:ind w:left="460" w:right="180" w:hanging="452"/>
        <w:spacing w:after="0" w:line="262" w:lineRule="auto"/>
        <w:tabs>
          <w:tab w:leader="none" w:pos="460" w:val="left"/>
        </w:tabs>
        <w:numPr>
          <w:ilvl w:val="0"/>
          <w:numId w:val="216"/>
        </w:numPr>
        <w:rPr>
          <w:rFonts w:ascii="Arial" w:cs="Arial" w:eastAsia="Arial" w:hAnsi="Arial"/>
          <w:sz w:val="18"/>
          <w:szCs w:val="18"/>
          <w:color w:val="auto"/>
        </w:rPr>
      </w:pPr>
      <w:r>
        <w:rPr>
          <w:rFonts w:ascii="Arial" w:cs="Arial" w:eastAsia="Arial" w:hAnsi="Arial"/>
          <w:sz w:val="18"/>
          <w:szCs w:val="18"/>
          <w:b w:val="1"/>
          <w:bCs w:val="1"/>
          <w:color w:val="auto"/>
        </w:rPr>
        <w:t>Payee Tax Representations</w:t>
      </w:r>
      <w:r>
        <w:rPr>
          <w:rFonts w:ascii="Arial" w:cs="Arial" w:eastAsia="Arial" w:hAnsi="Arial"/>
          <w:sz w:val="18"/>
          <w:szCs w:val="18"/>
          <w:color w:val="auto"/>
        </w:rPr>
        <w:t>. For the purpose of Section 3(f) of this Agreement, Party A represents that it is a corporation duly organized and validly</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under the laws of the State of Delaware and Party B represents that it is a limited liability company duly organized and validly existing under the laws of the State of Delaware.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122" w:name="page123"/>
    <w:bookmarkEnd w:id="12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Part 3. </w:t>
      </w:r>
      <w:r>
        <w:rPr>
          <w:rFonts w:ascii="Arial" w:cs="Arial" w:eastAsia="Arial" w:hAnsi="Arial"/>
          <w:sz w:val="18"/>
          <w:szCs w:val="18"/>
          <w:u w:val="single" w:color="auto"/>
          <w:color w:val="auto"/>
        </w:rPr>
        <w:t>Agreement to Deliver Documents</w:t>
      </w:r>
      <w:r>
        <w:rPr>
          <w:rFonts w:ascii="Arial" w:cs="Arial" w:eastAsia="Arial" w:hAnsi="Arial"/>
          <w:sz w:val="18"/>
          <w:szCs w:val="18"/>
          <w:color w:val="auto"/>
        </w:rPr>
        <w:t>.</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color w:val="auto"/>
        </w:rPr>
        <w:t>For the purpose of Sections 4(a)(i) and (ii) of this Agreement, each party agrees to deliver the following documents, as applicable:</w:t>
      </w:r>
    </w:p>
    <w:p>
      <w:pPr>
        <w:sectPr>
          <w:pgSz w:w="11900" w:h="16838" w:orient="portrait"/>
          <w:cols w:equalWidth="0" w:num="1">
            <w:col w:w="11340"/>
          </w:cols>
          <w:pgMar w:left="240" w:top="280" w:right="319" w:bottom="1440" w:gutter="0" w:footer="0" w:header="0"/>
        </w:sectPr>
      </w:pPr>
    </w:p>
    <w:p>
      <w:pPr>
        <w:spacing w:after="0" w:line="113" w:lineRule="exact"/>
        <w:rPr>
          <w:sz w:val="20"/>
          <w:szCs w:val="20"/>
          <w:color w:val="auto"/>
        </w:rPr>
      </w:pPr>
    </w:p>
    <w:p>
      <w:pPr>
        <w:ind w:left="460" w:hanging="452"/>
        <w:spacing w:after="0"/>
        <w:tabs>
          <w:tab w:leader="none" w:pos="460" w:val="left"/>
        </w:tabs>
        <w:numPr>
          <w:ilvl w:val="0"/>
          <w:numId w:val="217"/>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Tax forms, documents or certificates to be delivered are: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20"/>
                <w:szCs w:val="20"/>
                <w:color w:val="auto"/>
              </w:rPr>
            </w:pPr>
            <w:r>
              <w:rPr>
                <w:rFonts w:ascii="Arial" w:cs="Arial" w:eastAsia="Arial" w:hAnsi="Arial"/>
                <w:sz w:val="14"/>
                <w:szCs w:val="14"/>
                <w:b w:val="1"/>
                <w:bCs w:val="1"/>
                <w:color w:val="auto"/>
              </w:rPr>
              <w:t>Party required to</w:t>
            </w:r>
          </w:p>
        </w:tc>
        <w:tc>
          <w:tcPr>
            <w:tcW w:w="120" w:type="dxa"/>
            <w:vAlign w:val="bottom"/>
          </w:tcPr>
          <w:p>
            <w:pPr>
              <w:spacing w:after="0"/>
              <w:rPr>
                <w:sz w:val="14"/>
                <w:szCs w:val="14"/>
                <w:color w:val="auto"/>
              </w:rPr>
            </w:pPr>
          </w:p>
        </w:tc>
        <w:tc>
          <w:tcPr>
            <w:tcW w:w="3660" w:type="dxa"/>
            <w:vAlign w:val="bottom"/>
          </w:tcPr>
          <w:p>
            <w:pPr>
              <w:spacing w:after="0"/>
              <w:rPr>
                <w:sz w:val="14"/>
                <w:szCs w:val="14"/>
                <w:color w:val="auto"/>
              </w:rPr>
            </w:pPr>
          </w:p>
        </w:tc>
      </w:tr>
      <w:tr>
        <w:trPr>
          <w:trHeight w:val="181"/>
        </w:trPr>
        <w:tc>
          <w:tcPr>
            <w:tcW w:w="40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deliver document</w:t>
            </w:r>
          </w:p>
        </w:tc>
        <w:tc>
          <w:tcPr>
            <w:tcW w:w="120" w:type="dxa"/>
            <w:vAlign w:val="bottom"/>
          </w:tcPr>
          <w:p>
            <w:pPr>
              <w:spacing w:after="0"/>
              <w:rPr>
                <w:sz w:val="15"/>
                <w:szCs w:val="15"/>
                <w:color w:val="auto"/>
              </w:rPr>
            </w:pPr>
          </w:p>
        </w:tc>
        <w:tc>
          <w:tcPr>
            <w:tcW w:w="3660" w:type="dxa"/>
            <w:vAlign w:val="bottom"/>
            <w:tcBorders>
              <w:bottom w:val="single" w:sz="8" w:color="auto"/>
            </w:tcBorders>
          </w:tcPr>
          <w:p>
            <w:pPr>
              <w:ind w:left="1040"/>
              <w:spacing w:after="0"/>
              <w:rPr>
                <w:sz w:val="20"/>
                <w:szCs w:val="20"/>
                <w:color w:val="auto"/>
              </w:rPr>
            </w:pPr>
            <w:r>
              <w:rPr>
                <w:rFonts w:ascii="Arial" w:cs="Arial" w:eastAsia="Arial" w:hAnsi="Arial"/>
                <w:sz w:val="14"/>
                <w:szCs w:val="14"/>
                <w:b w:val="1"/>
                <w:bCs w:val="1"/>
                <w:color w:val="auto"/>
              </w:rPr>
              <w:t>Form/Document/Certificate</w:t>
            </w:r>
          </w:p>
        </w:tc>
      </w:tr>
      <w:tr>
        <w:trPr>
          <w:trHeight w:val="195"/>
        </w:trPr>
        <w:tc>
          <w:tcPr>
            <w:tcW w:w="4000" w:type="dxa"/>
            <w:vAlign w:val="bottom"/>
          </w:tcPr>
          <w:p>
            <w:pPr>
              <w:spacing w:after="0" w:line="195" w:lineRule="exact"/>
              <w:rPr>
                <w:sz w:val="20"/>
                <w:szCs w:val="20"/>
                <w:color w:val="auto"/>
              </w:rPr>
            </w:pPr>
            <w:r>
              <w:rPr>
                <w:rFonts w:ascii="Arial" w:cs="Arial" w:eastAsia="Arial" w:hAnsi="Arial"/>
                <w:sz w:val="18"/>
                <w:szCs w:val="18"/>
                <w:color w:val="auto"/>
              </w:rPr>
              <w:t>Party A and Party B</w:t>
            </w:r>
          </w:p>
        </w:tc>
        <w:tc>
          <w:tcPr>
            <w:tcW w:w="120" w:type="dxa"/>
            <w:vAlign w:val="bottom"/>
          </w:tcPr>
          <w:p>
            <w:pPr>
              <w:spacing w:after="0"/>
              <w:rPr>
                <w:sz w:val="16"/>
                <w:szCs w:val="16"/>
                <w:color w:val="auto"/>
              </w:rPr>
            </w:pPr>
          </w:p>
        </w:tc>
        <w:tc>
          <w:tcPr>
            <w:tcW w:w="3660" w:type="dxa"/>
            <w:vAlign w:val="bottom"/>
          </w:tcPr>
          <w:p>
            <w:pPr>
              <w:spacing w:after="0" w:line="195" w:lineRule="exact"/>
              <w:rPr>
                <w:sz w:val="20"/>
                <w:szCs w:val="20"/>
                <w:color w:val="auto"/>
              </w:rPr>
            </w:pPr>
            <w:r>
              <w:rPr>
                <w:rFonts w:ascii="Arial" w:cs="Arial" w:eastAsia="Arial" w:hAnsi="Arial"/>
                <w:sz w:val="18"/>
                <w:szCs w:val="18"/>
                <w:color w:val="auto"/>
              </w:rPr>
              <w:t>An original executed United States Internal</w:t>
            </w:r>
          </w:p>
        </w:tc>
      </w:tr>
      <w:tr>
        <w:trPr>
          <w:trHeight w:val="216"/>
        </w:trPr>
        <w:tc>
          <w:tcPr>
            <w:tcW w:w="4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w w:val="98"/>
              </w:rPr>
              <w:t>Revenue Service Form W-9 (or any successor</w:t>
            </w:r>
          </w:p>
        </w:tc>
      </w:tr>
      <w:tr>
        <w:trPr>
          <w:trHeight w:val="222"/>
        </w:trPr>
        <w:tc>
          <w:tcPr>
            <w:tcW w:w="4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thereto).</w:t>
            </w:r>
          </w:p>
        </w:tc>
      </w:tr>
    </w:tbl>
    <w:p>
      <w:pPr>
        <w:spacing w:after="0" w:line="196" w:lineRule="exact"/>
        <w:rPr>
          <w:sz w:val="20"/>
          <w:szCs w:val="20"/>
          <w:color w:val="auto"/>
        </w:rPr>
      </w:pPr>
    </w:p>
    <w:p>
      <w:pPr>
        <w:ind w:left="460" w:hanging="452"/>
        <w:spacing w:after="0"/>
        <w:tabs>
          <w:tab w:leader="none" w:pos="460" w:val="left"/>
        </w:tabs>
        <w:numPr>
          <w:ilvl w:val="0"/>
          <w:numId w:val="218"/>
        </w:numPr>
        <w:rPr>
          <w:rFonts w:ascii="Arial" w:cs="Arial" w:eastAsia="Arial" w:hAnsi="Arial"/>
          <w:sz w:val="18"/>
          <w:szCs w:val="18"/>
          <w:color w:val="auto"/>
        </w:rPr>
      </w:pPr>
      <w:r>
        <w:rPr>
          <w:rFonts w:ascii="Arial" w:cs="Arial" w:eastAsia="Arial" w:hAnsi="Arial"/>
          <w:sz w:val="18"/>
          <w:szCs w:val="18"/>
          <w:color w:val="auto"/>
        </w:rPr>
        <w:t>Other documents to be delivered 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905"/>
        <w:spacing w:after="0"/>
        <w:rPr>
          <w:sz w:val="20"/>
          <w:szCs w:val="20"/>
          <w:color w:val="auto"/>
        </w:rPr>
      </w:pPr>
      <w:r>
        <w:rPr>
          <w:rFonts w:ascii="Arial" w:cs="Arial" w:eastAsia="Arial" w:hAnsi="Arial"/>
          <w:sz w:val="14"/>
          <w:szCs w:val="14"/>
          <w:b w:val="1"/>
          <w:bCs w:val="1"/>
          <w:color w:val="auto"/>
        </w:rPr>
        <w:t>Date by which to be delivered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8890</wp:posOffset>
            </wp:positionV>
            <wp:extent cx="2238375"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2238375" cy="8890"/>
                    </a:xfrm>
                    <a:prstGeom prst="rect">
                      <a:avLst/>
                    </a:prstGeom>
                    <a:noFill/>
                  </pic:spPr>
                </pic:pic>
              </a:graphicData>
            </a:graphic>
          </wp:anchor>
        </w:drawing>
      </w:r>
    </w:p>
    <w:p>
      <w:pPr>
        <w:ind w:left="5" w:hanging="5"/>
        <w:spacing w:after="0" w:line="259" w:lineRule="auto"/>
        <w:tabs>
          <w:tab w:leader="none" w:pos="215" w:val="left"/>
        </w:tabs>
        <w:numPr>
          <w:ilvl w:val="0"/>
          <w:numId w:val="219"/>
        </w:numPr>
        <w:rPr>
          <w:rFonts w:ascii="Arial" w:cs="Arial" w:eastAsia="Arial" w:hAnsi="Arial"/>
          <w:sz w:val="18"/>
          <w:szCs w:val="18"/>
          <w:color w:val="auto"/>
        </w:rPr>
      </w:pPr>
      <w:r>
        <w:rPr>
          <w:rFonts w:ascii="Arial" w:cs="Arial" w:eastAsia="Arial" w:hAnsi="Arial"/>
          <w:sz w:val="18"/>
          <w:szCs w:val="18"/>
          <w:color w:val="auto"/>
        </w:rPr>
        <w:t>Upon the execution of this Agreement and (ii) promptly upon reasonable demand by the other Party.</w:t>
      </w:r>
    </w:p>
    <w:p>
      <w:pPr>
        <w:spacing w:after="0" w:line="587" w:lineRule="exact"/>
        <w:rPr>
          <w:sz w:val="20"/>
          <w:szCs w:val="20"/>
          <w:color w:val="auto"/>
        </w:rPr>
      </w:pPr>
    </w:p>
    <w:p>
      <w:pPr>
        <w:sectPr>
          <w:pgSz w:w="11900" w:h="16838" w:orient="portrait"/>
          <w:cols w:equalWidth="0" w:num="2">
            <w:col w:w="7780" w:space="115"/>
            <w:col w:w="3445"/>
          </w:cols>
          <w:pgMar w:left="240" w:top="280" w:right="319" w:bottom="1440" w:gutter="0" w:footer="0" w:header="0"/>
          <w:type w:val="continuous"/>
        </w:sectPr>
      </w:pP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20"/>
                <w:szCs w:val="20"/>
                <w:color w:val="auto"/>
              </w:rPr>
            </w:pPr>
            <w:r>
              <w:rPr>
                <w:rFonts w:ascii="Arial" w:cs="Arial" w:eastAsia="Arial" w:hAnsi="Arial"/>
                <w:sz w:val="14"/>
                <w:szCs w:val="14"/>
                <w:b w:val="1"/>
                <w:bCs w:val="1"/>
                <w:color w:val="auto"/>
              </w:rPr>
              <w:t>Party required to</w:t>
            </w: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r>
      <w:tr>
        <w:trPr>
          <w:trHeight w:val="181"/>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Deliver document</w:t>
            </w:r>
          </w:p>
        </w:tc>
        <w:tc>
          <w:tcPr>
            <w:tcW w:w="120" w:type="dxa"/>
            <w:vAlign w:val="bottom"/>
          </w:tcPr>
          <w:p>
            <w:pPr>
              <w:spacing w:after="0"/>
              <w:rPr>
                <w:sz w:val="15"/>
                <w:szCs w:val="15"/>
                <w:color w:val="auto"/>
              </w:rPr>
            </w:pPr>
          </w:p>
        </w:tc>
        <w:tc>
          <w:tcPr>
            <w:tcW w:w="27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Form/Document/Certificate</w:t>
            </w:r>
          </w:p>
        </w:tc>
      </w:tr>
      <w:tr>
        <w:trPr>
          <w:trHeight w:val="195"/>
        </w:trPr>
        <w:tc>
          <w:tcPr>
            <w:tcW w:w="2980" w:type="dxa"/>
            <w:vAlign w:val="bottom"/>
          </w:tcPr>
          <w:p>
            <w:pPr>
              <w:spacing w:after="0" w:line="195" w:lineRule="exact"/>
              <w:rPr>
                <w:sz w:val="20"/>
                <w:szCs w:val="20"/>
                <w:color w:val="auto"/>
              </w:rPr>
            </w:pPr>
            <w:r>
              <w:rPr>
                <w:rFonts w:ascii="Arial" w:cs="Arial" w:eastAsia="Arial" w:hAnsi="Arial"/>
                <w:sz w:val="18"/>
                <w:szCs w:val="18"/>
                <w:color w:val="auto"/>
              </w:rPr>
              <w:t>Party A and Party B</w:t>
            </w:r>
          </w:p>
        </w:tc>
        <w:tc>
          <w:tcPr>
            <w:tcW w:w="120" w:type="dxa"/>
            <w:vAlign w:val="bottom"/>
          </w:tcPr>
          <w:p>
            <w:pPr>
              <w:spacing w:after="0"/>
              <w:rPr>
                <w:sz w:val="16"/>
                <w:szCs w:val="16"/>
                <w:color w:val="auto"/>
              </w:rPr>
            </w:pPr>
          </w:p>
        </w:tc>
        <w:tc>
          <w:tcPr>
            <w:tcW w:w="2740" w:type="dxa"/>
            <w:vAlign w:val="bottom"/>
          </w:tcPr>
          <w:p>
            <w:pPr>
              <w:spacing w:after="0" w:line="195" w:lineRule="exact"/>
              <w:rPr>
                <w:sz w:val="20"/>
                <w:szCs w:val="20"/>
                <w:color w:val="auto"/>
              </w:rPr>
            </w:pPr>
            <w:r>
              <w:rPr>
                <w:rFonts w:ascii="Arial" w:cs="Arial" w:eastAsia="Arial" w:hAnsi="Arial"/>
                <w:sz w:val="18"/>
                <w:szCs w:val="18"/>
                <w:color w:val="auto"/>
              </w:rPr>
              <w:t>Either (i) a signature booklet</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88"/>
              </w:rPr>
              <w:t>containing a secretary’s certificate and</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1"/>
              </w:rPr>
              <w:t>resolutions (“authorizing resolutions”)</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4"/>
              </w:rPr>
              <w:t>or (ii) other authority documentation,</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88"/>
              </w:rPr>
              <w:t>in either case, which (x) authorizes the</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party to enter into derivatives</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0"/>
              </w:rPr>
              <w:t>transactions of the type contemplated</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7"/>
              </w:rPr>
              <w:t>by the parties and (y) is reasonably</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2"/>
              </w:rPr>
              <w:t>satisfactory in form and substance to</w:t>
            </w: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the other party.</w:t>
            </w:r>
          </w:p>
        </w:tc>
      </w:tr>
      <w:tr>
        <w:trPr>
          <w:trHeight w:val="318"/>
        </w:trPr>
        <w:tc>
          <w:tcPr>
            <w:tcW w:w="2980" w:type="dxa"/>
            <w:vAlign w:val="bottom"/>
          </w:tcPr>
          <w:p>
            <w:pPr>
              <w:spacing w:after="0"/>
              <w:rPr>
                <w:sz w:val="20"/>
                <w:szCs w:val="20"/>
                <w:color w:val="auto"/>
              </w:rPr>
            </w:pPr>
            <w:r>
              <w:rPr>
                <w:rFonts w:ascii="Arial" w:cs="Arial" w:eastAsia="Arial" w:hAnsi="Arial"/>
                <w:sz w:val="18"/>
                <w:szCs w:val="18"/>
                <w:color w:val="auto"/>
              </w:rPr>
              <w:t>Party A and Party B</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Certified copies of documents</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7"/>
              </w:rPr>
              <w:t>evidencing each party’s capacity to</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execute this Agreement, each</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3"/>
              </w:rPr>
              <w:t>Confirmation and any Credit Support</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Document (if applicable) and to</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1"/>
              </w:rPr>
              <w:t>perform its obligations hereunder and</w:t>
            </w: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thereunder.</w:t>
            </w:r>
          </w:p>
        </w:tc>
      </w:tr>
    </w:tbl>
    <w:p>
      <w:pPr>
        <w:spacing w:after="0" w:line="20" w:lineRule="exact"/>
        <w:rPr>
          <w:sz w:val="20"/>
          <w:szCs w:val="20"/>
          <w:color w:val="auto"/>
        </w:rPr>
      </w:pPr>
      <w:r>
        <w:rPr>
          <w:sz w:val="20"/>
          <w:szCs w:val="20"/>
          <w:color w:val="auto"/>
        </w:rPr>
        <w:br w:type="column"/>
      </w:r>
    </w:p>
    <w:p>
      <w:pPr>
        <w:ind w:left="3820"/>
        <w:spacing w:after="0"/>
        <w:rPr>
          <w:sz w:val="20"/>
          <w:szCs w:val="20"/>
          <w:color w:val="auto"/>
        </w:rPr>
      </w:pPr>
      <w:r>
        <w:rPr>
          <w:rFonts w:ascii="Arial" w:cs="Arial" w:eastAsia="Arial" w:hAnsi="Arial"/>
          <w:sz w:val="12"/>
          <w:szCs w:val="12"/>
          <w:b w:val="1"/>
          <w:bCs w:val="1"/>
          <w:color w:val="auto"/>
        </w:rPr>
        <w:t>Covered by</w:t>
      </w:r>
    </w:p>
    <w:p>
      <w:pPr>
        <w:spacing w:after="0" w:line="25" w:lineRule="exact"/>
        <w:rPr>
          <w:sz w:val="20"/>
          <w:szCs w:val="20"/>
          <w:color w:val="auto"/>
        </w:rPr>
      </w:pPr>
    </w:p>
    <w:p>
      <w:pPr>
        <w:ind w:left="3800"/>
        <w:spacing w:after="0"/>
        <w:rPr>
          <w:sz w:val="20"/>
          <w:szCs w:val="20"/>
          <w:color w:val="auto"/>
        </w:rPr>
      </w:pPr>
      <w:r>
        <w:rPr>
          <w:rFonts w:ascii="Arial" w:cs="Arial" w:eastAsia="Arial" w:hAnsi="Arial"/>
          <w:sz w:val="12"/>
          <w:szCs w:val="12"/>
          <w:b w:val="1"/>
          <w:bCs w:val="1"/>
          <w:color w:val="auto"/>
        </w:rPr>
        <w:t>Section 3(d)</w:t>
      </w:r>
    </w:p>
    <w:p>
      <w:pPr>
        <w:spacing w:after="0" w:line="10" w:lineRule="exact"/>
        <w:rPr>
          <w:sz w:val="20"/>
          <w:szCs w:val="20"/>
          <w:color w:val="auto"/>
        </w:rPr>
      </w:pPr>
    </w:p>
    <w:p>
      <w:pPr>
        <w:jc w:val="right"/>
        <w:ind w:right="800"/>
        <w:spacing w:after="0"/>
        <w:tabs>
          <w:tab w:leader="none" w:pos="840" w:val="left"/>
        </w:tabs>
        <w:rPr>
          <w:sz w:val="20"/>
          <w:szCs w:val="20"/>
          <w:color w:val="auto"/>
        </w:rPr>
      </w:pPr>
      <w:r>
        <w:rPr>
          <w:rFonts w:ascii="Arial" w:cs="Arial" w:eastAsia="Arial" w:hAnsi="Arial"/>
          <w:sz w:val="14"/>
          <w:szCs w:val="14"/>
          <w:b w:val="1"/>
          <w:bCs w:val="1"/>
          <w:color w:val="auto"/>
        </w:rPr>
        <w:t>Date by which to be delivered</w:t>
      </w:r>
      <w:r>
        <w:rPr>
          <w:sz w:val="20"/>
          <w:szCs w:val="20"/>
          <w:color w:val="auto"/>
        </w:rPr>
        <w:tab/>
      </w:r>
      <w:r>
        <w:rPr>
          <w:rFonts w:ascii="Arial" w:cs="Arial" w:eastAsia="Arial" w:hAnsi="Arial"/>
          <w:sz w:val="11"/>
          <w:szCs w:val="11"/>
          <w:b w:val="1"/>
          <w:bCs w:val="1"/>
          <w:color w:val="auto"/>
        </w:rPr>
        <w:t>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635</wp:posOffset>
            </wp:positionV>
            <wp:extent cx="34645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464560" cy="8890"/>
                    </a:xfrm>
                    <a:prstGeom prst="rect">
                      <a:avLst/>
                    </a:prstGeom>
                    <a:noFill/>
                  </pic:spPr>
                </pic:pic>
              </a:graphicData>
            </a:graphic>
          </wp:anchor>
        </w:drawing>
      </w:r>
    </w:p>
    <w:p>
      <w:pPr>
        <w:ind w:right="2280"/>
        <w:spacing w:after="0" w:line="259" w:lineRule="auto"/>
        <w:rPr>
          <w:sz w:val="20"/>
          <w:szCs w:val="20"/>
          <w:color w:val="auto"/>
        </w:rPr>
      </w:pPr>
      <w:r>
        <w:rPr>
          <w:rFonts w:ascii="Arial" w:cs="Arial" w:eastAsia="Arial" w:hAnsi="Arial"/>
          <w:sz w:val="18"/>
          <w:szCs w:val="18"/>
          <w:color w:val="auto"/>
        </w:rPr>
        <w:t>Upon execution of this Agreement and Yes as deemed necessary for any future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color w:val="auto"/>
        </w:rPr>
        <w:t>As soon as practicable after the</w:t>
      </w:r>
      <w:r>
        <w:rPr>
          <w:sz w:val="20"/>
          <w:szCs w:val="20"/>
          <w:color w:val="auto"/>
        </w:rPr>
        <w:tab/>
      </w:r>
      <w:r>
        <w:rPr>
          <w:rFonts w:ascii="Arial" w:cs="Arial" w:eastAsia="Arial" w:hAnsi="Arial"/>
          <w:sz w:val="15"/>
          <w:szCs w:val="15"/>
          <w:color w:val="auto"/>
        </w:rPr>
        <w:t>Yes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execution of this Agreement,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a Confirmation, upon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other party’s request.</w:t>
      </w:r>
    </w:p>
    <w:p>
      <w:pPr>
        <w:spacing w:after="0" w:line="759" w:lineRule="exact"/>
        <w:rPr>
          <w:sz w:val="20"/>
          <w:szCs w:val="20"/>
          <w:color w:val="auto"/>
        </w:rPr>
      </w:pPr>
    </w:p>
    <w:p>
      <w:pPr>
        <w:sectPr>
          <w:pgSz w:w="11900" w:h="16838" w:orient="portrait"/>
          <w:cols w:equalWidth="0" w:num="2">
            <w:col w:w="5840" w:space="120"/>
            <w:col w:w="5380"/>
          </w:cols>
          <w:pgMar w:left="240" w:top="280" w:right="319" w:bottom="1440" w:gutter="0" w:footer="0" w:header="0"/>
          <w:type w:val="continuous"/>
        </w:sectPr>
      </w:pPr>
    </w:p>
    <w:p>
      <w:pPr>
        <w:spacing w:after="0"/>
        <w:tabs>
          <w:tab w:leader="none" w:pos="3080" w:val="left"/>
        </w:tabs>
        <w:rPr>
          <w:sz w:val="20"/>
          <w:szCs w:val="20"/>
          <w:color w:val="auto"/>
        </w:rPr>
      </w:pPr>
      <w:r>
        <w:rPr>
          <w:rFonts w:ascii="Arial" w:cs="Arial" w:eastAsia="Arial" w:hAnsi="Arial"/>
          <w:sz w:val="18"/>
          <w:szCs w:val="18"/>
          <w:color w:val="auto"/>
        </w:rPr>
        <w:t>Party A and Party B</w:t>
      </w:r>
      <w:r>
        <w:rPr>
          <w:sz w:val="20"/>
          <w:szCs w:val="20"/>
          <w:color w:val="auto"/>
        </w:rPr>
        <w:tab/>
      </w:r>
      <w:r>
        <w:rPr>
          <w:rFonts w:ascii="Arial" w:cs="Arial" w:eastAsia="Arial" w:hAnsi="Arial"/>
          <w:sz w:val="16"/>
          <w:szCs w:val="16"/>
          <w:color w:val="auto"/>
        </w:rPr>
        <w:t>A copy of the annual report of such</w:t>
      </w:r>
    </w:p>
    <w:p>
      <w:pPr>
        <w:spacing w:after="0" w:line="15"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party (in the case of Party A, in</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respect of Lehman Brothers Holdings</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Inc.) containing audited consolidated</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financial statements for each such</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fiscal year, certified by independent</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certified public accountants and</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5"/>
          <w:szCs w:val="15"/>
          <w:color w:val="auto"/>
        </w:rPr>
        <w:t>prepared in accordance with generally</w:t>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16"/>
          <w:szCs w:val="16"/>
          <w:color w:val="auto"/>
        </w:rPr>
        <w:t>accepted accounting principles in the</w:t>
      </w:r>
    </w:p>
    <w:p>
      <w:pPr>
        <w:spacing w:after="0" w:line="32"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country in which such party is</w:t>
      </w:r>
    </w:p>
    <w:p>
      <w:pPr>
        <w:spacing w:after="0" w:line="9" w:lineRule="exact"/>
        <w:rPr>
          <w:sz w:val="20"/>
          <w:szCs w:val="20"/>
          <w:color w:val="auto"/>
        </w:rPr>
      </w:pPr>
    </w:p>
    <w:p>
      <w:pPr>
        <w:ind w:left="3100"/>
        <w:spacing w:after="0"/>
        <w:rPr>
          <w:sz w:val="20"/>
          <w:szCs w:val="20"/>
          <w:color w:val="auto"/>
        </w:rPr>
      </w:pPr>
      <w:r>
        <w:rPr>
          <w:rFonts w:ascii="Arial" w:cs="Arial" w:eastAsia="Arial" w:hAnsi="Arial"/>
          <w:sz w:val="18"/>
          <w:szCs w:val="18"/>
          <w:color w:val="auto"/>
        </w:rPr>
        <w:t>organized.</w:t>
      </w:r>
    </w:p>
    <w:p>
      <w:pPr>
        <w:spacing w:after="0" w:line="1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br w:type="column"/>
      </w:r>
    </w:p>
    <w:p>
      <w:pPr>
        <w:spacing w:after="0"/>
        <w:tabs>
          <w:tab w:leader="none" w:pos="2820" w:val="left"/>
        </w:tabs>
        <w:rPr>
          <w:sz w:val="20"/>
          <w:szCs w:val="20"/>
          <w:color w:val="auto"/>
        </w:rPr>
      </w:pPr>
      <w:r>
        <w:rPr>
          <w:rFonts w:ascii="Arial" w:cs="Arial" w:eastAsia="Arial" w:hAnsi="Arial"/>
          <w:sz w:val="18"/>
          <w:szCs w:val="18"/>
          <w:color w:val="auto"/>
        </w:rPr>
        <w:t>As soon as practicable after the</w:t>
      </w:r>
      <w:r>
        <w:rPr>
          <w:sz w:val="20"/>
          <w:szCs w:val="20"/>
          <w:color w:val="auto"/>
        </w:rPr>
        <w:tab/>
      </w:r>
      <w:r>
        <w:rPr>
          <w:rFonts w:ascii="Arial" w:cs="Arial" w:eastAsia="Arial" w:hAnsi="Arial"/>
          <w:sz w:val="15"/>
          <w:szCs w:val="15"/>
          <w:color w:val="auto"/>
        </w:rPr>
        <w:t>Yes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execution of this Agreement and also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within 120 calendar days after the end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each fiscal year while there are 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obligations outstanding under this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Agreement; provided that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foregoing delivery obligation of Party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 shall be deemed to be satisfied for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so long as Lehman Commercial Paper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 is the Administrative Agent or</w:t>
      </w:r>
    </w:p>
    <w:p>
      <w:pPr>
        <w:sectPr>
          <w:pgSz w:w="11900" w:h="16838" w:orient="portrait"/>
          <w:cols w:equalWidth="0" w:num="2">
            <w:col w:w="5800" w:space="160"/>
            <w:col w:w="5380"/>
          </w:cols>
          <w:pgMar w:left="240" w:top="280" w:right="319" w:bottom="1440" w:gutter="0" w:footer="0" w:header="0"/>
          <w:type w:val="continuous"/>
        </w:sectPr>
      </w:pPr>
    </w:p>
    <w:bookmarkStart w:id="123" w:name="page124"/>
    <w:bookmarkEnd w:id="123"/>
    <w:p>
      <w:pPr>
        <w:spacing w:after="0" w:line="13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61"/>
        </w:trPr>
        <w:tc>
          <w:tcPr>
            <w:tcW w:w="2980" w:type="dxa"/>
            <w:vAlign w:val="bottom"/>
          </w:tcPr>
          <w:p>
            <w:pPr>
              <w:spacing w:after="0"/>
              <w:rPr>
                <w:sz w:val="20"/>
                <w:szCs w:val="20"/>
                <w:color w:val="auto"/>
              </w:rPr>
            </w:pPr>
            <w:r>
              <w:rPr>
                <w:rFonts w:ascii="Arial" w:cs="Arial" w:eastAsia="Arial" w:hAnsi="Arial"/>
                <w:sz w:val="14"/>
                <w:szCs w:val="14"/>
                <w:b w:val="1"/>
                <w:bCs w:val="1"/>
                <w:color w:val="auto"/>
              </w:rPr>
              <w:t>Party required to</w:t>
            </w: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29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Deliver document</w:t>
            </w:r>
          </w:p>
        </w:tc>
        <w:tc>
          <w:tcPr>
            <w:tcW w:w="120" w:type="dxa"/>
            <w:vAlign w:val="bottom"/>
          </w:tcPr>
          <w:p>
            <w:pPr>
              <w:spacing w:after="0"/>
              <w:rPr>
                <w:sz w:val="14"/>
                <w:szCs w:val="14"/>
                <w:color w:val="auto"/>
              </w:rPr>
            </w:pPr>
          </w:p>
        </w:tc>
        <w:tc>
          <w:tcPr>
            <w:tcW w:w="27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Form/Document/Certificate</w:t>
            </w:r>
          </w:p>
        </w:tc>
        <w:tc>
          <w:tcPr>
            <w:tcW w:w="120" w:type="dxa"/>
            <w:vAlign w:val="bottom"/>
          </w:tcPr>
          <w:p>
            <w:pPr>
              <w:spacing w:after="0"/>
              <w:rPr>
                <w:sz w:val="14"/>
                <w:szCs w:val="14"/>
                <w:color w:val="auto"/>
              </w:rPr>
            </w:pPr>
          </w:p>
        </w:tc>
        <w:tc>
          <w:tcPr>
            <w:tcW w:w="2740" w:type="dxa"/>
            <w:vAlign w:val="bottom"/>
            <w:tcBorders>
              <w:bottom w:val="single" w:sz="8" w:color="auto"/>
            </w:tcBorders>
          </w:tcPr>
          <w:p>
            <w:pPr>
              <w:ind w:left="520"/>
              <w:spacing w:after="0"/>
              <w:rPr>
                <w:sz w:val="20"/>
                <w:szCs w:val="20"/>
                <w:color w:val="auto"/>
              </w:rPr>
            </w:pPr>
            <w:r>
              <w:rPr>
                <w:rFonts w:ascii="Arial" w:cs="Arial" w:eastAsia="Arial" w:hAnsi="Arial"/>
                <w:sz w:val="14"/>
                <w:szCs w:val="14"/>
                <w:b w:val="1"/>
                <w:bCs w:val="1"/>
                <w:color w:val="auto"/>
              </w:rPr>
              <w:t>Date by which to be delivered</w:t>
            </w:r>
          </w:p>
        </w:tc>
        <w:tc>
          <w:tcPr>
            <w:tcW w:w="360" w:type="dxa"/>
            <w:vAlign w:val="bottom"/>
          </w:tcPr>
          <w:p>
            <w:pPr>
              <w:spacing w:after="0"/>
              <w:rPr>
                <w:sz w:val="14"/>
                <w:szCs w:val="14"/>
                <w:color w:val="auto"/>
              </w:rPr>
            </w:pPr>
          </w:p>
        </w:tc>
      </w:tr>
      <w:tr>
        <w:trPr>
          <w:trHeight w:val="208"/>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Lehman Brothers Inc. is a Lender</w:t>
            </w:r>
          </w:p>
        </w:tc>
        <w:tc>
          <w:tcPr>
            <w:tcW w:w="360" w:type="dxa"/>
            <w:vAlign w:val="bottom"/>
          </w:tcPr>
          <w:p>
            <w:pPr>
              <w:spacing w:after="0"/>
              <w:rPr>
                <w:sz w:val="18"/>
                <w:szCs w:val="18"/>
                <w:color w:val="auto"/>
              </w:rPr>
            </w:pP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8"/>
              </w:rPr>
              <w:t>(each term as defined in the Credit</w:t>
            </w:r>
          </w:p>
        </w:tc>
        <w:tc>
          <w:tcPr>
            <w:tcW w:w="360" w:type="dxa"/>
            <w:vAlign w:val="bottom"/>
          </w:tcPr>
          <w:p>
            <w:pPr>
              <w:spacing w:after="0"/>
              <w:rPr>
                <w:sz w:val="18"/>
                <w:szCs w:val="18"/>
                <w:color w:val="auto"/>
              </w:rPr>
            </w:pP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rPr>
              <w:t>Agreement).</w:t>
            </w:r>
          </w:p>
        </w:tc>
        <w:tc>
          <w:tcPr>
            <w:tcW w:w="360" w:type="dxa"/>
            <w:vAlign w:val="bottom"/>
          </w:tcPr>
          <w:p>
            <w:pPr>
              <w:spacing w:after="0"/>
              <w:rPr>
                <w:sz w:val="19"/>
                <w:szCs w:val="19"/>
                <w:color w:val="auto"/>
              </w:rPr>
            </w:pPr>
          </w:p>
        </w:tc>
      </w:tr>
      <w:tr>
        <w:trPr>
          <w:trHeight w:val="318"/>
        </w:trPr>
        <w:tc>
          <w:tcPr>
            <w:tcW w:w="2980" w:type="dxa"/>
            <w:vAlign w:val="bottom"/>
          </w:tcPr>
          <w:p>
            <w:pPr>
              <w:spacing w:after="0"/>
              <w:rPr>
                <w:sz w:val="20"/>
                <w:szCs w:val="20"/>
                <w:color w:val="auto"/>
              </w:rPr>
            </w:pPr>
            <w:r>
              <w:rPr>
                <w:rFonts w:ascii="Arial" w:cs="Arial" w:eastAsia="Arial" w:hAnsi="Arial"/>
                <w:sz w:val="18"/>
                <w:szCs w:val="18"/>
                <w:color w:val="auto"/>
              </w:rPr>
              <w:t>Party A</w:t>
            </w:r>
          </w:p>
        </w:tc>
        <w:tc>
          <w:tcPr>
            <w:tcW w:w="120" w:type="dxa"/>
            <w:vAlign w:val="bottom"/>
          </w:tcPr>
          <w:p>
            <w:pPr>
              <w:spacing w:after="0"/>
              <w:rPr>
                <w:sz w:val="24"/>
                <w:szCs w:val="24"/>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9"/>
              </w:rPr>
              <w:t>A duly executed copy of the Credit</w:t>
            </w:r>
          </w:p>
        </w:tc>
        <w:tc>
          <w:tcPr>
            <w:tcW w:w="2860" w:type="dxa"/>
            <w:vAlign w:val="bottom"/>
            <w:gridSpan w:val="2"/>
          </w:tcPr>
          <w:p>
            <w:pPr>
              <w:ind w:left="120"/>
              <w:spacing w:after="0"/>
              <w:rPr>
                <w:sz w:val="20"/>
                <w:szCs w:val="20"/>
                <w:color w:val="auto"/>
              </w:rPr>
            </w:pPr>
            <w:r>
              <w:rPr>
                <w:rFonts w:ascii="Arial" w:cs="Arial" w:eastAsia="Arial" w:hAnsi="Arial"/>
                <w:sz w:val="18"/>
                <w:szCs w:val="18"/>
                <w:color w:val="auto"/>
                <w:w w:val="98"/>
              </w:rPr>
              <w:t>Upon execution of this Agreement.</w:t>
            </w:r>
          </w:p>
        </w:tc>
        <w:tc>
          <w:tcPr>
            <w:tcW w:w="360" w:type="dxa"/>
            <w:vAlign w:val="bottom"/>
          </w:tcPr>
          <w:p>
            <w:pPr>
              <w:ind w:left="100"/>
              <w:spacing w:after="0"/>
              <w:rPr>
                <w:sz w:val="20"/>
                <w:szCs w:val="20"/>
                <w:color w:val="auto"/>
              </w:rPr>
            </w:pPr>
            <w:r>
              <w:rPr>
                <w:rFonts w:ascii="Arial" w:cs="Arial" w:eastAsia="Arial" w:hAnsi="Arial"/>
                <w:sz w:val="18"/>
                <w:szCs w:val="18"/>
                <w:color w:val="auto"/>
                <w:w w:val="77"/>
              </w:rPr>
              <w:t>Yes</w:t>
            </w:r>
          </w:p>
        </w:tc>
      </w:tr>
      <w:tr>
        <w:trPr>
          <w:trHeight w:val="216"/>
        </w:trPr>
        <w:tc>
          <w:tcPr>
            <w:tcW w:w="2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1"/>
              </w:rPr>
              <w:t>Support Document specified in Part 4</w:t>
            </w:r>
          </w:p>
        </w:tc>
        <w:tc>
          <w:tcPr>
            <w:tcW w:w="1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22"/>
        </w:trPr>
        <w:tc>
          <w:tcPr>
            <w:tcW w:w="2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rPr>
              <w:t>of this Schedule.</w:t>
            </w:r>
          </w:p>
        </w:tc>
        <w:tc>
          <w:tcPr>
            <w:tcW w:w="12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60" w:type="dxa"/>
            <w:vAlign w:val="bottom"/>
          </w:tcPr>
          <w:p>
            <w:pPr>
              <w:spacing w:after="0"/>
              <w:rPr>
                <w:sz w:val="19"/>
                <w:szCs w:val="19"/>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Part 4. </w:t>
      </w: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90" w:lineRule="exact"/>
        <w:rPr>
          <w:sz w:val="20"/>
          <w:szCs w:val="20"/>
          <w:color w:val="auto"/>
        </w:rPr>
      </w:pPr>
    </w:p>
    <w:p>
      <w:pPr>
        <w:ind w:left="460" w:hanging="452"/>
        <w:spacing w:after="0"/>
        <w:tabs>
          <w:tab w:leader="none" w:pos="460" w:val="left"/>
        </w:tabs>
        <w:numPr>
          <w:ilvl w:val="0"/>
          <w:numId w:val="220"/>
        </w:numPr>
        <w:rPr>
          <w:rFonts w:ascii="Arial" w:cs="Arial" w:eastAsia="Arial" w:hAnsi="Arial"/>
          <w:sz w:val="18"/>
          <w:szCs w:val="18"/>
          <w:color w:val="auto"/>
        </w:rPr>
      </w:pPr>
      <w:r>
        <w:rPr>
          <w:rFonts w:ascii="Arial" w:cs="Arial" w:eastAsia="Arial" w:hAnsi="Arial"/>
          <w:sz w:val="18"/>
          <w:szCs w:val="18"/>
          <w:b w:val="1"/>
          <w:bCs w:val="1"/>
          <w:color w:val="auto"/>
        </w:rPr>
        <w:t xml:space="preserve">Addresses for Notices. </w:t>
      </w:r>
      <w:r>
        <w:rPr>
          <w:rFonts w:ascii="Arial" w:cs="Arial" w:eastAsia="Arial" w:hAnsi="Arial"/>
          <w:sz w:val="18"/>
          <w:szCs w:val="18"/>
          <w:color w:val="auto"/>
        </w:rPr>
        <w:t>For the purpose of Section 12(a) of this Agreement:</w:t>
      </w:r>
    </w:p>
    <w:p>
      <w:pPr>
        <w:spacing w:after="0" w:line="96" w:lineRule="exact"/>
        <w:rPr>
          <w:rFonts w:ascii="Arial" w:cs="Arial" w:eastAsia="Arial" w:hAnsi="Arial"/>
          <w:sz w:val="18"/>
          <w:szCs w:val="18"/>
          <w:color w:val="auto"/>
        </w:rPr>
      </w:pPr>
    </w:p>
    <w:p>
      <w:pPr>
        <w:ind w:left="900" w:hanging="446"/>
        <w:spacing w:after="0"/>
        <w:tabs>
          <w:tab w:leader="none" w:pos="900" w:val="left"/>
        </w:tabs>
        <w:numPr>
          <w:ilvl w:val="1"/>
          <w:numId w:val="220"/>
        </w:numPr>
        <w:rPr>
          <w:rFonts w:ascii="Arial" w:cs="Arial" w:eastAsia="Arial" w:hAnsi="Arial"/>
          <w:sz w:val="18"/>
          <w:szCs w:val="18"/>
          <w:color w:val="auto"/>
        </w:rPr>
      </w:pPr>
      <w:r>
        <w:rPr>
          <w:rFonts w:ascii="Arial" w:cs="Arial" w:eastAsia="Arial" w:hAnsi="Arial"/>
          <w:sz w:val="18"/>
          <w:szCs w:val="18"/>
          <w:color w:val="auto"/>
        </w:rPr>
        <w:t>Address for notices or communications to Party A:</w:t>
      </w:r>
    </w:p>
    <w:p>
      <w:pPr>
        <w:spacing w:after="0" w:line="90" w:lineRule="exact"/>
        <w:rPr>
          <w:rFonts w:ascii="Arial" w:cs="Arial" w:eastAsia="Arial" w:hAnsi="Arial"/>
          <w:sz w:val="18"/>
          <w:szCs w:val="18"/>
          <w:color w:val="auto"/>
        </w:rPr>
      </w:pPr>
    </w:p>
    <w:p>
      <w:pPr>
        <w:ind w:left="900" w:right="5320"/>
        <w:spacing w:after="0" w:line="286" w:lineRule="auto"/>
        <w:rPr>
          <w:rFonts w:ascii="Arial" w:cs="Arial" w:eastAsia="Arial" w:hAnsi="Arial"/>
          <w:sz w:val="18"/>
          <w:szCs w:val="18"/>
          <w:color w:val="auto"/>
        </w:rPr>
      </w:pPr>
      <w:r>
        <w:rPr>
          <w:rFonts w:ascii="Arial" w:cs="Arial" w:eastAsia="Arial" w:hAnsi="Arial"/>
          <w:sz w:val="16"/>
          <w:szCs w:val="16"/>
          <w:color w:val="auto"/>
        </w:rPr>
        <w:t>Lehman Brothers Special Financing Inc. c/o Lehman Brothers Inc.</w:t>
      </w:r>
    </w:p>
    <w:p>
      <w:pPr>
        <w:ind w:left="900" w:right="5880"/>
        <w:spacing w:after="0" w:line="250" w:lineRule="auto"/>
        <w:rPr>
          <w:rFonts w:ascii="Arial" w:cs="Arial" w:eastAsia="Arial" w:hAnsi="Arial"/>
          <w:sz w:val="18"/>
          <w:szCs w:val="18"/>
          <w:color w:val="auto"/>
        </w:rPr>
      </w:pPr>
      <w:r>
        <w:rPr>
          <w:rFonts w:ascii="Arial" w:cs="Arial" w:eastAsia="Arial" w:hAnsi="Arial"/>
          <w:sz w:val="18"/>
          <w:szCs w:val="18"/>
          <w:color w:val="auto"/>
        </w:rPr>
        <w:t>Corporate Advisory Division Transaction Management Group 745 Seventh Avenue</w:t>
      </w:r>
    </w:p>
    <w:p>
      <w:pPr>
        <w:spacing w:after="0" w:line="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New York, NY 10019</w:t>
      </w:r>
    </w:p>
    <w:p>
      <w:pPr>
        <w:spacing w:after="0" w:line="84"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Attention:</w:t>
            </w:r>
          </w:p>
        </w:tc>
        <w:tc>
          <w:tcPr>
            <w:tcW w:w="1880" w:type="dxa"/>
            <w:vAlign w:val="bottom"/>
          </w:tcPr>
          <w:p>
            <w:pPr>
              <w:ind w:left="140"/>
              <w:spacing w:after="0"/>
              <w:rPr>
                <w:sz w:val="20"/>
                <w:szCs w:val="20"/>
                <w:color w:val="auto"/>
              </w:rPr>
            </w:pPr>
            <w:r>
              <w:rPr>
                <w:rFonts w:ascii="Arial" w:cs="Arial" w:eastAsia="Arial" w:hAnsi="Arial"/>
                <w:sz w:val="18"/>
                <w:szCs w:val="18"/>
                <w:color w:val="auto"/>
                <w:w w:val="87"/>
              </w:rPr>
              <w:t>Documentation Manager</w:t>
            </w: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w w:val="97"/>
              </w:rPr>
              <w:t>Telephone No.:</w:t>
            </w:r>
          </w:p>
        </w:tc>
        <w:tc>
          <w:tcPr>
            <w:tcW w:w="1880" w:type="dxa"/>
            <w:vAlign w:val="bottom"/>
          </w:tcPr>
          <w:p>
            <w:pPr>
              <w:ind w:left="140"/>
              <w:spacing w:after="0"/>
              <w:rPr>
                <w:sz w:val="20"/>
                <w:szCs w:val="20"/>
                <w:color w:val="auto"/>
              </w:rPr>
            </w:pPr>
            <w:r>
              <w:rPr>
                <w:rFonts w:ascii="Arial" w:cs="Arial" w:eastAsia="Arial" w:hAnsi="Arial"/>
                <w:sz w:val="18"/>
                <w:szCs w:val="18"/>
                <w:color w:val="auto"/>
              </w:rPr>
              <w:t>(212) 526-7187</w:t>
            </w:r>
          </w:p>
        </w:tc>
      </w:tr>
      <w:tr>
        <w:trPr>
          <w:trHeight w:val="222"/>
        </w:trPr>
        <w:tc>
          <w:tcPr>
            <w:tcW w:w="1220" w:type="dxa"/>
            <w:vAlign w:val="bottom"/>
          </w:tcPr>
          <w:p>
            <w:pPr>
              <w:spacing w:after="0"/>
              <w:rPr>
                <w:sz w:val="20"/>
                <w:szCs w:val="20"/>
                <w:color w:val="auto"/>
              </w:rPr>
            </w:pPr>
            <w:r>
              <w:rPr>
                <w:rFonts w:ascii="Arial" w:cs="Arial" w:eastAsia="Arial" w:hAnsi="Arial"/>
                <w:sz w:val="18"/>
                <w:szCs w:val="18"/>
                <w:color w:val="auto"/>
              </w:rPr>
              <w:t>Facsimile No.:</w:t>
            </w:r>
          </w:p>
        </w:tc>
        <w:tc>
          <w:tcPr>
            <w:tcW w:w="1880" w:type="dxa"/>
            <w:vAlign w:val="bottom"/>
          </w:tcPr>
          <w:p>
            <w:pPr>
              <w:ind w:left="140"/>
              <w:spacing w:after="0"/>
              <w:rPr>
                <w:sz w:val="20"/>
                <w:szCs w:val="20"/>
                <w:color w:val="auto"/>
              </w:rPr>
            </w:pPr>
            <w:r>
              <w:rPr>
                <w:rFonts w:ascii="Arial" w:cs="Arial" w:eastAsia="Arial" w:hAnsi="Arial"/>
                <w:sz w:val="18"/>
                <w:szCs w:val="18"/>
                <w:color w:val="auto"/>
              </w:rPr>
              <w:t>(212) 526-7672</w:t>
            </w:r>
          </w:p>
        </w:tc>
      </w:tr>
    </w:tbl>
    <w:p>
      <w:pPr>
        <w:spacing w:after="0" w:line="7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For all purposes.</w:t>
      </w:r>
    </w:p>
    <w:p>
      <w:pPr>
        <w:spacing w:after="0" w:line="90" w:lineRule="exact"/>
        <w:rPr>
          <w:sz w:val="20"/>
          <w:szCs w:val="20"/>
          <w:color w:val="auto"/>
        </w:rPr>
      </w:pPr>
    </w:p>
    <w:p>
      <w:pPr>
        <w:ind w:left="900" w:hanging="446"/>
        <w:spacing w:after="0"/>
        <w:tabs>
          <w:tab w:leader="none" w:pos="900" w:val="left"/>
        </w:tabs>
        <w:numPr>
          <w:ilvl w:val="1"/>
          <w:numId w:val="221"/>
        </w:numPr>
        <w:rPr>
          <w:rFonts w:ascii="Arial" w:cs="Arial" w:eastAsia="Arial" w:hAnsi="Arial"/>
          <w:sz w:val="18"/>
          <w:szCs w:val="18"/>
          <w:color w:val="auto"/>
        </w:rPr>
      </w:pPr>
      <w:r>
        <w:rPr>
          <w:rFonts w:ascii="Arial" w:cs="Arial" w:eastAsia="Arial" w:hAnsi="Arial"/>
          <w:sz w:val="18"/>
          <w:szCs w:val="18"/>
          <w:color w:val="auto"/>
        </w:rPr>
        <w:t>Address for notices or communications to Party B:</w:t>
      </w:r>
    </w:p>
    <w:p>
      <w:pPr>
        <w:spacing w:after="0" w:line="90"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National CineMedia, LLC</w:t>
      </w:r>
    </w:p>
    <w:p>
      <w:pPr>
        <w:spacing w:after="0" w:line="15" w:lineRule="exact"/>
        <w:rPr>
          <w:rFonts w:ascii="Arial" w:cs="Arial" w:eastAsia="Arial" w:hAnsi="Arial"/>
          <w:sz w:val="18"/>
          <w:szCs w:val="18"/>
          <w:color w:val="auto"/>
        </w:rPr>
      </w:pPr>
    </w:p>
    <w:p>
      <w:pPr>
        <w:ind w:left="900" w:right="5300"/>
        <w:spacing w:after="0" w:line="250" w:lineRule="auto"/>
        <w:rPr>
          <w:rFonts w:ascii="Arial" w:cs="Arial" w:eastAsia="Arial" w:hAnsi="Arial"/>
          <w:sz w:val="18"/>
          <w:szCs w:val="18"/>
          <w:color w:val="auto"/>
        </w:rPr>
      </w:pPr>
      <w:r>
        <w:rPr>
          <w:rFonts w:ascii="Arial" w:cs="Arial" w:eastAsia="Arial" w:hAnsi="Arial"/>
          <w:sz w:val="18"/>
          <w:szCs w:val="18"/>
          <w:color w:val="auto"/>
        </w:rPr>
        <w:t>9110 East Nichols Avenue, Suite 200 Centennial, CO 80112-3405 Attention: Gary Ferrera and David Oddo Telecopy: 303-792-8668</w:t>
      </w:r>
    </w:p>
    <w:p>
      <w:pPr>
        <w:spacing w:after="0" w:line="1"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Telephone: 303-792-3600</w:t>
      </w:r>
    </w:p>
    <w:p>
      <w:pPr>
        <w:spacing w:after="0" w:line="83"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With a copy to:</w:t>
      </w:r>
    </w:p>
    <w:p>
      <w:pPr>
        <w:spacing w:after="0" w:line="15" w:lineRule="exact"/>
        <w:rPr>
          <w:rFonts w:ascii="Arial" w:cs="Arial" w:eastAsia="Arial" w:hAnsi="Arial"/>
          <w:sz w:val="18"/>
          <w:szCs w:val="18"/>
          <w:color w:val="auto"/>
        </w:rPr>
      </w:pPr>
    </w:p>
    <w:p>
      <w:pPr>
        <w:ind w:left="900" w:right="5800"/>
        <w:spacing w:after="0" w:line="302" w:lineRule="auto"/>
        <w:rPr>
          <w:rFonts w:ascii="Arial" w:cs="Arial" w:eastAsia="Arial" w:hAnsi="Arial"/>
          <w:sz w:val="18"/>
          <w:szCs w:val="18"/>
          <w:color w:val="auto"/>
        </w:rPr>
      </w:pPr>
      <w:r>
        <w:rPr>
          <w:rFonts w:ascii="Arial" w:cs="Arial" w:eastAsia="Arial" w:hAnsi="Arial"/>
          <w:sz w:val="16"/>
          <w:szCs w:val="16"/>
          <w:color w:val="auto"/>
        </w:rPr>
        <w:t>Ralph E. Hardy, General Counsel Telecopy: 303-792-8649 Telephone: 303-792-3600</w:t>
      </w:r>
    </w:p>
    <w:p>
      <w:pPr>
        <w:spacing w:after="0" w:line="22" w:lineRule="exact"/>
        <w:rPr>
          <w:rFonts w:ascii="Arial" w:cs="Arial" w:eastAsia="Arial" w:hAnsi="Arial"/>
          <w:sz w:val="18"/>
          <w:szCs w:val="18"/>
          <w:color w:val="auto"/>
        </w:rPr>
      </w:pPr>
    </w:p>
    <w:p>
      <w:pPr>
        <w:ind w:left="460" w:hanging="452"/>
        <w:spacing w:after="0"/>
        <w:tabs>
          <w:tab w:leader="none" w:pos="460" w:val="left"/>
        </w:tabs>
        <w:numPr>
          <w:ilvl w:val="0"/>
          <w:numId w:val="222"/>
        </w:numPr>
        <w:rPr>
          <w:rFonts w:ascii="Arial" w:cs="Arial" w:eastAsia="Arial" w:hAnsi="Arial"/>
          <w:sz w:val="18"/>
          <w:szCs w:val="18"/>
          <w:color w:val="auto"/>
        </w:rPr>
      </w:pPr>
      <w:r>
        <w:rPr>
          <w:rFonts w:ascii="Arial" w:cs="Arial" w:eastAsia="Arial" w:hAnsi="Arial"/>
          <w:sz w:val="18"/>
          <w:szCs w:val="18"/>
          <w:b w:val="1"/>
          <w:bCs w:val="1"/>
          <w:color w:val="auto"/>
        </w:rPr>
        <w:t>Process Agent</w:t>
      </w:r>
      <w:r>
        <w:rPr>
          <w:rFonts w:ascii="Arial" w:cs="Arial" w:eastAsia="Arial" w:hAnsi="Arial"/>
          <w:sz w:val="18"/>
          <w:szCs w:val="18"/>
          <w:color w:val="auto"/>
        </w:rPr>
        <w:t>. For the purpose of Section 13(c) of this Agreement:</w:t>
      </w:r>
    </w:p>
    <w:p>
      <w:pPr>
        <w:spacing w:after="0" w:line="96" w:lineRule="exact"/>
        <w:rPr>
          <w:rFonts w:ascii="Arial" w:cs="Arial" w:eastAsia="Arial" w:hAnsi="Arial"/>
          <w:sz w:val="18"/>
          <w:szCs w:val="18"/>
          <w:color w:val="auto"/>
        </w:rPr>
      </w:pPr>
    </w:p>
    <w:p>
      <w:pPr>
        <w:ind w:left="900" w:hanging="446"/>
        <w:spacing w:after="0"/>
        <w:tabs>
          <w:tab w:leader="none" w:pos="900" w:val="left"/>
        </w:tabs>
        <w:numPr>
          <w:ilvl w:val="1"/>
          <w:numId w:val="222"/>
        </w:numPr>
        <w:rPr>
          <w:rFonts w:ascii="Arial" w:cs="Arial" w:eastAsia="Arial" w:hAnsi="Arial"/>
          <w:sz w:val="18"/>
          <w:szCs w:val="18"/>
          <w:color w:val="auto"/>
        </w:rPr>
      </w:pPr>
      <w:r>
        <w:rPr>
          <w:rFonts w:ascii="Arial" w:cs="Arial" w:eastAsia="Arial" w:hAnsi="Arial"/>
          <w:sz w:val="18"/>
          <w:szCs w:val="18"/>
          <w:color w:val="auto"/>
        </w:rPr>
        <w:t>Party B does not appoint a Process Agent.</w:t>
      </w:r>
    </w:p>
    <w:p>
      <w:pPr>
        <w:spacing w:after="0" w:line="90" w:lineRule="exact"/>
        <w:rPr>
          <w:sz w:val="20"/>
          <w:szCs w:val="20"/>
          <w:color w:val="auto"/>
        </w:rPr>
      </w:pPr>
    </w:p>
    <w:p>
      <w:pPr>
        <w:ind w:left="900" w:hanging="446"/>
        <w:spacing w:after="0"/>
        <w:tabs>
          <w:tab w:leader="none" w:pos="900" w:val="left"/>
        </w:tabs>
        <w:numPr>
          <w:ilvl w:val="1"/>
          <w:numId w:val="223"/>
        </w:numPr>
        <w:rPr>
          <w:rFonts w:ascii="Arial" w:cs="Arial" w:eastAsia="Arial" w:hAnsi="Arial"/>
          <w:sz w:val="18"/>
          <w:szCs w:val="18"/>
          <w:color w:val="auto"/>
        </w:rPr>
      </w:pPr>
      <w:r>
        <w:rPr>
          <w:rFonts w:ascii="Arial" w:cs="Arial" w:eastAsia="Arial" w:hAnsi="Arial"/>
          <w:sz w:val="18"/>
          <w:szCs w:val="18"/>
          <w:color w:val="auto"/>
        </w:rPr>
        <w:t>Party B does not appoint a Process Agent.</w:t>
      </w:r>
    </w:p>
    <w:p>
      <w:pPr>
        <w:spacing w:after="0" w:line="84" w:lineRule="exact"/>
        <w:rPr>
          <w:rFonts w:ascii="Arial" w:cs="Arial" w:eastAsia="Arial" w:hAnsi="Arial"/>
          <w:sz w:val="18"/>
          <w:szCs w:val="18"/>
          <w:color w:val="auto"/>
        </w:rPr>
      </w:pPr>
    </w:p>
    <w:p>
      <w:pPr>
        <w:ind w:left="460" w:hanging="452"/>
        <w:spacing w:after="0"/>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t>Offices</w:t>
      </w:r>
      <w:r>
        <w:rPr>
          <w:rFonts w:ascii="Arial" w:cs="Arial" w:eastAsia="Arial" w:hAnsi="Arial"/>
          <w:sz w:val="18"/>
          <w:szCs w:val="18"/>
          <w:color w:val="auto"/>
        </w:rPr>
        <w:t>. The provisions of Section 10(a) of this Agreement will apply to Party A and to Party B.</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224"/>
        </w:numPr>
        <w:rPr>
          <w:rFonts w:ascii="Arial" w:cs="Arial" w:eastAsia="Arial" w:hAnsi="Arial"/>
          <w:sz w:val="18"/>
          <w:szCs w:val="18"/>
          <w:color w:val="auto"/>
        </w:rPr>
      </w:pPr>
      <w:r>
        <w:rPr>
          <w:rFonts w:ascii="Arial" w:cs="Arial" w:eastAsia="Arial" w:hAnsi="Arial"/>
          <w:sz w:val="18"/>
          <w:szCs w:val="18"/>
          <w:b w:val="1"/>
          <w:bCs w:val="1"/>
          <w:color w:val="auto"/>
        </w:rPr>
        <w:t>Multibranch Party</w:t>
      </w:r>
      <w:r>
        <w:rPr>
          <w:rFonts w:ascii="Arial" w:cs="Arial" w:eastAsia="Arial" w:hAnsi="Arial"/>
          <w:sz w:val="18"/>
          <w:szCs w:val="18"/>
          <w:color w:val="auto"/>
        </w:rPr>
        <w:t>. For the purpose of Section 10(c) of this Agreement:</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Arial" w:cs="Arial" w:eastAsia="Arial" w:hAnsi="Arial"/>
          <w:sz w:val="12"/>
          <w:szCs w:val="12"/>
          <w:b w:val="1"/>
          <w:bCs w:val="1"/>
          <w:color w:val="auto"/>
        </w:rPr>
        <w:t>Covered by</w:t>
      </w:r>
    </w:p>
    <w:p>
      <w:pPr>
        <w:spacing w:after="0" w:line="25" w:lineRule="exact"/>
        <w:rPr>
          <w:sz w:val="20"/>
          <w:szCs w:val="20"/>
          <w:color w:val="auto"/>
        </w:rPr>
      </w:pPr>
    </w:p>
    <w:p>
      <w:pPr>
        <w:ind w:left="80"/>
        <w:spacing w:after="0"/>
        <w:rPr>
          <w:sz w:val="20"/>
          <w:szCs w:val="20"/>
          <w:color w:val="auto"/>
        </w:rPr>
      </w:pPr>
      <w:r>
        <w:rPr>
          <w:rFonts w:ascii="Arial" w:cs="Arial" w:eastAsia="Arial" w:hAnsi="Arial"/>
          <w:sz w:val="12"/>
          <w:szCs w:val="12"/>
          <w:b w:val="1"/>
          <w:bCs w:val="1"/>
          <w:color w:val="auto"/>
        </w:rPr>
        <w:t>Section 3(d)</w:t>
      </w:r>
    </w:p>
    <w:p>
      <w:pPr>
        <w:spacing w:after="0" w:line="11" w:lineRule="exact"/>
        <w:rPr>
          <w:sz w:val="20"/>
          <w:szCs w:val="20"/>
          <w:color w:val="auto"/>
        </w:rPr>
      </w:pPr>
    </w:p>
    <w:p>
      <w:pPr>
        <w:spacing w:after="0"/>
        <w:rPr>
          <w:sz w:val="20"/>
          <w:szCs w:val="20"/>
          <w:color w:val="auto"/>
        </w:rPr>
      </w:pPr>
      <w:r>
        <w:rPr>
          <w:rFonts w:ascii="Arial" w:cs="Arial" w:eastAsia="Arial" w:hAnsi="Arial"/>
          <w:sz w:val="11"/>
          <w:szCs w:val="11"/>
          <w:b w:val="1"/>
          <w:bCs w:val="1"/>
          <w:color w:val="auto"/>
        </w:rPr>
        <w:t>Representation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-558165</wp:posOffset>
            </wp:positionH>
            <wp:positionV relativeFrom="paragraph">
              <wp:posOffset>21590</wp:posOffset>
            </wp:positionV>
            <wp:extent cx="16637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ectPr>
          <w:pgSz w:w="11900" w:h="16838" w:orient="portrait"/>
          <w:cols w:equalWidth="0" w:num="2">
            <w:col w:w="9060" w:space="620"/>
            <w:col w:w="860"/>
          </w:cols>
          <w:pgMar w:left="240" w:top="275" w:right="1119" w:bottom="1440" w:gutter="0" w:footer="0" w:header="0"/>
        </w:sectPr>
      </w:pPr>
    </w:p>
    <w:bookmarkStart w:id="124" w:name="page125"/>
    <w:bookmarkEnd w:id="124"/>
    <w:p>
      <w:pPr>
        <w:ind w:left="4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Party A is not a Multibranch Party.</w:t>
      </w:r>
    </w:p>
    <w:p>
      <w:pPr>
        <w:spacing w:after="0" w:line="15" w:lineRule="exact"/>
        <w:rPr>
          <w:sz w:val="20"/>
          <w:szCs w:val="20"/>
          <w:color w:val="auto"/>
        </w:rPr>
      </w:pPr>
    </w:p>
    <w:p>
      <w:pPr>
        <w:ind w:left="452"/>
        <w:spacing w:after="0"/>
        <w:rPr>
          <w:sz w:val="20"/>
          <w:szCs w:val="20"/>
          <w:color w:val="auto"/>
        </w:rPr>
      </w:pPr>
      <w:r>
        <w:rPr>
          <w:rFonts w:ascii="Arial" w:cs="Arial" w:eastAsia="Arial" w:hAnsi="Arial"/>
          <w:sz w:val="18"/>
          <w:szCs w:val="18"/>
          <w:color w:val="auto"/>
        </w:rPr>
        <w:t>Party B is not a Multibranch Party.</w:t>
      </w:r>
    </w:p>
    <w:p>
      <w:pPr>
        <w:spacing w:after="0" w:line="78" w:lineRule="exact"/>
        <w:rPr>
          <w:sz w:val="20"/>
          <w:szCs w:val="20"/>
          <w:color w:val="auto"/>
        </w:rPr>
      </w:pPr>
    </w:p>
    <w:p>
      <w:pPr>
        <w:ind w:left="452" w:right="180" w:hanging="452"/>
        <w:spacing w:after="0" w:line="275" w:lineRule="auto"/>
        <w:tabs>
          <w:tab w:leader="none" w:pos="45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Calculation Agent</w:t>
      </w:r>
      <w:r>
        <w:rPr>
          <w:rFonts w:ascii="Arial" w:cs="Arial" w:eastAsia="Arial" w:hAnsi="Arial"/>
          <w:sz w:val="18"/>
          <w:szCs w:val="18"/>
          <w:color w:val="auto"/>
        </w:rPr>
        <w:t>” means Party A. All calculations and determinations made by the Calculation Agent shall be made in good faith and a commercially reasonable manner.</w:t>
      </w:r>
    </w:p>
    <w:p>
      <w:pPr>
        <w:spacing w:after="0" w:line="38" w:lineRule="exact"/>
        <w:rPr>
          <w:rFonts w:ascii="Arial" w:cs="Arial" w:eastAsia="Arial" w:hAnsi="Arial"/>
          <w:sz w:val="18"/>
          <w:szCs w:val="18"/>
          <w:color w:val="auto"/>
        </w:rPr>
      </w:pPr>
    </w:p>
    <w:p>
      <w:pPr>
        <w:ind w:left="452" w:right="120" w:hanging="452"/>
        <w:spacing w:after="0" w:line="293" w:lineRule="auto"/>
        <w:tabs>
          <w:tab w:leader="none" w:pos="452" w:val="left"/>
        </w:tabs>
        <w:numPr>
          <w:ilvl w:val="0"/>
          <w:numId w:val="225"/>
        </w:numPr>
        <w:rPr>
          <w:rFonts w:ascii="Arial" w:cs="Arial" w:eastAsia="Arial" w:hAnsi="Arial"/>
          <w:sz w:val="16"/>
          <w:szCs w:val="16"/>
          <w:color w:val="auto"/>
        </w:rPr>
      </w:pPr>
      <w:r>
        <w:rPr>
          <w:rFonts w:ascii="Arial" w:cs="Arial" w:eastAsia="Arial" w:hAnsi="Arial"/>
          <w:sz w:val="16"/>
          <w:szCs w:val="16"/>
          <w:color w:val="auto"/>
        </w:rPr>
        <w:t>“</w:t>
      </w:r>
      <w:r>
        <w:rPr>
          <w:rFonts w:ascii="Arial" w:cs="Arial" w:eastAsia="Arial" w:hAnsi="Arial"/>
          <w:sz w:val="16"/>
          <w:szCs w:val="16"/>
          <w:b w:val="1"/>
          <w:bCs w:val="1"/>
          <w:color w:val="auto"/>
        </w:rPr>
        <w:t>Credit Support Document</w:t>
      </w:r>
      <w:r>
        <w:rPr>
          <w:rFonts w:ascii="Arial" w:cs="Arial" w:eastAsia="Arial" w:hAnsi="Arial"/>
          <w:sz w:val="16"/>
          <w:szCs w:val="16"/>
          <w:color w:val="auto"/>
        </w:rPr>
        <w:t>” means, for Party A, any credit support annex, any Confirmation and any other document, any of which by its terms secures, guarantees or otherwise supports such party’s obligations under this Agreement, including, but not limited to, the guarantee of Lehman Brothers Holdings Inc. attached as Exhibit A hereto; and, in the case of Party B, any credit support annex, any Confirmation and any other document, any of which by its terms secures, guarantees or otherwise supports such party’s obligations under this Agreement, including, but not limited to, the Credit Agreement and the Collateral Documents, including but not limited to that certain Guarantee and Collateral Agreement and the Mortgages (as such terms are defined in the Credit Agreement) (collectively, the “Party B CSD”).</w:t>
      </w:r>
    </w:p>
    <w:p>
      <w:pPr>
        <w:spacing w:after="0" w:line="29" w:lineRule="exact"/>
        <w:rPr>
          <w:rFonts w:ascii="Arial" w:cs="Arial" w:eastAsia="Arial" w:hAnsi="Arial"/>
          <w:sz w:val="16"/>
          <w:szCs w:val="16"/>
          <w:color w:val="auto"/>
        </w:rPr>
      </w:pPr>
    </w:p>
    <w:p>
      <w:pPr>
        <w:ind w:left="452" w:hanging="452"/>
        <w:spacing w:after="0"/>
        <w:tabs>
          <w:tab w:leader="none" w:pos="45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Support Provider</w:t>
      </w:r>
      <w:r>
        <w:rPr>
          <w:rFonts w:ascii="Arial" w:cs="Arial" w:eastAsia="Arial" w:hAnsi="Arial"/>
          <w:sz w:val="18"/>
          <w:szCs w:val="18"/>
          <w:color w:val="auto"/>
        </w:rPr>
        <w:t>” means in relation to Party A: Lehman Brothers Holdings Inc., a Delaware corporation.</w:t>
      </w:r>
    </w:p>
    <w:p>
      <w:pPr>
        <w:spacing w:after="0" w:line="96" w:lineRule="exact"/>
        <w:rPr>
          <w:rFonts w:ascii="Arial" w:cs="Arial" w:eastAsia="Arial" w:hAnsi="Arial"/>
          <w:sz w:val="18"/>
          <w:szCs w:val="18"/>
          <w:color w:val="auto"/>
        </w:rPr>
      </w:pPr>
    </w:p>
    <w:p>
      <w:pPr>
        <w:ind w:left="452"/>
        <w:spacing w:after="0"/>
        <w:rPr>
          <w:rFonts w:ascii="Arial" w:cs="Arial" w:eastAsia="Arial" w:hAnsi="Arial"/>
          <w:sz w:val="18"/>
          <w:szCs w:val="18"/>
          <w:color w:val="auto"/>
        </w:rPr>
      </w:pPr>
      <w:r>
        <w:rPr>
          <w:rFonts w:ascii="Arial" w:cs="Arial" w:eastAsia="Arial" w:hAnsi="Arial"/>
          <w:sz w:val="18"/>
          <w:szCs w:val="18"/>
          <w:color w:val="auto"/>
        </w:rPr>
        <w:t>“Credit Support Provider” means in relation to Party B: Any party executing or delivering any Party B CSD.</w:t>
      </w:r>
    </w:p>
    <w:p>
      <w:pPr>
        <w:spacing w:after="0" w:line="84" w:lineRule="exact"/>
        <w:rPr>
          <w:rFonts w:ascii="Arial" w:cs="Arial" w:eastAsia="Arial" w:hAnsi="Arial"/>
          <w:sz w:val="18"/>
          <w:szCs w:val="18"/>
          <w:color w:val="auto"/>
        </w:rPr>
      </w:pPr>
    </w:p>
    <w:p>
      <w:pPr>
        <w:ind w:left="452" w:hanging="452"/>
        <w:spacing w:after="0"/>
        <w:tabs>
          <w:tab w:leader="none" w:pos="452"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Governing Law; Jurisdiction</w:t>
      </w:r>
      <w:r>
        <w:rPr>
          <w:rFonts w:ascii="Arial" w:cs="Arial" w:eastAsia="Arial" w:hAnsi="Arial"/>
          <w:sz w:val="18"/>
          <w:szCs w:val="18"/>
          <w:color w:val="auto"/>
        </w:rPr>
        <w:t>. Sections 13(a) and (b) of the Agreement shall be deleted and replaced with the following:</w:t>
      </w:r>
    </w:p>
    <w:p>
      <w:pPr>
        <w:spacing w:after="0" w:line="90" w:lineRule="exact"/>
        <w:rPr>
          <w:rFonts w:ascii="Arial" w:cs="Arial" w:eastAsia="Arial" w:hAnsi="Arial"/>
          <w:sz w:val="18"/>
          <w:szCs w:val="18"/>
          <w:color w:val="auto"/>
        </w:rPr>
      </w:pPr>
    </w:p>
    <w:p>
      <w:pPr>
        <w:ind w:left="452" w:right="480"/>
        <w:spacing w:after="0" w:line="275" w:lineRule="auto"/>
        <w:rPr>
          <w:rFonts w:ascii="Arial" w:cs="Arial" w:eastAsia="Arial" w:hAnsi="Arial"/>
          <w:sz w:val="18"/>
          <w:szCs w:val="18"/>
          <w:color w:val="auto"/>
        </w:rPr>
      </w:pPr>
      <w:r>
        <w:rPr>
          <w:rFonts w:ascii="Arial" w:cs="Arial" w:eastAsia="Arial" w:hAnsi="Arial"/>
          <w:sz w:val="18"/>
          <w:szCs w:val="18"/>
          <w:color w:val="auto"/>
        </w:rPr>
        <w:t xml:space="preserve">“(a) </w:t>
      </w:r>
      <w:r>
        <w:rPr>
          <w:rFonts w:ascii="Arial" w:cs="Arial" w:eastAsia="Arial" w:hAnsi="Arial"/>
          <w:sz w:val="18"/>
          <w:szCs w:val="18"/>
          <w:b w:val="1"/>
          <w:bCs w:val="1"/>
          <w:color w:val="auto"/>
        </w:rPr>
        <w:t>Governing Law.</w:t>
      </w:r>
      <w:r>
        <w:rPr>
          <w:rFonts w:ascii="Arial" w:cs="Arial" w:eastAsia="Arial" w:hAnsi="Arial"/>
          <w:sz w:val="18"/>
          <w:szCs w:val="18"/>
          <w:color w:val="auto"/>
        </w:rPr>
        <w:t xml:space="preserve"> This Agreement will be governed by and construed in accordance with the laws of the State of New York (without reference to choice of law doctrine other than Sect. 5-1401 of the NY General Obligation Law).</w:t>
      </w:r>
    </w:p>
    <w:p>
      <w:pPr>
        <w:spacing w:after="0" w:line="38" w:lineRule="exact"/>
        <w:rPr>
          <w:rFonts w:ascii="Arial" w:cs="Arial" w:eastAsia="Arial" w:hAnsi="Arial"/>
          <w:sz w:val="18"/>
          <w:szCs w:val="18"/>
          <w:color w:val="auto"/>
        </w:rPr>
      </w:pPr>
    </w:p>
    <w:p>
      <w:pPr>
        <w:ind w:left="452" w:right="1200" w:firstLine="4"/>
        <w:spacing w:after="0" w:line="275" w:lineRule="auto"/>
        <w:tabs>
          <w:tab w:leader="none" w:pos="701" w:val="left"/>
        </w:tabs>
        <w:numPr>
          <w:ilvl w:val="1"/>
          <w:numId w:val="225"/>
        </w:numPr>
        <w:rPr>
          <w:rFonts w:ascii="Arial" w:cs="Arial" w:eastAsia="Arial" w:hAnsi="Arial"/>
          <w:sz w:val="18"/>
          <w:szCs w:val="18"/>
          <w:color w:val="auto"/>
        </w:rPr>
      </w:pPr>
      <w:r>
        <w:rPr>
          <w:rFonts w:ascii="Arial" w:cs="Arial" w:eastAsia="Arial" w:hAnsi="Arial"/>
          <w:sz w:val="18"/>
          <w:szCs w:val="18"/>
          <w:b w:val="1"/>
          <w:bCs w:val="1"/>
          <w:color w:val="auto"/>
        </w:rPr>
        <w:t>Jurisdiction</w:t>
      </w:r>
      <w:r>
        <w:rPr>
          <w:rFonts w:ascii="Arial" w:cs="Arial" w:eastAsia="Arial" w:hAnsi="Arial"/>
          <w:sz w:val="18"/>
          <w:szCs w:val="18"/>
          <w:color w:val="auto"/>
        </w:rPr>
        <w:t>. With respect to any suit, action or proceedings relating to any dispute arising out of or in connection with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each party:</w:t>
      </w:r>
    </w:p>
    <w:p>
      <w:pPr>
        <w:spacing w:after="0" w:line="44" w:lineRule="exact"/>
        <w:rPr>
          <w:rFonts w:ascii="Arial" w:cs="Arial" w:eastAsia="Arial" w:hAnsi="Arial"/>
          <w:sz w:val="18"/>
          <w:szCs w:val="18"/>
          <w:color w:val="auto"/>
        </w:rPr>
      </w:pPr>
    </w:p>
    <w:p>
      <w:pPr>
        <w:ind w:left="912" w:right="640" w:firstLine="1"/>
        <w:spacing w:after="0" w:line="268" w:lineRule="auto"/>
        <w:tabs>
          <w:tab w:leader="none" w:pos="1122" w:val="left"/>
        </w:tabs>
        <w:numPr>
          <w:ilvl w:val="2"/>
          <w:numId w:val="225"/>
        </w:numPr>
        <w:rPr>
          <w:rFonts w:ascii="Arial" w:cs="Arial" w:eastAsia="Arial" w:hAnsi="Arial"/>
          <w:sz w:val="18"/>
          <w:szCs w:val="18"/>
          <w:color w:val="auto"/>
        </w:rPr>
      </w:pPr>
      <w:r>
        <w:rPr>
          <w:rFonts w:ascii="Arial" w:cs="Arial" w:eastAsia="Arial" w:hAnsi="Arial"/>
          <w:sz w:val="18"/>
          <w:szCs w:val="18"/>
          <w:color w:val="auto"/>
        </w:rPr>
        <w:t>irrevocably submits to the exclusive jurisdiction of the courts of the State of New York and the United States District Court located in the Borough of Manhattan in New York City of the State of New York; and</w:t>
      </w:r>
    </w:p>
    <w:p>
      <w:pPr>
        <w:spacing w:after="0" w:line="50" w:lineRule="exact"/>
        <w:rPr>
          <w:rFonts w:ascii="Arial" w:cs="Arial" w:eastAsia="Arial" w:hAnsi="Arial"/>
          <w:sz w:val="18"/>
          <w:szCs w:val="18"/>
          <w:color w:val="auto"/>
        </w:rPr>
      </w:pPr>
    </w:p>
    <w:p>
      <w:pPr>
        <w:ind w:left="912" w:right="180" w:firstLine="1"/>
        <w:spacing w:after="0" w:line="259" w:lineRule="auto"/>
        <w:tabs>
          <w:tab w:leader="none" w:pos="1170" w:val="left"/>
        </w:tabs>
        <w:numPr>
          <w:ilvl w:val="2"/>
          <w:numId w:val="225"/>
        </w:numPr>
        <w:rPr>
          <w:rFonts w:ascii="Arial" w:cs="Arial" w:eastAsia="Arial" w:hAnsi="Arial"/>
          <w:sz w:val="18"/>
          <w:szCs w:val="18"/>
          <w:color w:val="auto"/>
        </w:rPr>
      </w:pPr>
      <w:r>
        <w:rPr>
          <w:rFonts w:ascii="Arial" w:cs="Arial" w:eastAsia="Arial" w:hAnsi="Arial"/>
          <w:sz w:val="18"/>
          <w:szCs w:val="18"/>
          <w:color w:val="auto"/>
        </w:rPr>
        <w:t>waives any objection which it may have at any time to the laying of venue of any Proceedings brought in any such court, waives any claim that such Proceedings have been brought in an inconvenient forum and further waives the right to object, with respect to such Proceedings, that such court does not have any jurisdiction over such party.”</w:t>
      </w:r>
    </w:p>
    <w:p>
      <w:pPr>
        <w:spacing w:after="0" w:line="53" w:lineRule="exact"/>
        <w:rPr>
          <w:rFonts w:ascii="Arial" w:cs="Arial" w:eastAsia="Arial" w:hAnsi="Arial"/>
          <w:sz w:val="18"/>
          <w:szCs w:val="18"/>
          <w:color w:val="auto"/>
        </w:rPr>
      </w:pPr>
    </w:p>
    <w:p>
      <w:pPr>
        <w:ind w:left="452" w:right="660" w:hanging="452"/>
        <w:spacing w:after="0" w:line="275" w:lineRule="auto"/>
        <w:tabs>
          <w:tab w:leader="none" w:pos="452"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Waiver of Jury Trial</w:t>
      </w:r>
      <w:r>
        <w:rPr>
          <w:rFonts w:ascii="Arial" w:cs="Arial" w:eastAsia="Arial" w:hAnsi="Arial"/>
          <w:sz w:val="18"/>
          <w:szCs w:val="18"/>
          <w:color w:val="auto"/>
        </w:rPr>
        <w:t>. Each party waives, to the fullest extent permitted by applicable law, any right it may have to a trial by jury in respect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Proceedings relating to this Agreement or any Credit Support Document.</w:t>
      </w:r>
    </w:p>
    <w:p>
      <w:pPr>
        <w:spacing w:after="0" w:line="38" w:lineRule="exact"/>
        <w:rPr>
          <w:rFonts w:ascii="Arial" w:cs="Arial" w:eastAsia="Arial" w:hAnsi="Arial"/>
          <w:sz w:val="18"/>
          <w:szCs w:val="18"/>
          <w:color w:val="auto"/>
        </w:rPr>
      </w:pPr>
    </w:p>
    <w:p>
      <w:pPr>
        <w:ind w:left="452" w:hanging="452"/>
        <w:spacing w:after="0"/>
        <w:tabs>
          <w:tab w:leader="none" w:pos="452"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Netting of Payments</w:t>
      </w:r>
      <w:r>
        <w:rPr>
          <w:rFonts w:ascii="Arial" w:cs="Arial" w:eastAsia="Arial" w:hAnsi="Arial"/>
          <w:sz w:val="18"/>
          <w:szCs w:val="18"/>
          <w:color w:val="auto"/>
        </w:rPr>
        <w:t>. Subparagraph (ii) of Section 2(c) of this Agreement will not apply to all Transactions under this Agreement.</w:t>
      </w:r>
    </w:p>
    <w:p>
      <w:pPr>
        <w:spacing w:after="0" w:line="90" w:lineRule="exact"/>
        <w:rPr>
          <w:rFonts w:ascii="Arial" w:cs="Arial" w:eastAsia="Arial" w:hAnsi="Arial"/>
          <w:sz w:val="18"/>
          <w:szCs w:val="18"/>
          <w:color w:val="auto"/>
        </w:rPr>
      </w:pPr>
    </w:p>
    <w:p>
      <w:pPr>
        <w:ind w:left="452" w:hanging="452"/>
        <w:spacing w:after="0" w:line="275" w:lineRule="auto"/>
        <w:tabs>
          <w:tab w:leader="none" w:pos="452" w:val="left"/>
        </w:tabs>
        <w:numPr>
          <w:ilvl w:val="0"/>
          <w:numId w:val="22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has the meaning specified in Section 14 of this Agreement, provided, that with respect to Party A, such definition shall be understood to exclude Lehman Brothers Derivative Products Inc. and Lehman Brothers Financial Products Inc.</w:t>
      </w:r>
    </w:p>
    <w:p>
      <w:pPr>
        <w:spacing w:after="0" w:line="38" w:lineRule="exact"/>
        <w:rPr>
          <w:rFonts w:ascii="Arial" w:cs="Arial" w:eastAsia="Arial" w:hAnsi="Arial"/>
          <w:sz w:val="18"/>
          <w:szCs w:val="18"/>
          <w:color w:val="auto"/>
        </w:rPr>
      </w:pPr>
    </w:p>
    <w:p>
      <w:pPr>
        <w:ind w:left="452" w:right="120" w:hanging="452"/>
        <w:spacing w:after="0" w:line="275" w:lineRule="auto"/>
        <w:tabs>
          <w:tab w:leader="none" w:pos="452" w:val="left"/>
        </w:tabs>
        <w:numPr>
          <w:ilvl w:val="0"/>
          <w:numId w:val="225"/>
        </w:numPr>
        <w:rPr>
          <w:rFonts w:ascii="Arial" w:cs="Arial" w:eastAsia="Arial" w:hAnsi="Arial"/>
          <w:sz w:val="18"/>
          <w:szCs w:val="18"/>
          <w:color w:val="auto"/>
        </w:rPr>
      </w:pPr>
      <w:r>
        <w:rPr>
          <w:rFonts w:ascii="Arial" w:cs="Arial" w:eastAsia="Arial" w:hAnsi="Arial"/>
          <w:sz w:val="18"/>
          <w:szCs w:val="18"/>
          <w:b w:val="1"/>
          <w:bCs w:val="1"/>
          <w:color w:val="auto"/>
        </w:rPr>
        <w:t>Absence of Litigation</w:t>
      </w:r>
      <w:r>
        <w:rPr>
          <w:rFonts w:ascii="Arial" w:cs="Arial" w:eastAsia="Arial" w:hAnsi="Arial"/>
          <w:sz w:val="18"/>
          <w:szCs w:val="18"/>
          <w:color w:val="auto"/>
        </w:rPr>
        <w:t>. For the purpose of Section 3(c) of this Agreement, “Affiliates” shall mean (i) all Affiliates, in relation to Party A, and (ii) National</w:t>
      </w:r>
      <w:r>
        <w:rPr>
          <w:rFonts w:ascii="Arial" w:cs="Arial" w:eastAsia="Arial" w:hAnsi="Arial"/>
          <w:sz w:val="18"/>
          <w:szCs w:val="18"/>
          <w:b w:val="1"/>
          <w:bCs w:val="1"/>
          <w:color w:val="auto"/>
        </w:rPr>
        <w:t xml:space="preserve"> </w:t>
      </w:r>
      <w:r>
        <w:rPr>
          <w:rFonts w:ascii="Arial" w:cs="Arial" w:eastAsia="Arial" w:hAnsi="Arial"/>
          <w:sz w:val="18"/>
          <w:szCs w:val="18"/>
          <w:color w:val="auto"/>
        </w:rPr>
        <w:t>CineMedia, Inc. only, in relation to Party B.</w:t>
      </w:r>
    </w:p>
    <w:p>
      <w:pPr>
        <w:spacing w:after="0" w:line="1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12"/>
          </w:cols>
          <w:pgMar w:left="248" w:top="280" w:right="239" w:bottom="1440" w:gutter="0" w:footer="0" w:header="0"/>
        </w:sectPr>
      </w:pPr>
    </w:p>
    <w:bookmarkStart w:id="125" w:name="page126"/>
    <w:bookmarkEnd w:id="125"/>
    <w:p>
      <w:pPr>
        <w:ind w:left="452" w:right="920" w:hanging="452"/>
        <w:spacing w:after="0" w:line="275" w:lineRule="auto"/>
        <w:tabs>
          <w:tab w:leader="none" w:pos="452"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Additional Representation </w:t>
      </w:r>
      <w:r>
        <w:rPr>
          <w:rFonts w:ascii="Arial" w:cs="Arial" w:eastAsia="Arial" w:hAnsi="Arial"/>
          <w:sz w:val="18"/>
          <w:szCs w:val="18"/>
          <w:color w:val="auto"/>
        </w:rPr>
        <w:t>will apply. For the purpose of Section 3 of this Agreement the following Section 3(h) will constitute an Additional</w:t>
      </w:r>
      <w:r>
        <w:rPr>
          <w:rFonts w:ascii="Arial" w:cs="Arial" w:eastAsia="Arial" w:hAnsi="Arial"/>
          <w:sz w:val="18"/>
          <w:szCs w:val="18"/>
          <w:b w:val="1"/>
          <w:bCs w:val="1"/>
          <w:color w:val="auto"/>
        </w:rPr>
        <w:t xml:space="preserve"> </w:t>
      </w:r>
      <w:r>
        <w:rPr>
          <w:rFonts w:ascii="Arial" w:cs="Arial" w:eastAsia="Arial" w:hAnsi="Arial"/>
          <w:sz w:val="18"/>
          <w:szCs w:val="18"/>
          <w:color w:val="auto"/>
        </w:rPr>
        <w:t>Representation:</w:t>
      </w:r>
    </w:p>
    <w:p>
      <w:pPr>
        <w:spacing w:after="0" w:line="38" w:lineRule="exact"/>
        <w:rPr>
          <w:rFonts w:ascii="Arial" w:cs="Arial" w:eastAsia="Arial" w:hAnsi="Arial"/>
          <w:sz w:val="18"/>
          <w:szCs w:val="18"/>
          <w:color w:val="auto"/>
        </w:rPr>
      </w:pPr>
    </w:p>
    <w:p>
      <w:pPr>
        <w:ind w:left="452" w:right="80"/>
        <w:spacing w:after="0" w:line="334" w:lineRule="auto"/>
        <w:rPr>
          <w:rFonts w:ascii="Arial" w:cs="Arial" w:eastAsia="Arial" w:hAnsi="Arial"/>
          <w:sz w:val="18"/>
          <w:szCs w:val="18"/>
          <w:color w:val="auto"/>
        </w:rPr>
      </w:pPr>
      <w:r>
        <w:rPr>
          <w:rFonts w:ascii="Arial" w:cs="Arial" w:eastAsia="Arial" w:hAnsi="Arial"/>
          <w:sz w:val="16"/>
          <w:szCs w:val="16"/>
          <w:color w:val="auto"/>
        </w:rPr>
        <w:t xml:space="preserve">“(h) </w:t>
      </w:r>
      <w:r>
        <w:rPr>
          <w:rFonts w:ascii="Arial" w:cs="Arial" w:eastAsia="Arial" w:hAnsi="Arial"/>
          <w:sz w:val="16"/>
          <w:szCs w:val="16"/>
          <w:b w:val="1"/>
          <w:bCs w:val="1"/>
          <w:color w:val="auto"/>
        </w:rPr>
        <w:t>Relationship Between Parties.</w:t>
      </w:r>
      <w:r>
        <w:rPr>
          <w:rFonts w:ascii="Arial" w:cs="Arial" w:eastAsia="Arial" w:hAnsi="Arial"/>
          <w:sz w:val="16"/>
          <w:szCs w:val="16"/>
          <w:color w:val="auto"/>
        </w:rPr>
        <w:t xml:space="preserve"> Each party will be deemed to represent to the other party on the date on which it enters into a Transaction that (absent a written agreement between the parties that expressly imposes affirmative obligations to the contrary for that Transaction):</w:t>
      </w:r>
    </w:p>
    <w:p>
      <w:pPr>
        <w:spacing w:after="0" w:line="1" w:lineRule="exact"/>
        <w:rPr>
          <w:rFonts w:ascii="Arial" w:cs="Arial" w:eastAsia="Arial" w:hAnsi="Arial"/>
          <w:sz w:val="18"/>
          <w:szCs w:val="18"/>
          <w:color w:val="auto"/>
        </w:rPr>
      </w:pPr>
    </w:p>
    <w:p>
      <w:pPr>
        <w:ind w:left="912" w:firstLine="1"/>
        <w:spacing w:after="0" w:line="293" w:lineRule="auto"/>
        <w:tabs>
          <w:tab w:leader="none" w:pos="1160" w:val="left"/>
        </w:tabs>
        <w:numPr>
          <w:ilvl w:val="2"/>
          <w:numId w:val="226"/>
        </w:numPr>
        <w:rPr>
          <w:rFonts w:ascii="Arial" w:cs="Arial" w:eastAsia="Arial" w:hAnsi="Arial"/>
          <w:sz w:val="16"/>
          <w:szCs w:val="16"/>
          <w:color w:val="auto"/>
        </w:rPr>
      </w:pPr>
      <w:r>
        <w:rPr>
          <w:rFonts w:ascii="Arial" w:cs="Arial" w:eastAsia="Arial" w:hAnsi="Arial"/>
          <w:sz w:val="16"/>
          <w:szCs w:val="16"/>
          <w:b w:val="1"/>
          <w:bCs w:val="1"/>
          <w:color w:val="auto"/>
        </w:rPr>
        <w:t xml:space="preserve">Non-Reliance. </w:t>
      </w:r>
      <w:r>
        <w:rPr>
          <w:rFonts w:ascii="Arial" w:cs="Arial" w:eastAsia="Arial" w:hAnsi="Arial"/>
          <w:sz w:val="16"/>
          <w:szCs w:val="16"/>
          <w:color w:val="auto"/>
        </w:rPr>
        <w:t>It is acting for its own account, and it has made its own independent decisions to enter into that Transaction and as to whether that</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is appropriate or proper for it based upon its own judgment and upon advice from such advisers as it has deemed necessary. It is not relying on any communication (written or oral) of the other party as investment advice or as a recommendation to enter into that Transaction; it being understood that information and explanations related to the terms and conditions of a Transaction shall not be considered investment advice or a recommendation to enter into that Transaction. No communication (written or oral) received from the other party shall be deemed to be an assurance or guarantee as to the expected results of that Transaction.</w:t>
      </w:r>
    </w:p>
    <w:p>
      <w:pPr>
        <w:spacing w:after="0" w:line="29" w:lineRule="exact"/>
        <w:rPr>
          <w:rFonts w:ascii="Arial" w:cs="Arial" w:eastAsia="Arial" w:hAnsi="Arial"/>
          <w:sz w:val="16"/>
          <w:szCs w:val="16"/>
          <w:color w:val="auto"/>
        </w:rPr>
      </w:pPr>
    </w:p>
    <w:p>
      <w:pPr>
        <w:ind w:left="912" w:right="240" w:firstLine="1"/>
        <w:spacing w:after="0" w:line="262" w:lineRule="auto"/>
        <w:tabs>
          <w:tab w:leader="none" w:pos="1160" w:val="left"/>
        </w:tabs>
        <w:numPr>
          <w:ilvl w:val="2"/>
          <w:numId w:val="226"/>
        </w:numPr>
        <w:rPr>
          <w:rFonts w:ascii="Arial" w:cs="Arial" w:eastAsia="Arial" w:hAnsi="Arial"/>
          <w:sz w:val="18"/>
          <w:szCs w:val="18"/>
          <w:color w:val="auto"/>
        </w:rPr>
      </w:pPr>
      <w:r>
        <w:rPr>
          <w:rFonts w:ascii="Arial" w:cs="Arial" w:eastAsia="Arial" w:hAnsi="Arial"/>
          <w:sz w:val="18"/>
          <w:szCs w:val="18"/>
          <w:b w:val="1"/>
          <w:bCs w:val="1"/>
          <w:color w:val="auto"/>
        </w:rPr>
        <w:t xml:space="preserve">Assessment and Understanding. </w:t>
      </w:r>
      <w:r>
        <w:rPr>
          <w:rFonts w:ascii="Arial" w:cs="Arial" w:eastAsia="Arial" w:hAnsi="Arial"/>
          <w:sz w:val="18"/>
          <w:szCs w:val="18"/>
          <w:color w:val="auto"/>
        </w:rPr>
        <w:t>It is capable of assessing the merits of and understanding (on its own behalf or through independent</w:t>
      </w:r>
      <w:r>
        <w:rPr>
          <w:rFonts w:ascii="Arial" w:cs="Arial" w:eastAsia="Arial" w:hAnsi="Arial"/>
          <w:sz w:val="18"/>
          <w:szCs w:val="18"/>
          <w:b w:val="1"/>
          <w:bCs w:val="1"/>
          <w:color w:val="auto"/>
        </w:rPr>
        <w:t xml:space="preserve"> </w:t>
      </w:r>
      <w:r>
        <w:rPr>
          <w:rFonts w:ascii="Arial" w:cs="Arial" w:eastAsia="Arial" w:hAnsi="Arial"/>
          <w:sz w:val="18"/>
          <w:szCs w:val="18"/>
          <w:color w:val="auto"/>
        </w:rPr>
        <w:t>professional advice), and understands and accepts, the terms, conditions and risks of that Transaction. It is also capable of assuming, and assumes, the risks of that Transaction.</w:t>
      </w:r>
    </w:p>
    <w:p>
      <w:pPr>
        <w:spacing w:after="0" w:line="51" w:lineRule="exact"/>
        <w:rPr>
          <w:rFonts w:ascii="Arial" w:cs="Arial" w:eastAsia="Arial" w:hAnsi="Arial"/>
          <w:sz w:val="18"/>
          <w:szCs w:val="18"/>
          <w:color w:val="auto"/>
        </w:rPr>
      </w:pPr>
    </w:p>
    <w:p>
      <w:pPr>
        <w:ind w:left="1152" w:hanging="239"/>
        <w:spacing w:after="0"/>
        <w:tabs>
          <w:tab w:leader="none" w:pos="1152" w:val="left"/>
        </w:tabs>
        <w:numPr>
          <w:ilvl w:val="2"/>
          <w:numId w:val="226"/>
        </w:numPr>
        <w:rPr>
          <w:rFonts w:ascii="Arial" w:cs="Arial" w:eastAsia="Arial" w:hAnsi="Arial"/>
          <w:sz w:val="18"/>
          <w:szCs w:val="18"/>
          <w:color w:val="auto"/>
        </w:rPr>
      </w:pPr>
      <w:r>
        <w:rPr>
          <w:rFonts w:ascii="Arial" w:cs="Arial" w:eastAsia="Arial" w:hAnsi="Arial"/>
          <w:sz w:val="18"/>
          <w:szCs w:val="18"/>
          <w:b w:val="1"/>
          <w:bCs w:val="1"/>
          <w:color w:val="auto"/>
        </w:rPr>
        <w:t xml:space="preserve">Status of Parties. </w:t>
      </w:r>
      <w:r>
        <w:rPr>
          <w:rFonts w:ascii="Arial" w:cs="Arial" w:eastAsia="Arial" w:hAnsi="Arial"/>
          <w:sz w:val="18"/>
          <w:szCs w:val="18"/>
          <w:color w:val="auto"/>
        </w:rPr>
        <w:t>The other party is not acting as a fiduciary for or an adviser to it in respect of that Transaction.”</w:t>
      </w:r>
    </w:p>
    <w:p>
      <w:pPr>
        <w:spacing w:after="0" w:line="90" w:lineRule="exact"/>
        <w:rPr>
          <w:rFonts w:ascii="Arial" w:cs="Arial" w:eastAsia="Arial" w:hAnsi="Arial"/>
          <w:sz w:val="18"/>
          <w:szCs w:val="18"/>
          <w:color w:val="auto"/>
        </w:rPr>
      </w:pPr>
    </w:p>
    <w:p>
      <w:pPr>
        <w:ind w:left="452" w:right="380" w:firstLine="4"/>
        <w:spacing w:after="0" w:line="334" w:lineRule="auto"/>
        <w:tabs>
          <w:tab w:leader="none" w:pos="662" w:val="left"/>
        </w:tabs>
        <w:numPr>
          <w:ilvl w:val="1"/>
          <w:numId w:val="226"/>
        </w:numPr>
        <w:rPr>
          <w:rFonts w:ascii="Arial" w:cs="Arial" w:eastAsia="Arial" w:hAnsi="Arial"/>
          <w:sz w:val="16"/>
          <w:szCs w:val="16"/>
          <w:color w:val="auto"/>
        </w:rPr>
      </w:pPr>
      <w:r>
        <w:rPr>
          <w:rFonts w:ascii="Arial" w:cs="Arial" w:eastAsia="Arial" w:hAnsi="Arial"/>
          <w:sz w:val="16"/>
          <w:szCs w:val="16"/>
          <w:b w:val="1"/>
          <w:bCs w:val="1"/>
          <w:color w:val="auto"/>
        </w:rPr>
        <w:t xml:space="preserve">Non-Agency. </w:t>
      </w:r>
      <w:r>
        <w:rPr>
          <w:rFonts w:ascii="Arial" w:cs="Arial" w:eastAsia="Arial" w:hAnsi="Arial"/>
          <w:sz w:val="16"/>
          <w:szCs w:val="16"/>
          <w:color w:val="auto"/>
        </w:rPr>
        <w:t>It is entering into this Agreement, any Credit Support Document to which it is a party, each Transaction and any other documentation</w:t>
      </w:r>
      <w:r>
        <w:rPr>
          <w:rFonts w:ascii="Arial" w:cs="Arial" w:eastAsia="Arial" w:hAnsi="Arial"/>
          <w:sz w:val="16"/>
          <w:szCs w:val="16"/>
          <w:b w:val="1"/>
          <w:bCs w:val="1"/>
          <w:color w:val="auto"/>
        </w:rPr>
        <w:t xml:space="preserve"> </w:t>
      </w:r>
      <w:r>
        <w:rPr>
          <w:rFonts w:ascii="Arial" w:cs="Arial" w:eastAsia="Arial" w:hAnsi="Arial"/>
          <w:sz w:val="16"/>
          <w:szCs w:val="16"/>
          <w:color w:val="auto"/>
        </w:rPr>
        <w:t>relating to this Agreement or any Transaction as principal (and not as agent or in any other capacity, fiduciary or otherwise).</w:t>
      </w:r>
    </w:p>
    <w:p>
      <w:pPr>
        <w:spacing w:after="0" w:line="1" w:lineRule="exact"/>
        <w:rPr>
          <w:rFonts w:ascii="Arial" w:cs="Arial" w:eastAsia="Arial" w:hAnsi="Arial"/>
          <w:sz w:val="16"/>
          <w:szCs w:val="16"/>
          <w:color w:val="auto"/>
        </w:rPr>
      </w:pPr>
    </w:p>
    <w:p>
      <w:pPr>
        <w:jc w:val="both"/>
        <w:ind w:left="452" w:right="500" w:hanging="452"/>
        <w:spacing w:after="0" w:line="262" w:lineRule="auto"/>
        <w:tabs>
          <w:tab w:leader="none" w:pos="452" w:val="left"/>
        </w:tabs>
        <w:numPr>
          <w:ilvl w:val="0"/>
          <w:numId w:val="226"/>
        </w:numPr>
        <w:rPr>
          <w:rFonts w:ascii="Arial" w:cs="Arial" w:eastAsia="Arial" w:hAnsi="Arial"/>
          <w:sz w:val="18"/>
          <w:szCs w:val="18"/>
          <w:color w:val="auto"/>
        </w:rPr>
      </w:pPr>
      <w:r>
        <w:rPr>
          <w:rFonts w:ascii="Arial" w:cs="Arial" w:eastAsia="Arial" w:hAnsi="Arial"/>
          <w:sz w:val="18"/>
          <w:szCs w:val="18"/>
          <w:b w:val="1"/>
          <w:bCs w:val="1"/>
          <w:color w:val="auto"/>
        </w:rPr>
        <w:t>Recording of Conversations</w:t>
      </w:r>
      <w:r>
        <w:rPr>
          <w:rFonts w:ascii="Arial" w:cs="Arial" w:eastAsia="Arial" w:hAnsi="Arial"/>
          <w:sz w:val="18"/>
          <w:szCs w:val="18"/>
          <w:color w:val="auto"/>
        </w:rPr>
        <w:t>. Each party (i) consents to the recording of telephone conversations between the trading, marketing and other relevant</w:t>
      </w:r>
      <w:r>
        <w:rPr>
          <w:rFonts w:ascii="Arial" w:cs="Arial" w:eastAsia="Arial" w:hAnsi="Arial"/>
          <w:sz w:val="18"/>
          <w:szCs w:val="18"/>
          <w:b w:val="1"/>
          <w:bCs w:val="1"/>
          <w:color w:val="auto"/>
        </w:rPr>
        <w:t xml:space="preserve"> </w:t>
      </w:r>
      <w:r>
        <w:rPr>
          <w:rFonts w:ascii="Arial" w:cs="Arial" w:eastAsia="Arial" w:hAnsi="Arial"/>
          <w:sz w:val="18"/>
          <w:szCs w:val="18"/>
          <w:color w:val="auto"/>
        </w:rPr>
        <w:t>personnel of the parties in connection with this Agreement or any potential Transaction and (ii) agrees, to the extent permitted by applicable law, that recordings may be submitted in evidence in any Proceedings.</w:t>
      </w:r>
    </w:p>
    <w:p>
      <w:pPr>
        <w:spacing w:after="0" w:line="51" w:lineRule="exact"/>
        <w:rPr>
          <w:rFonts w:ascii="Arial" w:cs="Arial" w:eastAsia="Arial" w:hAnsi="Arial"/>
          <w:sz w:val="18"/>
          <w:szCs w:val="18"/>
          <w:color w:val="auto"/>
        </w:rPr>
      </w:pPr>
    </w:p>
    <w:p>
      <w:pPr>
        <w:ind w:left="452" w:right="100" w:hanging="452"/>
        <w:spacing w:after="0" w:line="339" w:lineRule="auto"/>
        <w:tabs>
          <w:tab w:leader="none" w:pos="452" w:val="left"/>
        </w:tabs>
        <w:numPr>
          <w:ilvl w:val="0"/>
          <w:numId w:val="226"/>
        </w:numPr>
        <w:rPr>
          <w:rFonts w:ascii="Arial" w:cs="Arial" w:eastAsia="Arial" w:hAnsi="Arial"/>
          <w:sz w:val="16"/>
          <w:szCs w:val="16"/>
          <w:color w:val="auto"/>
        </w:rPr>
      </w:pPr>
      <w:r>
        <w:rPr>
          <w:rFonts w:ascii="Arial" w:cs="Arial" w:eastAsia="Arial" w:hAnsi="Arial"/>
          <w:sz w:val="16"/>
          <w:szCs w:val="16"/>
          <w:b w:val="1"/>
          <w:bCs w:val="1"/>
          <w:u w:val="single" w:color="auto"/>
          <w:color w:val="auto"/>
        </w:rPr>
        <w:t>Accuracy of Specified Information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3(d) is hereby amended by adding in the third line thereof after the word “respect” and before the period, the</w:t>
      </w:r>
      <w:r>
        <w:rPr>
          <w:rFonts w:ascii="Arial" w:cs="Arial" w:eastAsia="Arial" w:hAnsi="Arial"/>
          <w:sz w:val="16"/>
          <w:szCs w:val="16"/>
          <w:b w:val="1"/>
          <w:bCs w:val="1"/>
          <w:color w:val="auto"/>
        </w:rPr>
        <w:t xml:space="preserve"> </w:t>
      </w:r>
      <w:r>
        <w:rPr>
          <w:rFonts w:ascii="Arial" w:cs="Arial" w:eastAsia="Arial" w:hAnsi="Arial"/>
          <w:sz w:val="16"/>
          <w:szCs w:val="16"/>
          <w:color w:val="auto"/>
        </w:rPr>
        <w:t>phrase “or, in the case of audited or unaudited financial statements, a fair presentation of the financial condition of the relevant person.”</w:t>
      </w:r>
    </w:p>
    <w:p>
      <w:pPr>
        <w:spacing w:after="0" w:line="6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12"/>
          </w:cols>
          <w:pgMar w:left="248" w:top="274"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Part 5. </w:t>
      </w:r>
      <w:r>
        <w:rPr>
          <w:rFonts w:ascii="Arial" w:cs="Arial" w:eastAsia="Arial" w:hAnsi="Arial"/>
          <w:sz w:val="18"/>
          <w:szCs w:val="18"/>
          <w:b w:val="1"/>
          <w:bCs w:val="1"/>
          <w:u w:val="single" w:color="auto"/>
          <w:color w:val="auto"/>
        </w:rPr>
        <w:t>Other Provisions</w:t>
      </w:r>
      <w:r>
        <w:rPr>
          <w:rFonts w:ascii="Arial" w:cs="Arial" w:eastAsia="Arial" w:hAnsi="Arial"/>
          <w:sz w:val="18"/>
          <w:szCs w:val="18"/>
          <w:b w:val="1"/>
          <w:bCs w:val="1"/>
          <w:color w:val="auto"/>
        </w:rPr>
        <w:t>.</w:t>
      </w:r>
    </w:p>
    <w:p>
      <w:pPr>
        <w:spacing w:after="0" w:line="90" w:lineRule="exact"/>
        <w:rPr>
          <w:sz w:val="20"/>
          <w:szCs w:val="20"/>
          <w:color w:val="auto"/>
        </w:rPr>
      </w:pPr>
    </w:p>
    <w:p>
      <w:pPr>
        <w:ind w:left="460" w:right="240" w:hanging="452"/>
        <w:spacing w:after="0" w:line="275" w:lineRule="auto"/>
        <w:tabs>
          <w:tab w:leader="none" w:pos="460" w:val="left"/>
        </w:tabs>
        <w:numPr>
          <w:ilvl w:val="0"/>
          <w:numId w:val="227"/>
        </w:numPr>
        <w:rPr>
          <w:rFonts w:ascii="Arial" w:cs="Arial" w:eastAsia="Arial" w:hAnsi="Arial"/>
          <w:sz w:val="18"/>
          <w:szCs w:val="18"/>
          <w:color w:val="auto"/>
        </w:rPr>
      </w:pPr>
      <w:r>
        <w:rPr>
          <w:rFonts w:ascii="Arial" w:cs="Arial" w:eastAsia="Arial" w:hAnsi="Arial"/>
          <w:sz w:val="18"/>
          <w:szCs w:val="18"/>
          <w:b w:val="1"/>
          <w:bCs w:val="1"/>
          <w:color w:val="auto"/>
        </w:rPr>
        <w:t xml:space="preserve">Additional Representations. </w:t>
      </w:r>
      <w:r>
        <w:rPr>
          <w:rFonts w:ascii="Arial" w:cs="Arial" w:eastAsia="Arial" w:hAnsi="Arial"/>
          <w:sz w:val="18"/>
          <w:szCs w:val="18"/>
          <w:color w:val="auto"/>
        </w:rPr>
        <w:t>In addition to the provisions addressed above in Part 4 of the Schedule, Section 3 of this Agreement is hereby amended by</w:t>
      </w:r>
      <w:r>
        <w:rPr>
          <w:rFonts w:ascii="Arial" w:cs="Arial" w:eastAsia="Arial" w:hAnsi="Arial"/>
          <w:sz w:val="18"/>
          <w:szCs w:val="18"/>
          <w:b w:val="1"/>
          <w:bCs w:val="1"/>
          <w:color w:val="auto"/>
        </w:rPr>
        <w:t xml:space="preserve"> </w:t>
      </w:r>
      <w:r>
        <w:rPr>
          <w:rFonts w:ascii="Arial" w:cs="Arial" w:eastAsia="Arial" w:hAnsi="Arial"/>
          <w:sz w:val="18"/>
          <w:szCs w:val="18"/>
          <w:color w:val="auto"/>
        </w:rPr>
        <w:t>adding at the end thereof the following sub-paragraphs:</w:t>
      </w:r>
    </w:p>
    <w:p>
      <w:pPr>
        <w:spacing w:after="0" w:line="39" w:lineRule="exact"/>
        <w:rPr>
          <w:sz w:val="20"/>
          <w:szCs w:val="20"/>
          <w:color w:val="auto"/>
        </w:rPr>
      </w:pPr>
    </w:p>
    <w:p>
      <w:pPr>
        <w:ind w:left="920" w:right="520"/>
        <w:spacing w:after="0" w:line="275" w:lineRule="auto"/>
        <w:rPr>
          <w:sz w:val="20"/>
          <w:szCs w:val="20"/>
          <w:color w:val="auto"/>
        </w:rPr>
      </w:pPr>
      <w:r>
        <w:rPr>
          <w:rFonts w:ascii="Arial" w:cs="Arial" w:eastAsia="Arial" w:hAnsi="Arial"/>
          <w:sz w:val="18"/>
          <w:szCs w:val="18"/>
          <w:color w:val="auto"/>
        </w:rPr>
        <w:t xml:space="preserve">“(i) </w:t>
      </w:r>
      <w:r>
        <w:rPr>
          <w:rFonts w:ascii="Arial" w:cs="Arial" w:eastAsia="Arial" w:hAnsi="Arial"/>
          <w:sz w:val="18"/>
          <w:szCs w:val="18"/>
          <w:b w:val="1"/>
          <w:bCs w:val="1"/>
          <w:color w:val="auto"/>
        </w:rPr>
        <w:t>Eligible Contract Participant.</w:t>
      </w:r>
      <w:r>
        <w:rPr>
          <w:rFonts w:ascii="Arial" w:cs="Arial" w:eastAsia="Arial" w:hAnsi="Arial"/>
          <w:sz w:val="18"/>
          <w:szCs w:val="18"/>
          <w:color w:val="auto"/>
        </w:rPr>
        <w:t xml:space="preserve"> It is an “Eligible Contract Participant” as defined in Section 1(a)(12) of the Commodity Exchange Act, as amended.</w:t>
      </w:r>
    </w:p>
    <w:p>
      <w:pPr>
        <w:spacing w:after="0" w:line="39" w:lineRule="exact"/>
        <w:rPr>
          <w:sz w:val="20"/>
          <w:szCs w:val="20"/>
          <w:color w:val="auto"/>
        </w:rPr>
      </w:pPr>
    </w:p>
    <w:p>
      <w:pPr>
        <w:ind w:left="920" w:right="40" w:firstLine="1"/>
        <w:spacing w:after="0" w:line="291" w:lineRule="auto"/>
        <w:tabs>
          <w:tab w:leader="none" w:pos="1129" w:val="left"/>
        </w:tabs>
        <w:numPr>
          <w:ilvl w:val="1"/>
          <w:numId w:val="228"/>
        </w:numPr>
        <w:rPr>
          <w:rFonts w:ascii="Arial" w:cs="Arial" w:eastAsia="Arial" w:hAnsi="Arial"/>
          <w:sz w:val="16"/>
          <w:szCs w:val="16"/>
          <w:color w:val="auto"/>
        </w:rPr>
      </w:pPr>
      <w:r>
        <w:rPr>
          <w:rFonts w:ascii="Arial" w:cs="Arial" w:eastAsia="Arial" w:hAnsi="Arial"/>
          <w:sz w:val="16"/>
          <w:szCs w:val="16"/>
          <w:b w:val="1"/>
          <w:bCs w:val="1"/>
          <w:color w:val="auto"/>
        </w:rPr>
        <w:t xml:space="preserve">Non-ERISA Representation. </w:t>
      </w:r>
      <w:r>
        <w:rPr>
          <w:rFonts w:ascii="Arial" w:cs="Arial" w:eastAsia="Arial" w:hAnsi="Arial"/>
          <w:sz w:val="16"/>
          <w:szCs w:val="16"/>
          <w:color w:val="auto"/>
        </w:rPr>
        <w:t>It continuously represents that it is not (i) an employee benefit plan (hereinafter an “ERISA Plan”), as defined in</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3(3) of the Employee Retirement Income Security Act of 1974, as amended (“ERISA”), subject to Title I of ERISA or a plan subject to Section 4975 of the Internal Revenue Code of 1986, as amended, or subject to any other statute, regulation, procedure or restriction that is materially similar to Section 406 of ERISA or Section 4975 of the Code (together with ERISA Plans, “Plans”), (ii) a person any of the assets of whom constitute assets of a Plan, or (iii) in connection with any Transaction under this Agreement, a person acting on behalf of a Plan, or using the assets of a Plan. It will provide notice to the other party in the event that it is aware that it is in breach of any aspect of this representation or is aware that with the passing of time, giving of notice or expiry of any applicable grace period it will breach this representation.”</w:t>
      </w:r>
    </w:p>
    <w:p>
      <w:pPr>
        <w:spacing w:after="0" w:line="32" w:lineRule="exact"/>
        <w:rPr>
          <w:rFonts w:ascii="Arial" w:cs="Arial" w:eastAsia="Arial" w:hAnsi="Arial"/>
          <w:sz w:val="16"/>
          <w:szCs w:val="16"/>
          <w:color w:val="auto"/>
        </w:rPr>
      </w:pPr>
    </w:p>
    <w:p>
      <w:pPr>
        <w:ind w:left="460" w:firstLine="4"/>
        <w:spacing w:after="0" w:line="291" w:lineRule="auto"/>
        <w:tabs>
          <w:tab w:leader="none" w:pos="709" w:val="left"/>
        </w:tabs>
        <w:numPr>
          <w:ilvl w:val="0"/>
          <w:numId w:val="229"/>
        </w:numPr>
        <w:rPr>
          <w:rFonts w:ascii="Arial" w:cs="Arial" w:eastAsia="Arial" w:hAnsi="Arial"/>
          <w:sz w:val="16"/>
          <w:szCs w:val="16"/>
          <w:color w:val="auto"/>
        </w:rPr>
      </w:pPr>
      <w:r>
        <w:rPr>
          <w:rFonts w:ascii="Arial" w:cs="Arial" w:eastAsia="Arial" w:hAnsi="Arial"/>
          <w:sz w:val="16"/>
          <w:szCs w:val="16"/>
          <w:b w:val="1"/>
          <w:bCs w:val="1"/>
          <w:color w:val="auto"/>
        </w:rPr>
        <w:t xml:space="preserve">Set-Off. </w:t>
      </w:r>
      <w:r>
        <w:rPr>
          <w:rFonts w:ascii="Arial" w:cs="Arial" w:eastAsia="Arial" w:hAnsi="Arial"/>
          <w:sz w:val="16"/>
          <w:szCs w:val="16"/>
          <w:color w:val="auto"/>
        </w:rPr>
        <w:t>(i) In addition to any rights of set-off a party may have as a matter of law or otherwise, upon the occurrence of an Event of Default with respect</w:t>
      </w:r>
      <w:r>
        <w:rPr>
          <w:rFonts w:ascii="Arial" w:cs="Arial" w:eastAsia="Arial" w:hAnsi="Arial"/>
          <w:sz w:val="16"/>
          <w:szCs w:val="16"/>
          <w:b w:val="1"/>
          <w:bCs w:val="1"/>
          <w:color w:val="auto"/>
        </w:rPr>
        <w:t xml:space="preserve"> </w:t>
      </w:r>
      <w:r>
        <w:rPr>
          <w:rFonts w:ascii="Arial" w:cs="Arial" w:eastAsia="Arial" w:hAnsi="Arial"/>
          <w:sz w:val="16"/>
          <w:szCs w:val="16"/>
          <w:color w:val="auto"/>
        </w:rPr>
        <w:t>to Party (“X”) hereof (or a provision analogous thereto) or where there is one Affected Party in the case where either a Credit Event Upon Merger has occurred, or any Additional Termination Event where X is the sole Affected Party, the other party (“Y”) shall have the right (but shall not be obliged) without prior notice to X or any other person to set off any obligation of X owing to Y or any Affiliate of Y (whether or not arising under this Agreement, whether or not matured, whether or not contingent and regardless of the currency, place of payment or booking office of the obligation) against any obligations of Y or any Affiliate of Y owing to X (whether or not arising under this Agreement, whether or not matured, whether or not contingent and regardless of the currency, place of payment or booking office of the obligation).</w:t>
      </w:r>
    </w:p>
    <w:p>
      <w:pPr>
        <w:spacing w:after="0" w:line="119" w:lineRule="exact"/>
        <w:rPr>
          <w:sz w:val="20"/>
          <w:szCs w:val="20"/>
          <w:color w:val="auto"/>
        </w:rPr>
      </w:pPr>
    </w:p>
    <w:p>
      <w:pPr>
        <w:ind w:left="720" w:hanging="256"/>
        <w:spacing w:after="0"/>
        <w:tabs>
          <w:tab w:leader="none" w:pos="720" w:val="left"/>
        </w:tabs>
        <w:numPr>
          <w:ilvl w:val="1"/>
          <w:numId w:val="230"/>
        </w:numPr>
        <w:rPr>
          <w:rFonts w:ascii="Arial" w:cs="Arial" w:eastAsia="Arial" w:hAnsi="Arial"/>
          <w:sz w:val="18"/>
          <w:szCs w:val="18"/>
          <w:color w:val="auto"/>
        </w:rPr>
      </w:pPr>
      <w:r>
        <w:rPr>
          <w:rFonts w:ascii="Arial" w:cs="Arial" w:eastAsia="Arial" w:hAnsi="Arial"/>
          <w:sz w:val="18"/>
          <w:szCs w:val="18"/>
          <w:color w:val="auto"/>
        </w:rPr>
        <w:t>For the purpose of cross-currency set off, Y may convert any obligation to another currency at a market rate determined by Y.</w:t>
      </w:r>
    </w:p>
    <w:p>
      <w:pPr>
        <w:spacing w:after="0" w:line="90" w:lineRule="exact"/>
        <w:rPr>
          <w:rFonts w:ascii="Arial" w:cs="Arial" w:eastAsia="Arial" w:hAnsi="Arial"/>
          <w:sz w:val="18"/>
          <w:szCs w:val="18"/>
          <w:color w:val="auto"/>
        </w:rPr>
      </w:pPr>
    </w:p>
    <w:p>
      <w:pPr>
        <w:ind w:left="460" w:right="500" w:firstLine="4"/>
        <w:spacing w:after="0" w:line="268" w:lineRule="auto"/>
        <w:tabs>
          <w:tab w:leader="none" w:pos="767" w:val="left"/>
        </w:tabs>
        <w:numPr>
          <w:ilvl w:val="1"/>
          <w:numId w:val="230"/>
        </w:numPr>
        <w:rPr>
          <w:rFonts w:ascii="Arial" w:cs="Arial" w:eastAsia="Arial" w:hAnsi="Arial"/>
          <w:sz w:val="18"/>
          <w:szCs w:val="18"/>
          <w:color w:val="auto"/>
        </w:rPr>
      </w:pPr>
      <w:r>
        <w:rPr>
          <w:rFonts w:ascii="Arial" w:cs="Arial" w:eastAsia="Arial" w:hAnsi="Arial"/>
          <w:sz w:val="18"/>
          <w:szCs w:val="18"/>
          <w:color w:val="auto"/>
        </w:rPr>
        <w:t>If any obligation is unascertained, Y may in good faith estimate that obligation and set off in respect of the estimate, subject to the relevant party accounting to the other when the obligation is ascertained.</w:t>
      </w:r>
    </w:p>
    <w:p>
      <w:pPr>
        <w:spacing w:after="0" w:line="50" w:lineRule="exact"/>
        <w:rPr>
          <w:rFonts w:ascii="Arial" w:cs="Arial" w:eastAsia="Arial" w:hAnsi="Arial"/>
          <w:sz w:val="18"/>
          <w:szCs w:val="18"/>
          <w:color w:val="auto"/>
        </w:rPr>
      </w:pPr>
    </w:p>
    <w:p>
      <w:pPr>
        <w:ind w:left="460" w:right="180" w:firstLine="4"/>
        <w:spacing w:after="0" w:line="259" w:lineRule="auto"/>
        <w:tabs>
          <w:tab w:leader="none" w:pos="757" w:val="left"/>
        </w:tabs>
        <w:numPr>
          <w:ilvl w:val="1"/>
          <w:numId w:val="230"/>
        </w:numPr>
        <w:rPr>
          <w:rFonts w:ascii="Arial" w:cs="Arial" w:eastAsia="Arial" w:hAnsi="Arial"/>
          <w:sz w:val="18"/>
          <w:szCs w:val="18"/>
          <w:color w:val="auto"/>
        </w:rPr>
      </w:pPr>
      <w:r>
        <w:rPr>
          <w:rFonts w:ascii="Arial" w:cs="Arial" w:eastAsia="Arial" w:hAnsi="Arial"/>
          <w:sz w:val="18"/>
          <w:szCs w:val="18"/>
          <w:color w:val="auto"/>
        </w:rPr>
        <w:t>Nothing in this paragraph will have the effect of creating a charge or other security interest. This paragraph shall be without prejudice and in addition to any right of set-off, combination of accounts, lien or other right to which any party is at any time otherwise entitled (whether by operation of law, contract or otherwise).”</w:t>
      </w:r>
    </w:p>
    <w:p>
      <w:pPr>
        <w:spacing w:after="0" w:line="53" w:lineRule="exact"/>
        <w:rPr>
          <w:rFonts w:ascii="Arial" w:cs="Arial" w:eastAsia="Arial" w:hAnsi="Arial"/>
          <w:sz w:val="18"/>
          <w:szCs w:val="18"/>
          <w:color w:val="auto"/>
        </w:rPr>
      </w:pPr>
    </w:p>
    <w:p>
      <w:pPr>
        <w:ind w:left="460" w:hanging="452"/>
        <w:spacing w:after="0"/>
        <w:tabs>
          <w:tab w:leader="none" w:pos="460"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Procedures for Entering Into Transactions</w:t>
      </w:r>
      <w:r>
        <w:rPr>
          <w:rFonts w:ascii="Arial" w:cs="Arial" w:eastAsia="Arial" w:hAnsi="Arial"/>
          <w:sz w:val="18"/>
          <w:szCs w:val="18"/>
          <w:color w:val="auto"/>
        </w:rPr>
        <w:t>. Party A will deliver to Party B a Confirmation relating to each Transaction.</w:t>
      </w:r>
    </w:p>
    <w:p>
      <w:pPr>
        <w:spacing w:after="0" w:line="90" w:lineRule="exact"/>
        <w:rPr>
          <w:rFonts w:ascii="Arial" w:cs="Arial" w:eastAsia="Arial" w:hAnsi="Arial"/>
          <w:sz w:val="18"/>
          <w:szCs w:val="18"/>
          <w:color w:val="auto"/>
        </w:rPr>
      </w:pPr>
    </w:p>
    <w:p>
      <w:pPr>
        <w:ind w:left="460" w:right="720" w:hanging="452"/>
        <w:spacing w:after="0" w:line="275" w:lineRule="auto"/>
        <w:tabs>
          <w:tab w:leader="none" w:pos="460" w:val="left"/>
        </w:tabs>
        <w:numPr>
          <w:ilvl w:val="0"/>
          <w:numId w:val="231"/>
        </w:numPr>
        <w:rPr>
          <w:rFonts w:ascii="Arial" w:cs="Arial" w:eastAsia="Arial" w:hAnsi="Arial"/>
          <w:sz w:val="18"/>
          <w:szCs w:val="18"/>
          <w:color w:val="auto"/>
        </w:rPr>
      </w:pPr>
      <w:r>
        <w:rPr>
          <w:rFonts w:ascii="Arial" w:cs="Arial" w:eastAsia="Arial" w:hAnsi="Arial"/>
          <w:sz w:val="18"/>
          <w:szCs w:val="18"/>
          <w:b w:val="1"/>
          <w:bCs w:val="1"/>
          <w:color w:val="auto"/>
        </w:rPr>
        <w:t>Form of Agreement</w:t>
      </w:r>
      <w:r>
        <w:rPr>
          <w:rFonts w:ascii="Arial" w:cs="Arial" w:eastAsia="Arial" w:hAnsi="Arial"/>
          <w:sz w:val="18"/>
          <w:szCs w:val="18"/>
          <w:color w:val="auto"/>
        </w:rPr>
        <w:t>. The parties hereby agree that the text of the body of the Agreement is intended to be the printed form of 1992 ISDA Master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published and copyrighted by the International Swaps and Derivatives Association, Inc.</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74" w:right="239" w:bottom="1440" w:gutter="0" w:footer="0" w:header="0"/>
        </w:sectPr>
      </w:pPr>
    </w:p>
    <w:bookmarkStart w:id="127" w:name="page128"/>
    <w:bookmarkEnd w:id="127"/>
    <w:p>
      <w:pPr>
        <w:ind w:left="452" w:hanging="452"/>
        <w:spacing w:after="0"/>
        <w:tabs>
          <w:tab w:leader="none" w:pos="452" w:val="left"/>
        </w:tabs>
        <w:numPr>
          <w:ilvl w:val="0"/>
          <w:numId w:val="232"/>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Transfers</w:t>
      </w:r>
      <w:r>
        <w:rPr>
          <w:rFonts w:ascii="Arial" w:cs="Arial" w:eastAsia="Arial" w:hAnsi="Arial"/>
          <w:sz w:val="18"/>
          <w:szCs w:val="18"/>
          <w:color w:val="auto"/>
        </w:rPr>
        <w:t>. The following provision (c) is hereby added to Section 7 of this Agreement:</w:t>
      </w:r>
    </w:p>
    <w:p>
      <w:pPr>
        <w:spacing w:after="0" w:line="96" w:lineRule="exact"/>
        <w:rPr>
          <w:sz w:val="20"/>
          <w:szCs w:val="20"/>
          <w:color w:val="auto"/>
        </w:rPr>
      </w:pPr>
    </w:p>
    <w:p>
      <w:pPr>
        <w:ind w:left="912" w:right="80"/>
        <w:spacing w:after="0" w:line="253" w:lineRule="auto"/>
        <w:rPr>
          <w:sz w:val="20"/>
          <w:szCs w:val="20"/>
          <w:color w:val="auto"/>
        </w:rPr>
      </w:pPr>
      <w:r>
        <w:rPr>
          <w:rFonts w:ascii="Arial" w:cs="Arial" w:eastAsia="Arial" w:hAnsi="Arial"/>
          <w:sz w:val="18"/>
          <w:szCs w:val="18"/>
          <w:color w:val="auto"/>
        </w:rPr>
        <w:t>“(c) Notwithstanding anything to the contrary in Section 7 of the Agreement, Party A may assign its rights and obligations under this Agreement, in whole or in part to any Affiliate of Lehman Brothers Holdings Inc., and Party B hereto agrees to such transfer; provided, however, that both Party A and the Affiliate transferee are ‘dealers in notional principal contracts’ within the meaning of U.S. Treasury Regulation Section 1.1001-4, and provided further that either (1) Party B shall have received a guarantee by Lehman Brothers Holdings Inc., in favor of Party B, of the obligations of such Affiliate, such guarantee to be substantially the same as the guarantee then in effect of the obligations of the transferor, or (2) such transferee shall have the same or higher long term senior unsecured debt rating (as determined by S&amp;P or Moody’s) as Lehman Brothers Holdings Inc. at the time of such transfer.”</w:t>
      </w:r>
    </w:p>
    <w:p>
      <w:pPr>
        <w:spacing w:after="0" w:line="60" w:lineRule="exact"/>
        <w:rPr>
          <w:sz w:val="20"/>
          <w:szCs w:val="20"/>
          <w:color w:val="auto"/>
        </w:rPr>
      </w:pPr>
    </w:p>
    <w:p>
      <w:pPr>
        <w:ind w:left="452" w:hanging="452"/>
        <w:spacing w:after="0" w:line="287" w:lineRule="auto"/>
        <w:tabs>
          <w:tab w:leader="none" w:pos="452" w:val="left"/>
        </w:tabs>
        <w:numPr>
          <w:ilvl w:val="0"/>
          <w:numId w:val="233"/>
        </w:numPr>
        <w:rPr>
          <w:rFonts w:ascii="Arial" w:cs="Arial" w:eastAsia="Arial" w:hAnsi="Arial"/>
          <w:sz w:val="16"/>
          <w:szCs w:val="16"/>
          <w:color w:val="auto"/>
        </w:rPr>
      </w:pPr>
      <w:r>
        <w:rPr>
          <w:rFonts w:ascii="Arial" w:cs="Arial" w:eastAsia="Arial" w:hAnsi="Arial"/>
          <w:sz w:val="16"/>
          <w:szCs w:val="16"/>
          <w:b w:val="1"/>
          <w:bCs w:val="1"/>
          <w:color w:val="auto"/>
        </w:rPr>
        <w:t>Severability</w:t>
      </w:r>
      <w:r>
        <w:rPr>
          <w:rFonts w:ascii="Arial" w:cs="Arial" w:eastAsia="Arial" w:hAnsi="Arial"/>
          <w:sz w:val="16"/>
          <w:szCs w:val="16"/>
          <w:color w:val="auto"/>
        </w:rPr>
        <w:t>. Any provision of this Agreement which is prohibited or unenforceable in any jurisdiction in respect of any Transaction shall, as to such</w:t>
      </w:r>
      <w:r>
        <w:rPr>
          <w:rFonts w:ascii="Arial" w:cs="Arial" w:eastAsia="Arial" w:hAnsi="Arial"/>
          <w:sz w:val="16"/>
          <w:szCs w:val="16"/>
          <w:b w:val="1"/>
          <w:bCs w:val="1"/>
          <w:color w:val="auto"/>
        </w:rPr>
        <w:t xml:space="preserve"> </w:t>
      </w:r>
      <w:r>
        <w:rPr>
          <w:rFonts w:ascii="Arial" w:cs="Arial" w:eastAsia="Arial" w:hAnsi="Arial"/>
          <w:sz w:val="16"/>
          <w:szCs w:val="16"/>
          <w:color w:val="auto"/>
        </w:rPr>
        <w:t>Transaction, be ineffective to the extent of such prohibition or unenforceability without invalidating the remaining provisions of the Agreement or affecting the validity or enforceability of such provision as to any other jurisdiction or Transaction; provided, however, that nothing in this provision shall adversely affect the rights of each party under the Agreement; and provided further that this severability provision shall not be applicable if any provision of Section 1, 2, 5, 6, or 13 (or any definition or provision in Section 14 to the extent it relates to, or is used in or connection with any such Section) shall be so held to be invalid or unenforceable. The parties hereto shall endeavor in good faith negotiations to replace the prohibited or unenforceable provision with a valid provision, the economic effect of which comes as close as possible to that of the prohibited or unenforceable provision. The remaining terms, provisions, covenants, and conditions hereof shall continue in full force and effect as if this Agreement had been executed with the invalid or unenforceable portion eliminated, so long as this Agreement as so modified continues to express, without material change, the original intentions of the parties as to the subject matter of this Agreement and the deletion of such portion of this Agreement will not substantially impair the respective benefits or expectations of the parties to this Agreement.</w:t>
      </w:r>
    </w:p>
    <w:p>
      <w:pPr>
        <w:spacing w:after="0" w:line="11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92"/>
          </w:cols>
          <w:pgMar w:left="248" w:top="274" w:right="25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IN WITNESS WHEREOF</w:t>
      </w:r>
      <w:r>
        <w:rPr>
          <w:rFonts w:ascii="Arial" w:cs="Arial" w:eastAsia="Arial" w:hAnsi="Arial"/>
          <w:sz w:val="18"/>
          <w:szCs w:val="18"/>
          <w:color w:val="auto"/>
        </w:rPr>
        <w:t>, the parties have executed this Schedule by their duly authorized officers as of the date hereof.</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040" w:type="dxa"/>
            <w:vAlign w:val="bottom"/>
            <w:gridSpan w:val="2"/>
          </w:tcPr>
          <w:p>
            <w:pPr>
              <w:spacing w:after="0"/>
              <w:rPr>
                <w:sz w:val="20"/>
                <w:szCs w:val="20"/>
                <w:color w:val="auto"/>
              </w:rPr>
            </w:pPr>
            <w:r>
              <w:rPr>
                <w:rFonts w:ascii="Arial" w:cs="Arial" w:eastAsia="Arial" w:hAnsi="Arial"/>
                <w:sz w:val="18"/>
                <w:szCs w:val="18"/>
                <w:b w:val="1"/>
                <w:bCs w:val="1"/>
                <w:color w:val="auto"/>
              </w:rPr>
              <w:t>LEHMAN BROTHERS SPECIAL FINANCING INC.</w:t>
            </w:r>
          </w:p>
        </w:tc>
        <w:tc>
          <w:tcPr>
            <w:tcW w:w="6380" w:type="dxa"/>
            <w:vAlign w:val="bottom"/>
            <w:gridSpan w:val="2"/>
          </w:tcPr>
          <w:p>
            <w:pPr>
              <w:ind w:left="1240"/>
              <w:spacing w:after="0"/>
              <w:rPr>
                <w:sz w:val="20"/>
                <w:szCs w:val="20"/>
                <w:color w:val="auto"/>
              </w:rPr>
            </w:pPr>
            <w:r>
              <w:rPr>
                <w:rFonts w:ascii="Arial" w:cs="Arial" w:eastAsia="Arial" w:hAnsi="Arial"/>
                <w:sz w:val="18"/>
                <w:szCs w:val="18"/>
                <w:b w:val="1"/>
                <w:bCs w:val="1"/>
                <w:color w:val="auto"/>
              </w:rPr>
              <w:t>NATIONAL CINEMEDIA, LLC</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44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Jacqueline M. Didier</w:t>
            </w:r>
          </w:p>
        </w:tc>
        <w:tc>
          <w:tcPr>
            <w:tcW w:w="1820" w:type="dxa"/>
            <w:vAlign w:val="bottom"/>
          </w:tcPr>
          <w:p>
            <w:pPr>
              <w:ind w:left="1240"/>
              <w:spacing w:after="0"/>
              <w:rPr>
                <w:sz w:val="20"/>
                <w:szCs w:val="20"/>
                <w:color w:val="auto"/>
              </w:rPr>
            </w:pPr>
            <w:r>
              <w:rPr>
                <w:rFonts w:ascii="Arial" w:cs="Arial" w:eastAsia="Arial" w:hAnsi="Arial"/>
                <w:sz w:val="18"/>
                <w:szCs w:val="18"/>
                <w:color w:val="auto"/>
              </w:rPr>
              <w:t>By:</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Gary W. Ferrera</w:t>
            </w:r>
          </w:p>
        </w:tc>
      </w:tr>
      <w:tr>
        <w:trPr>
          <w:trHeight w:val="217"/>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4460" w:type="dxa"/>
            <w:vAlign w:val="bottom"/>
          </w:tcPr>
          <w:p>
            <w:pPr>
              <w:spacing w:after="0"/>
              <w:rPr>
                <w:sz w:val="20"/>
                <w:szCs w:val="20"/>
                <w:color w:val="auto"/>
              </w:rPr>
            </w:pPr>
            <w:r>
              <w:rPr>
                <w:rFonts w:ascii="Arial" w:cs="Arial" w:eastAsia="Arial" w:hAnsi="Arial"/>
                <w:sz w:val="18"/>
                <w:szCs w:val="18"/>
                <w:color w:val="auto"/>
              </w:rPr>
              <w:t>Jacqueline M. Didier</w:t>
            </w:r>
          </w:p>
        </w:tc>
        <w:tc>
          <w:tcPr>
            <w:tcW w:w="1820" w:type="dxa"/>
            <w:vAlign w:val="bottom"/>
          </w:tcPr>
          <w:p>
            <w:pPr>
              <w:ind w:left="1240"/>
              <w:spacing w:after="0"/>
              <w:rPr>
                <w:sz w:val="20"/>
                <w:szCs w:val="20"/>
                <w:color w:val="auto"/>
              </w:rPr>
            </w:pPr>
            <w:r>
              <w:rPr>
                <w:rFonts w:ascii="Arial" w:cs="Arial" w:eastAsia="Arial" w:hAnsi="Arial"/>
                <w:sz w:val="18"/>
                <w:szCs w:val="18"/>
                <w:color w:val="auto"/>
              </w:rPr>
              <w:t>Name:</w:t>
            </w:r>
          </w:p>
        </w:tc>
        <w:tc>
          <w:tcPr>
            <w:tcW w:w="4560" w:type="dxa"/>
            <w:vAlign w:val="bottom"/>
          </w:tcPr>
          <w:p>
            <w:pPr>
              <w:spacing w:after="0"/>
              <w:rPr>
                <w:sz w:val="20"/>
                <w:szCs w:val="20"/>
                <w:color w:val="auto"/>
              </w:rPr>
            </w:pPr>
            <w:r>
              <w:rPr>
                <w:rFonts w:ascii="Arial" w:cs="Arial" w:eastAsia="Arial" w:hAnsi="Arial"/>
                <w:sz w:val="18"/>
                <w:szCs w:val="18"/>
                <w:color w:val="auto"/>
              </w:rPr>
              <w:t>Gary W. Ferrera</w:t>
            </w:r>
          </w:p>
        </w:tc>
      </w:t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4460" w:type="dxa"/>
            <w:vAlign w:val="bottom"/>
          </w:tcPr>
          <w:p>
            <w:pPr>
              <w:spacing w:after="0"/>
              <w:rPr>
                <w:sz w:val="20"/>
                <w:szCs w:val="20"/>
                <w:color w:val="auto"/>
              </w:rPr>
            </w:pPr>
            <w:r>
              <w:rPr>
                <w:rFonts w:ascii="Arial" w:cs="Arial" w:eastAsia="Arial" w:hAnsi="Arial"/>
                <w:sz w:val="18"/>
                <w:szCs w:val="18"/>
                <w:color w:val="auto"/>
              </w:rPr>
              <w:t>Vice President</w:t>
            </w:r>
          </w:p>
        </w:tc>
        <w:tc>
          <w:tcPr>
            <w:tcW w:w="1820" w:type="dxa"/>
            <w:vAlign w:val="bottom"/>
          </w:tcPr>
          <w:p>
            <w:pPr>
              <w:ind w:left="1240"/>
              <w:spacing w:after="0"/>
              <w:rPr>
                <w:sz w:val="20"/>
                <w:szCs w:val="20"/>
                <w:color w:val="auto"/>
              </w:rPr>
            </w:pPr>
            <w:r>
              <w:rPr>
                <w:rFonts w:ascii="Arial" w:cs="Arial" w:eastAsia="Arial" w:hAnsi="Arial"/>
                <w:sz w:val="18"/>
                <w:szCs w:val="18"/>
                <w:color w:val="auto"/>
              </w:rPr>
              <w:t>Title:</w:t>
            </w:r>
          </w:p>
        </w:tc>
        <w:tc>
          <w:tcPr>
            <w:tcW w:w="4560" w:type="dxa"/>
            <w:vAlign w:val="bottom"/>
          </w:tcPr>
          <w:p>
            <w:pPr>
              <w:spacing w:after="0"/>
              <w:rPr>
                <w:sz w:val="20"/>
                <w:szCs w:val="20"/>
                <w:color w:val="auto"/>
              </w:rPr>
            </w:pPr>
            <w:r>
              <w:rPr>
                <w:rFonts w:ascii="Arial" w:cs="Arial" w:eastAsia="Arial" w:hAnsi="Arial"/>
                <w:sz w:val="18"/>
                <w:szCs w:val="18"/>
                <w:color w:val="auto"/>
              </w:rPr>
              <w:t>CFO/EVP</w:t>
            </w:r>
          </w:p>
        </w:tc>
      </w:tr>
      <w:tr>
        <w:trPr>
          <w:trHeight w:val="222"/>
        </w:trPr>
        <w:tc>
          <w:tcPr>
            <w:tcW w:w="580" w:type="dxa"/>
            <w:vAlign w:val="bottom"/>
          </w:tcPr>
          <w:p>
            <w:pPr>
              <w:spacing w:after="0"/>
              <w:rPr>
                <w:sz w:val="20"/>
                <w:szCs w:val="20"/>
                <w:color w:val="auto"/>
              </w:rPr>
            </w:pPr>
            <w:r>
              <w:rPr>
                <w:rFonts w:ascii="Arial" w:cs="Arial" w:eastAsia="Arial" w:hAnsi="Arial"/>
                <w:sz w:val="18"/>
                <w:szCs w:val="18"/>
                <w:color w:val="auto"/>
              </w:rPr>
              <w:t>Date:</w:t>
            </w:r>
          </w:p>
        </w:tc>
        <w:tc>
          <w:tcPr>
            <w:tcW w:w="4460" w:type="dxa"/>
            <w:vAlign w:val="bottom"/>
          </w:tcPr>
          <w:p>
            <w:pPr>
              <w:spacing w:after="0"/>
              <w:rPr>
                <w:sz w:val="19"/>
                <w:szCs w:val="19"/>
                <w:color w:val="auto"/>
              </w:rPr>
            </w:pPr>
          </w:p>
        </w:tc>
        <w:tc>
          <w:tcPr>
            <w:tcW w:w="1820" w:type="dxa"/>
            <w:vAlign w:val="bottom"/>
          </w:tcPr>
          <w:p>
            <w:pPr>
              <w:ind w:left="1240"/>
              <w:spacing w:after="0"/>
              <w:rPr>
                <w:sz w:val="20"/>
                <w:szCs w:val="20"/>
                <w:color w:val="auto"/>
              </w:rPr>
            </w:pPr>
            <w:r>
              <w:rPr>
                <w:rFonts w:ascii="Arial" w:cs="Arial" w:eastAsia="Arial" w:hAnsi="Arial"/>
                <w:sz w:val="18"/>
                <w:szCs w:val="18"/>
                <w:color w:val="auto"/>
              </w:rPr>
              <w:t>Date:</w:t>
            </w:r>
          </w:p>
        </w:tc>
        <w:tc>
          <w:tcPr>
            <w:tcW w:w="4560" w:type="dxa"/>
            <w:vAlign w:val="bottom"/>
          </w:tcPr>
          <w:p>
            <w:pPr>
              <w:spacing w:after="0"/>
              <w:rPr>
                <w:sz w:val="20"/>
                <w:szCs w:val="20"/>
                <w:color w:val="auto"/>
              </w:rPr>
            </w:pPr>
            <w:r>
              <w:rPr>
                <w:rFonts w:ascii="Arial" w:cs="Arial" w:eastAsia="Arial" w:hAnsi="Arial"/>
                <w:sz w:val="18"/>
                <w:szCs w:val="18"/>
                <w:color w:val="auto"/>
              </w:rPr>
              <w:t>September 17, 2007</w:t>
            </w:r>
          </w:p>
        </w:tc>
      </w:tr>
      <w:tr>
        <w:trPr>
          <w:trHeight w:val="365"/>
        </w:trPr>
        <w:tc>
          <w:tcPr>
            <w:tcW w:w="58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820" w:type="dxa"/>
            <w:vAlign w:val="bottom"/>
          </w:tcPr>
          <w:p>
            <w:pPr>
              <w:ind w:left="580"/>
              <w:spacing w:after="0"/>
              <w:rPr>
                <w:sz w:val="20"/>
                <w:szCs w:val="20"/>
                <w:color w:val="auto"/>
              </w:rPr>
            </w:pPr>
            <w:r>
              <w:rPr>
                <w:rFonts w:ascii="Arial" w:cs="Arial" w:eastAsia="Arial" w:hAnsi="Arial"/>
                <w:sz w:val="18"/>
                <w:szCs w:val="18"/>
                <w:color w:val="auto"/>
              </w:rPr>
              <w:t>28</w:t>
            </w:r>
          </w:p>
        </w:tc>
        <w:tc>
          <w:tcPr>
            <w:tcW w:w="4560" w:type="dxa"/>
            <w:vAlign w:val="bottom"/>
          </w:tcPr>
          <w:p>
            <w:pPr>
              <w:spacing w:after="0"/>
              <w:rPr>
                <w:sz w:val="24"/>
                <w:szCs w:val="24"/>
                <w:color w:val="auto"/>
              </w:rPr>
            </w:pPr>
          </w:p>
        </w:tc>
      </w:tr>
    </w:tbl>
    <w:p>
      <w:pPr>
        <w:sectPr>
          <w:pgSz w:w="11900" w:h="16838" w:orient="portrait"/>
          <w:cols w:equalWidth="0" w:num="1">
            <w:col w:w="11420"/>
          </w:cols>
          <w:pgMar w:left="240" w:top="274" w:right="2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Kurt C. Hall, certify that:</w:t>
      </w:r>
    </w:p>
    <w:p>
      <w:pPr>
        <w:spacing w:after="0" w:line="90" w:lineRule="exact"/>
        <w:rPr>
          <w:sz w:val="20"/>
          <w:szCs w:val="20"/>
          <w:color w:val="auto"/>
        </w:rPr>
      </w:pPr>
    </w:p>
    <w:p>
      <w:pPr>
        <w:ind w:left="640" w:hanging="176"/>
        <w:spacing w:after="0"/>
        <w:tabs>
          <w:tab w:leader="none" w:pos="64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34"/>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560" w:firstLine="464"/>
        <w:spacing w:after="0" w:line="268" w:lineRule="auto"/>
        <w:tabs>
          <w:tab w:leader="none" w:pos="632"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800" w:firstLine="443"/>
        <w:spacing w:after="0" w:line="332" w:lineRule="auto"/>
        <w:tabs>
          <w:tab w:leader="none" w:pos="1147" w:val="left"/>
        </w:tabs>
        <w:numPr>
          <w:ilvl w:val="1"/>
          <w:numId w:val="2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37" w:val="left"/>
        </w:tabs>
        <w:numPr>
          <w:ilvl w:val="1"/>
          <w:numId w:val="2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125" w:right="2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I, Gary W. Ferrera, certify that:</w:t>
      </w:r>
    </w:p>
    <w:p>
      <w:pPr>
        <w:spacing w:after="0" w:line="90" w:lineRule="exact"/>
        <w:rPr>
          <w:sz w:val="20"/>
          <w:szCs w:val="20"/>
          <w:color w:val="auto"/>
        </w:rPr>
      </w:pPr>
    </w:p>
    <w:p>
      <w:pPr>
        <w:ind w:left="640" w:hanging="176"/>
        <w:spacing w:after="0"/>
        <w:tabs>
          <w:tab w:leader="none" w:pos="64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National CineMedia, Inc.;</w:t>
      </w:r>
    </w:p>
    <w:p>
      <w:pPr>
        <w:spacing w:after="0" w:line="171" w:lineRule="exact"/>
        <w:rPr>
          <w:rFonts w:ascii="Arial" w:cs="Arial" w:eastAsia="Arial" w:hAnsi="Arial"/>
          <w:sz w:val="18"/>
          <w:szCs w:val="18"/>
          <w:color w:val="auto"/>
        </w:rPr>
      </w:pPr>
    </w:p>
    <w:p>
      <w:pPr>
        <w:ind w:right="560" w:firstLine="464"/>
        <w:spacing w:after="0" w:line="370" w:lineRule="auto"/>
        <w:tabs>
          <w:tab w:leader="none" w:pos="632" w:val="left"/>
        </w:tabs>
        <w:numPr>
          <w:ilvl w:val="0"/>
          <w:numId w:val="235"/>
        </w:numPr>
        <w:rPr>
          <w:rFonts w:ascii="Arial" w:cs="Arial" w:eastAsia="Arial" w:hAnsi="Arial"/>
          <w:sz w:val="15"/>
          <w:szCs w:val="15"/>
          <w:color w:val="auto"/>
        </w:rPr>
      </w:pPr>
      <w:r>
        <w:rPr>
          <w:rFonts w:ascii="Arial" w:cs="Arial" w:eastAsia="Arial" w:hAnsi="Arial"/>
          <w:sz w:val="15"/>
          <w:szCs w:val="15"/>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5"/>
          <w:szCs w:val="15"/>
          <w:color w:val="auto"/>
        </w:rPr>
      </w:pPr>
    </w:p>
    <w:p>
      <w:pPr>
        <w:ind w:right="540" w:firstLine="464"/>
        <w:spacing w:after="0" w:line="332" w:lineRule="auto"/>
        <w:tabs>
          <w:tab w:leader="none" w:pos="632" w:val="left"/>
        </w:tabs>
        <w:numPr>
          <w:ilvl w:val="0"/>
          <w:numId w:val="235"/>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85" w:lineRule="exact"/>
        <w:rPr>
          <w:rFonts w:ascii="Arial" w:cs="Arial" w:eastAsia="Arial" w:hAnsi="Arial"/>
          <w:sz w:val="16"/>
          <w:szCs w:val="16"/>
          <w:color w:val="auto"/>
        </w:rPr>
      </w:pPr>
    </w:p>
    <w:p>
      <w:pPr>
        <w:ind w:right="560" w:firstLine="464"/>
        <w:spacing w:after="0" w:line="268" w:lineRule="auto"/>
        <w:tabs>
          <w:tab w:leader="none" w:pos="632"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320" w:firstLine="443"/>
        <w:spacing w:after="0" w:line="259" w:lineRule="auto"/>
        <w:tabs>
          <w:tab w:leader="none" w:pos="113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800" w:firstLine="443"/>
        <w:spacing w:after="0" w:line="332" w:lineRule="auto"/>
        <w:tabs>
          <w:tab w:leader="none" w:pos="1147" w:val="left"/>
        </w:tabs>
        <w:numPr>
          <w:ilvl w:val="1"/>
          <w:numId w:val="23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ind w:left="460" w:right="220" w:firstLine="443"/>
        <w:spacing w:after="0" w:line="259" w:lineRule="auto"/>
        <w:tabs>
          <w:tab w:leader="none" w:pos="113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0" w:lineRule="exact"/>
        <w:rPr>
          <w:rFonts w:ascii="Arial" w:cs="Arial" w:eastAsia="Arial" w:hAnsi="Arial"/>
          <w:sz w:val="18"/>
          <w:szCs w:val="18"/>
          <w:color w:val="auto"/>
        </w:rPr>
      </w:pPr>
    </w:p>
    <w:p>
      <w:pPr>
        <w:ind w:right="280" w:firstLine="464"/>
        <w:spacing w:after="0" w:line="332" w:lineRule="auto"/>
        <w:tabs>
          <w:tab w:leader="none" w:pos="632" w:val="left"/>
        </w:tabs>
        <w:numPr>
          <w:ilvl w:val="0"/>
          <w:numId w:val="23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220" w:firstLine="443"/>
        <w:spacing w:after="0" w:line="268" w:lineRule="auto"/>
        <w:tabs>
          <w:tab w:leader="none" w:pos="113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1"/>
          <w:numId w:val="23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2007</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125" w:right="2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In connection with the Quarterly Report on Form 10-Q for the period ending September 27, 2007 (the “Report”) of National CineMedia, Inc. (the “Registrant”) as filed with the Securities and Exchange Commission on the date hereof, I, Kurt C. Hall, the President, Chief Executive Officer and Chairman of the Registrant, certify, pursuant to 18 U.S.C. § 1350, as adopted pursuant to § 906 of the Sarbanes-Oxley Act of 2002, that to the best of my knowledge:</w:t>
      </w:r>
    </w:p>
    <w:p>
      <w:pPr>
        <w:spacing w:after="0" w:line="26" w:lineRule="exact"/>
        <w:rPr>
          <w:sz w:val="20"/>
          <w:szCs w:val="20"/>
          <w:color w:val="auto"/>
        </w:rPr>
      </w:pPr>
    </w:p>
    <w:p>
      <w:pPr>
        <w:ind w:left="640" w:hanging="176"/>
        <w:spacing w:after="0"/>
        <w:tabs>
          <w:tab w:leader="none" w:pos="64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93" w:lineRule="auto"/>
        <w:tabs>
          <w:tab w:leader="none" w:pos="632"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November 9, 2007</w:t>
      </w:r>
    </w:p>
    <w:p>
      <w:pPr>
        <w:ind w:left="6860"/>
        <w:spacing w:after="0"/>
        <w:rPr>
          <w:sz w:val="20"/>
          <w:szCs w:val="20"/>
          <w:color w:val="auto"/>
        </w:rPr>
      </w:pPr>
      <w:r>
        <w:rPr>
          <w:rFonts w:ascii="Arial" w:cs="Arial" w:eastAsia="Arial" w:hAnsi="Arial"/>
          <w:sz w:val="18"/>
          <w:szCs w:val="18"/>
          <w:color w:val="auto"/>
        </w:rPr>
        <w:t>/s/ Kurt C. Hall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Kurt C. Hall</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President, Chief Executive Officer and Chairman</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Executive Officer)</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p>
      <w:pPr>
        <w:sectPr>
          <w:pgSz w:w="11900" w:h="16838" w:orient="portrait"/>
          <w:cols w:equalWidth="0" w:num="1">
            <w:col w:w="11420"/>
          </w:cols>
          <w:pgMar w:left="240" w:top="125" w:right="2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65" w:lineRule="exact"/>
        <w:rPr>
          <w:sz w:val="20"/>
          <w:szCs w:val="20"/>
          <w:color w:val="auto"/>
        </w:rPr>
      </w:pPr>
    </w:p>
    <w:p>
      <w:pPr>
        <w:ind w:right="380" w:firstLine="456"/>
        <w:spacing w:after="0" w:line="256" w:lineRule="auto"/>
        <w:rPr>
          <w:sz w:val="20"/>
          <w:szCs w:val="20"/>
          <w:color w:val="auto"/>
        </w:rPr>
      </w:pPr>
      <w:r>
        <w:rPr>
          <w:rFonts w:ascii="Arial" w:cs="Arial" w:eastAsia="Arial" w:hAnsi="Arial"/>
          <w:sz w:val="18"/>
          <w:szCs w:val="18"/>
          <w:color w:val="auto"/>
        </w:rPr>
        <w:t>In connection with the Quarterly Report on Form 10-Q for the period ending September 27, 2007 (the “Report”) of National CineMedia, Inc. (the “Registrant”) as filed with the Securities and Exchange Commission on the date hereof, I, Gary W. Ferrera, the Executive Vice President and Chief Financial Officer of the Registrant, certify, pursuant to 18 U.S.C. § 1350, as adopted pursuant to § 906 of the Sarbanes-Oxley Act of 2002, that to the best of my knowledge:</w:t>
      </w:r>
    </w:p>
    <w:p>
      <w:pPr>
        <w:spacing w:after="0" w:line="62" w:lineRule="exact"/>
        <w:rPr>
          <w:sz w:val="20"/>
          <w:szCs w:val="20"/>
          <w:color w:val="auto"/>
        </w:rPr>
      </w:pPr>
    </w:p>
    <w:p>
      <w:pPr>
        <w:ind w:left="640" w:hanging="176"/>
        <w:spacing w:after="0"/>
        <w:tabs>
          <w:tab w:leader="none" w:pos="64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right="540" w:firstLine="464"/>
        <w:spacing w:after="0" w:line="493" w:lineRule="auto"/>
        <w:tabs>
          <w:tab w:leader="none" w:pos="632" w:val="left"/>
        </w:tabs>
        <w:numPr>
          <w:ilvl w:val="0"/>
          <w:numId w:val="23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Registrant. Date: November 9, 2007</w:t>
      </w:r>
    </w:p>
    <w:p>
      <w:pPr>
        <w:ind w:left="6860"/>
        <w:spacing w:after="0"/>
        <w:rPr>
          <w:sz w:val="20"/>
          <w:szCs w:val="20"/>
          <w:color w:val="auto"/>
        </w:rPr>
      </w:pPr>
      <w:r>
        <w:rPr>
          <w:rFonts w:ascii="Arial" w:cs="Arial" w:eastAsia="Arial" w:hAnsi="Arial"/>
          <w:sz w:val="18"/>
          <w:szCs w:val="18"/>
          <w:color w:val="auto"/>
        </w:rPr>
        <w:t>/s/ Gary W. Ferrera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Gary W. Ferrera</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Executive Vice President and Chief Financial Officer</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(Principal Financial Officer)</w:t>
      </w:r>
    </w:p>
    <w:p>
      <w:pPr>
        <w:spacing w:after="0" w:line="165"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This certification is furnished with this Report pursuant to Section 906 of the Sarbanes-Oxley Act of 2002 and shall not, except to the extent required by such Act, be deemed filed by the Registrant for purposes of Section 18 of the Securities Exchange Act of 1934, as amended (the “Exchange Act”). Such certification will not be deemed to be incorporated by reference into any filing under the Securities Act of 1933, as amended, or the Exchange Act, except to the extent that the Registrant specifically incorporates it by reference.</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9B0904"/>
    <w:multiLevelType w:val="hybridMultilevel"/>
    <w:lvl w:ilvl="0">
      <w:lvlJc w:val="left"/>
      <w:lvlText w:val="%1."/>
      <w:numFmt w:val="decimal"/>
      <w:start w:val="1"/>
    </w:lvl>
  </w:abstractNum>
  <w:abstractNum w:abstractNumId="1">
    <w:nsid w:val="6AA7B75C"/>
    <w:multiLevelType w:val="hybridMultilevel"/>
    <w:lvl w:ilvl="0">
      <w:lvlJc w:val="left"/>
      <w:lvlText w:val="%1."/>
      <w:numFmt w:val="decimal"/>
      <w:start w:val="4"/>
    </w:lvl>
  </w:abstractNum>
  <w:abstractNum w:abstractNumId="2">
    <w:nsid w:val="1DF029D3"/>
    <w:multiLevelType w:val="hybridMultilevel"/>
    <w:lvl w:ilvl="0">
      <w:lvlJc w:val="left"/>
      <w:lvlText w:val="%1."/>
      <w:numFmt w:val="decimal"/>
      <w:start w:val="5"/>
    </w:lvl>
  </w:abstractNum>
  <w:abstractNum w:abstractNumId="3">
    <w:nsid w:val="5675FF36"/>
    <w:multiLevelType w:val="hybridMultilevel"/>
    <w:lvl w:ilvl="0">
      <w:lvlJc w:val="left"/>
      <w:lvlText w:val="$"/>
      <w:numFmt w:val="bullet"/>
      <w:start w:val="1"/>
    </w:lvl>
  </w:abstractNum>
  <w:abstractNum w:abstractNumId="4">
    <w:nsid w:val="3DD15094"/>
    <w:multiLevelType w:val="hybridMultilevel"/>
    <w:lvl w:ilvl="0">
      <w:lvlJc w:val="left"/>
      <w:lvlText w:val="$"/>
      <w:numFmt w:val="bullet"/>
      <w:start w:val="1"/>
    </w:lvl>
  </w:abstractNum>
  <w:abstractNum w:abstractNumId="5">
    <w:nsid w:val="3DB012B3"/>
    <w:multiLevelType w:val="hybridMultilevel"/>
    <w:lvl w:ilvl="0">
      <w:lvlJc w:val="left"/>
      <w:lvlText w:val="$"/>
      <w:numFmt w:val="bullet"/>
      <w:start w:val="1"/>
    </w:lvl>
  </w:abstractNum>
  <w:abstractNum w:abstractNumId="6">
    <w:nsid w:val="2708C9AF"/>
    <w:multiLevelType w:val="hybridMultilevel"/>
    <w:lvl w:ilvl="0">
      <w:lvlJc w:val="left"/>
      <w:lvlText w:val="$"/>
      <w:numFmt w:val="bullet"/>
      <w:start w:val="1"/>
    </w:lvl>
  </w:abstractNum>
  <w:abstractNum w:abstractNumId="7">
    <w:nsid w:val="5B25ACE2"/>
    <w:multiLevelType w:val="hybridMultilevel"/>
    <w:lvl w:ilvl="0">
      <w:lvlJc w:val="left"/>
      <w:lvlText w:val="%1."/>
      <w:numFmt w:val="decimal"/>
      <w:start w:val="7"/>
    </w:lvl>
  </w:abstractNum>
  <w:abstractNum w:abstractNumId="8">
    <w:nsid w:val="175DFCF0"/>
    <w:multiLevelType w:val="hybridMultilevel"/>
    <w:lvl w:ilvl="0">
      <w:lvlJc w:val="left"/>
      <w:lvlText w:val="%1."/>
      <w:numFmt w:val="decimal"/>
      <w:start w:val="9"/>
    </w:lvl>
  </w:abstractNum>
  <w:abstractNum w:abstractNumId="9">
    <w:nsid w:val="4F97E3E4"/>
    <w:multiLevelType w:val="hybridMultilevel"/>
    <w:lvl w:ilvl="0">
      <w:lvlJc w:val="left"/>
      <w:lvlText w:val="%1."/>
      <w:numFmt w:val="decimal"/>
      <w:start w:val="10"/>
    </w:lvl>
  </w:abstractNum>
  <w:abstractNum w:abstractNumId="10">
    <w:nsid w:val="53B0A9E"/>
    <w:multiLevelType w:val="hybridMultilevel"/>
    <w:lvl w:ilvl="0">
      <w:lvlJc w:val="left"/>
      <w:lvlText w:val="%1."/>
      <w:numFmt w:val="decimal"/>
      <w:start w:val="11"/>
    </w:lvl>
  </w:abstractNum>
  <w:abstractNum w:abstractNumId="11">
    <w:nsid w:val="34FD6B4F"/>
    <w:multiLevelType w:val="hybridMultilevel"/>
    <w:lvl w:ilvl="0">
      <w:lvlJc w:val="left"/>
      <w:lvlText w:val="•"/>
      <w:numFmt w:val="bullet"/>
      <w:start w:val="1"/>
    </w:lvl>
  </w:abstractNum>
  <w:abstractNum w:abstractNumId="12">
    <w:nsid w:val="5915FF32"/>
    <w:multiLevelType w:val="hybridMultilevel"/>
    <w:lvl w:ilvl="0">
      <w:lvlJc w:val="left"/>
      <w:lvlText w:val="%1."/>
      <w:numFmt w:val="decimal"/>
      <w:start w:val="12"/>
    </w:lvl>
  </w:abstractNum>
  <w:abstractNum w:abstractNumId="13">
    <w:nsid w:val="56438D15"/>
    <w:multiLevelType w:val="hybridMultilevel"/>
    <w:lvl w:ilvl="0">
      <w:lvlJc w:val="left"/>
      <w:lvlText w:val="%1."/>
      <w:numFmt w:val="decimal"/>
      <w:start w:val="13"/>
    </w:lvl>
  </w:abstractNum>
  <w:abstractNum w:abstractNumId="14">
    <w:nsid w:val="519E3149"/>
    <w:multiLevelType w:val="hybridMultilevel"/>
    <w:lvl w:ilvl="0">
      <w:lvlJc w:val="left"/>
      <w:lvlText w:val="•"/>
      <w:numFmt w:val="bullet"/>
      <w:start w:val="1"/>
    </w:lvl>
  </w:abstractNum>
  <w:abstractNum w:abstractNumId="15">
    <w:nsid w:val="2C6E4AFD"/>
    <w:multiLevelType w:val="hybridMultilevel"/>
    <w:lvl w:ilvl="0">
      <w:lvlJc w:val="left"/>
      <w:lvlText w:val="%1."/>
      <w:numFmt w:val="decimal"/>
      <w:start w:val="1"/>
    </w:lvl>
  </w:abstractNum>
  <w:abstractNum w:abstractNumId="16">
    <w:nsid w:val="17A1B582"/>
    <w:multiLevelType w:val="hybridMultilevel"/>
    <w:lvl w:ilvl="0">
      <w:lvlJc w:val="left"/>
      <w:lvlText w:val="•"/>
      <w:numFmt w:val="bullet"/>
      <w:start w:val="1"/>
    </w:lvl>
  </w:abstractNum>
  <w:abstractNum w:abstractNumId="17">
    <w:nsid w:val="4DF72E4E"/>
    <w:multiLevelType w:val="hybridMultilevel"/>
    <w:lvl w:ilvl="0">
      <w:lvlJc w:val="left"/>
      <w:lvlText w:val="*"/>
      <w:numFmt w:val="bullet"/>
      <w:start w:val="1"/>
    </w:lvl>
  </w:abstractNum>
  <w:abstractNum w:abstractNumId="18">
    <w:nsid w:val="5046B5A9"/>
    <w:multiLevelType w:val="hybridMultilevel"/>
    <w:lvl w:ilvl="0">
      <w:lvlJc w:val="left"/>
      <w:lvlText w:val="**"/>
      <w:numFmt w:val="bullet"/>
      <w:start w:val="1"/>
    </w:lvl>
  </w:abstractNum>
  <w:abstractNum w:abstractNumId="19">
    <w:nsid w:val="5D888A08"/>
    <w:multiLevelType w:val="hybridMultilevel"/>
    <w:lvl w:ilvl="0">
      <w:lvlJc w:val="left"/>
      <w:lvlText w:val="(%1)"/>
      <w:numFmt w:val="decimal"/>
      <w:start w:val="1"/>
    </w:lvl>
  </w:abstractNum>
  <w:abstractNum w:abstractNumId="20">
    <w:nsid w:val="2A082C70"/>
    <w:multiLevelType w:val="hybridMultilevel"/>
    <w:lvl w:ilvl="0">
      <w:lvlJc w:val="left"/>
      <w:lvlText w:val="%1."/>
      <w:numFmt w:val="decimal"/>
      <w:start w:val="1"/>
    </w:lvl>
  </w:abstractNum>
  <w:abstractNum w:abstractNumId="21">
    <w:nsid w:val="5EC6AFD4"/>
    <w:multiLevelType w:val="hybridMultilevel"/>
    <w:lvl w:ilvl="0">
      <w:lvlJc w:val="left"/>
      <w:lvlText w:val="%1."/>
      <w:numFmt w:val="decimal"/>
      <w:start w:val="1"/>
    </w:lvl>
  </w:abstractNum>
  <w:abstractNum w:abstractNumId="22">
    <w:nsid w:val="19E21BB2"/>
    <w:multiLevelType w:val="hybridMultilevel"/>
    <w:lvl w:ilvl="0">
      <w:lvlJc w:val="left"/>
      <w:lvlText w:val="(%1)"/>
      <w:numFmt w:val="lowerLetter"/>
      <w:start w:val="1"/>
    </w:lvl>
  </w:abstractNum>
  <w:abstractNum w:abstractNumId="23">
    <w:nsid w:val="75E0858A"/>
    <w:multiLevelType w:val="hybridMultilevel"/>
    <w:lvl w:ilvl="0">
      <w:lvlJc w:val="left"/>
      <w:lvlText w:val="%1."/>
      <w:numFmt w:val="decimal"/>
      <w:start w:val="2"/>
    </w:lvl>
  </w:abstractNum>
  <w:abstractNum w:abstractNumId="24">
    <w:nsid w:val="57A61A29"/>
    <w:multiLevelType w:val="hybridMultilevel"/>
    <w:lvl w:ilvl="0">
      <w:lvlJc w:val="left"/>
      <w:lvlText w:val="(%1)"/>
      <w:numFmt w:val="lowerLetter"/>
      <w:start w:val="1"/>
    </w:lvl>
    <w:lvl w:ilvl="1">
      <w:lvlJc w:val="left"/>
      <w:lvlText w:val="(%2)"/>
      <w:numFmt w:val="lowerRoman"/>
      <w:start w:val="1"/>
    </w:lvl>
  </w:abstractNum>
  <w:abstractNum w:abstractNumId="25">
    <w:nsid w:val="5399C654"/>
    <w:multiLevelType w:val="hybridMultilevel"/>
    <w:lvl w:ilvl="0">
      <w:lvlJc w:val="left"/>
      <w:lvlText w:val="(%1)"/>
      <w:numFmt w:val="lowerLetter"/>
      <w:start w:val="2"/>
    </w:lvl>
    <w:lvl w:ilvl="1">
      <w:lvlJc w:val="left"/>
      <w:lvlText w:val="(%2)"/>
      <w:numFmt w:val="lowerRoman"/>
      <w:start w:val="1"/>
    </w:lvl>
  </w:abstractNum>
  <w:abstractNum w:abstractNumId="26">
    <w:nsid w:val="20EE1348"/>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27">
    <w:nsid w:val="4427069A"/>
    <w:multiLevelType w:val="hybridMultilevel"/>
    <w:lvl w:ilvl="0">
      <w:lvlJc w:val="left"/>
      <w:lvlText w:val="(%1)"/>
      <w:numFmt w:val="lowerRoman"/>
      <w:start w:val="2"/>
    </w:lvl>
    <w:lvl w:ilvl="1">
      <w:lvlJc w:val="left"/>
      <w:lvlText w:val="(%2)"/>
      <w:numFmt w:val="decimal"/>
      <w:start w:val="1"/>
    </w:lvl>
  </w:abstractNum>
  <w:abstractNum w:abstractNumId="28">
    <w:nsid w:val="B37E80A"/>
    <w:multiLevelType w:val="hybridMultilevel"/>
    <w:lvl w:ilvl="0">
      <w:lvlJc w:val="left"/>
      <w:lvlText w:val="(%1)"/>
      <w:numFmt w:val="lowerLetter"/>
      <w:start w:val="5"/>
    </w:lvl>
  </w:abstractNum>
  <w:abstractNum w:abstractNumId="29">
    <w:nsid w:val="2157F6BC"/>
    <w:multiLevelType w:val="hybridMultilevel"/>
    <w:lvl w:ilvl="0">
      <w:lvlJc w:val="left"/>
      <w:lvlText w:val="%1."/>
      <w:numFmt w:val="decimal"/>
      <w:start w:val="3"/>
    </w:lvl>
  </w:abstractNum>
  <w:abstractNum w:abstractNumId="30">
    <w:nsid w:val="704E1DD5"/>
    <w:multiLevelType w:val="hybridMultilevel"/>
    <w:lvl w:ilvl="0">
      <w:lvlJc w:val="left"/>
      <w:lvlText w:val="(%1)"/>
      <w:numFmt w:val="lowerLetter"/>
      <w:start w:val="1"/>
    </w:lvl>
    <w:lvl w:ilvl="1">
      <w:lvlJc w:val="left"/>
      <w:lvlText w:val="(%2)"/>
      <w:numFmt w:val="lowerRoman"/>
      <w:start w:val="1"/>
    </w:lvl>
  </w:abstractNum>
  <w:abstractNum w:abstractNumId="31">
    <w:nsid w:val="57D2F10E"/>
    <w:multiLevelType w:val="hybridMultilevel"/>
    <w:lvl w:ilvl="0">
      <w:lvlJc w:val="left"/>
      <w:lvlText w:val="(%1)"/>
      <w:numFmt w:val="lowerLetter"/>
      <w:start w:val="2"/>
    </w:lvl>
  </w:abstractNum>
  <w:abstractNum w:abstractNumId="32">
    <w:nsid w:val="BFFAE18"/>
    <w:multiLevelType w:val="hybridMultilevel"/>
    <w:lvl w:ilvl="0">
      <w:lvlJc w:val="left"/>
      <w:lvlText w:val="%1."/>
      <w:numFmt w:val="decimal"/>
      <w:start w:val="4"/>
    </w:lvl>
  </w:abstractNum>
  <w:abstractNum w:abstractNumId="33">
    <w:nsid w:val="E3E47A8"/>
    <w:multiLevelType w:val="hybridMultilevel"/>
    <w:lvl w:ilvl="0">
      <w:lvlJc w:val="left"/>
      <w:lvlText w:val="(%1)"/>
      <w:numFmt w:val="lowerLetter"/>
      <w:start w:val="1"/>
    </w:lvl>
    <w:lvl w:ilvl="1">
      <w:lvlJc w:val="left"/>
      <w:lvlText w:val="(%2)"/>
      <w:numFmt w:val="lowerRoman"/>
      <w:start w:val="1"/>
    </w:lvl>
  </w:abstractNum>
  <w:abstractNum w:abstractNumId="34">
    <w:nsid w:val="2E48F044"/>
    <w:multiLevelType w:val="hybridMultilevel"/>
    <w:lvl w:ilvl="0">
      <w:lvlJc w:val="left"/>
      <w:lvlText w:val="(%1)"/>
      <w:numFmt w:val="lowerLetter"/>
      <w:start w:val="2"/>
    </w:lvl>
  </w:abstractNum>
  <w:abstractNum w:abstractNumId="35">
    <w:nsid w:val="49D0FEAC"/>
    <w:multiLevelType w:val="hybridMultilevel"/>
    <w:lvl w:ilvl="0">
      <w:lvlJc w:val="left"/>
      <w:lvlText w:val="%1."/>
      <w:numFmt w:val="decimal"/>
      <w:start w:val="5"/>
    </w:lvl>
  </w:abstractNum>
  <w:abstractNum w:abstractNumId="36">
    <w:nsid w:val="4BEE5A5B"/>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37">
    <w:nsid w:val="5551B9F3"/>
    <w:multiLevelType w:val="hybridMultilevel"/>
    <w:lvl w:ilvl="0">
      <w:lvlJc w:val="left"/>
      <w:lvlText w:val="%1"/>
      <w:numFmt w:val="lowerLetter"/>
      <w:start w:val="1"/>
    </w:lvl>
    <w:lvl w:ilvl="1">
      <w:lvlJc w:val="left"/>
      <w:lvlText w:val="(%2)"/>
      <w:numFmt w:val="lowerRoman"/>
      <w:start w:val="7"/>
    </w:lvl>
    <w:lvl w:ilvl="2">
      <w:lvlJc w:val="left"/>
      <w:lvlText w:val="(%3)"/>
      <w:numFmt w:val="decimal"/>
      <w:start w:val="1"/>
    </w:lvl>
  </w:abstractNum>
  <w:abstractNum w:abstractNumId="38">
    <w:nsid w:val="24F6AB8E"/>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39">
    <w:nsid w:val="634C574C"/>
    <w:multiLevelType w:val="hybridMultilevel"/>
    <w:lvl w:ilvl="0">
      <w:lvlJc w:val="left"/>
      <w:lvlText w:val="(%1)"/>
      <w:numFmt w:val="lowerRoman"/>
      <w:start w:val="1"/>
    </w:lvl>
    <w:lvl w:ilvl="1">
      <w:lvlJc w:val="left"/>
      <w:lvlText w:val="(%2)"/>
      <w:numFmt w:val="decimal"/>
      <w:start w:val="1"/>
    </w:lvl>
  </w:abstractNum>
  <w:abstractNum w:abstractNumId="40">
    <w:nsid w:val="24E99DD7"/>
    <w:multiLevelType w:val="hybridMultilevel"/>
    <w:lvl w:ilvl="0">
      <w:lvlJc w:val="left"/>
      <w:lvlText w:val="(%1)"/>
      <w:numFmt w:val="lowerLetter"/>
      <w:start w:val="3"/>
    </w:lvl>
  </w:abstractNum>
  <w:abstractNum w:abstractNumId="41">
    <w:nsid w:val="2A31B62D"/>
    <w:multiLevelType w:val="hybridMultilevel"/>
    <w:lvl w:ilvl="0">
      <w:lvlJc w:val="left"/>
      <w:lvlText w:val="%1."/>
      <w:numFmt w:val="decimal"/>
      <w:start w:val="6"/>
    </w:lvl>
  </w:abstractNum>
  <w:abstractNum w:abstractNumId="42">
    <w:nsid w:val="1849C29B"/>
    <w:multiLevelType w:val="hybridMultilevel"/>
    <w:lvl w:ilvl="0">
      <w:lvlJc w:val="left"/>
      <w:lvlText w:val="(%1)"/>
      <w:numFmt w:val="lowerLetter"/>
      <w:start w:val="1"/>
    </w:lvl>
    <w:lvl w:ilvl="1">
      <w:lvlJc w:val="left"/>
      <w:lvlText w:val="(%2)"/>
      <w:numFmt w:val="lowerRoman"/>
      <w:start w:val="1"/>
    </w:lvl>
  </w:abstractNum>
  <w:abstractNum w:abstractNumId="43">
    <w:nsid w:val="7DFF9D09"/>
    <w:multiLevelType w:val="hybridMultilevel"/>
    <w:lvl w:ilvl="0">
      <w:lvlJc w:val="left"/>
      <w:lvlText w:val="(%1)"/>
      <w:numFmt w:val="lowerRoman"/>
      <w:start w:val="3"/>
    </w:lvl>
    <w:lvl w:ilvl="1">
      <w:lvlJc w:val="left"/>
      <w:lvlText w:val="(%2)"/>
      <w:numFmt w:val="decimal"/>
      <w:start w:val="1"/>
    </w:lvl>
  </w:abstractNum>
  <w:abstractNum w:abstractNumId="44">
    <w:nsid w:val="754342"/>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45">
    <w:nsid w:val="69E7F3E5"/>
    <w:multiLevelType w:val="hybridMultilevel"/>
    <w:lvl w:ilvl="0">
      <w:lvlJc w:val="left"/>
      <w:lvlText w:val="%1"/>
      <w:numFmt w:val="lowerRoman"/>
      <w:start w:val="1"/>
    </w:lvl>
    <w:lvl w:ilvl="1">
      <w:lvlJc w:val="left"/>
      <w:lvlText w:val="(%2)"/>
      <w:numFmt w:val="decimal"/>
      <w:start w:val="4"/>
    </w:lvl>
    <w:lvl w:ilvl="2">
      <w:lvlJc w:val="left"/>
      <w:lvlText w:val="%3"/>
      <w:numFmt w:val="upperLetter"/>
      <w:start w:val="1"/>
    </w:lvl>
  </w:abstractNum>
  <w:abstractNum w:abstractNumId="46">
    <w:nsid w:val="2A6DE806"/>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47">
    <w:nsid w:val="1816F8C4"/>
    <w:multiLevelType w:val="hybridMultilevel"/>
    <w:lvl w:ilvl="0">
      <w:lvlJc w:val="left"/>
      <w:lvlText w:val="(%1)"/>
      <w:numFmt w:val="lowerRoman"/>
      <w:start w:val="3"/>
    </w:lvl>
  </w:abstractNum>
  <w:abstractNum w:abstractNumId="48">
    <w:nsid w:val="37DF2233"/>
    <w:multiLevelType w:val="hybridMultilevel"/>
    <w:lvl w:ilvl="0">
      <w:lvlJc w:val="left"/>
      <w:lvlText w:val="%1."/>
      <w:numFmt w:val="decimal"/>
      <w:start w:val="7"/>
    </w:lvl>
  </w:abstractNum>
  <w:abstractNum w:abstractNumId="49">
    <w:nsid w:val="7AB49DAF"/>
    <w:multiLevelType w:val="hybridMultilevel"/>
    <w:lvl w:ilvl="0">
      <w:lvlJc w:val="left"/>
      <w:lvlText w:val="(%1)"/>
      <w:numFmt w:val="lowerLetter"/>
      <w:start w:val="1"/>
    </w:lvl>
  </w:abstractNum>
  <w:abstractNum w:abstractNumId="50">
    <w:nsid w:val="759F82CD"/>
    <w:multiLevelType w:val="hybridMultilevel"/>
    <w:lvl w:ilvl="0">
      <w:lvlJc w:val="left"/>
      <w:lvlText w:val="%1."/>
      <w:numFmt w:val="decimal"/>
      <w:start w:val="8"/>
    </w:lvl>
  </w:abstractNum>
  <w:abstractNum w:abstractNumId="51">
    <w:nsid w:val="61E74EA3"/>
    <w:multiLevelType w:val="hybridMultilevel"/>
    <w:lvl w:ilvl="0">
      <w:lvlJc w:val="left"/>
      <w:lvlText w:val="(%1)"/>
      <w:numFmt w:val="lowerLetter"/>
      <w:start w:val="1"/>
    </w:lvl>
  </w:abstractNum>
  <w:abstractNum w:abstractNumId="52">
    <w:nsid w:val="597B4D84"/>
    <w:multiLevelType w:val="hybridMultilevel"/>
    <w:lvl w:ilvl="0">
      <w:lvlJc w:val="left"/>
      <w:lvlText w:val="%1."/>
      <w:numFmt w:val="decimal"/>
      <w:start w:val="9"/>
    </w:lvl>
  </w:abstractNum>
  <w:abstractNum w:abstractNumId="53">
    <w:nsid w:val="F819E7F"/>
    <w:multiLevelType w:val="hybridMultilevel"/>
    <w:lvl w:ilvl="0">
      <w:lvlJc w:val="left"/>
      <w:lvlText w:val="(%1)"/>
      <w:numFmt w:val="lowerLetter"/>
      <w:start w:val="1"/>
    </w:lvl>
    <w:lvl w:ilvl="1">
      <w:lvlJc w:val="left"/>
      <w:lvlText w:val="(%2)"/>
      <w:numFmt w:val="lowerRoman"/>
      <w:start w:val="1"/>
    </w:lvl>
  </w:abstractNum>
  <w:abstractNum w:abstractNumId="54">
    <w:nsid w:val="57C7D42D"/>
    <w:multiLevelType w:val="hybridMultilevel"/>
    <w:lvl w:ilvl="0">
      <w:lvlJc w:val="left"/>
      <w:lvlText w:val="%1."/>
      <w:numFmt w:val="decimal"/>
      <w:start w:val="10"/>
    </w:lvl>
  </w:abstractNum>
  <w:abstractNum w:abstractNumId="55">
    <w:nsid w:val="312167AD"/>
    <w:multiLevelType w:val="hybridMultilevel"/>
    <w:lvl w:ilvl="0">
      <w:lvlJc w:val="left"/>
      <w:lvlText w:val="(%1)"/>
      <w:numFmt w:val="lowerLetter"/>
      <w:start w:val="1"/>
    </w:lvl>
  </w:abstractNum>
  <w:abstractNum w:abstractNumId="56">
    <w:nsid w:val="631B64D4"/>
    <w:multiLevelType w:val="hybridMultilevel"/>
    <w:lvl w:ilvl="0">
      <w:lvlJc w:val="left"/>
      <w:lvlText w:val="%1."/>
      <w:numFmt w:val="decimal"/>
      <w:start w:val="11"/>
    </w:lvl>
  </w:abstractNum>
  <w:abstractNum w:abstractNumId="57">
    <w:nsid w:val="78B5E776"/>
    <w:multiLevelType w:val="hybridMultilevel"/>
    <w:lvl w:ilvl="0">
      <w:lvlJc w:val="left"/>
      <w:lvlText w:val="%1."/>
      <w:numFmt w:val="decimal"/>
      <w:start w:val="12"/>
    </w:lvl>
  </w:abstractNum>
  <w:abstractNum w:abstractNumId="58">
    <w:nsid w:val="75486E47"/>
    <w:multiLevelType w:val="hybridMultilevel"/>
    <w:lvl w:ilvl="0">
      <w:lvlJc w:val="left"/>
      <w:lvlText w:val="(%1)"/>
      <w:numFmt w:val="lowerLetter"/>
      <w:start w:val="1"/>
    </w:lvl>
    <w:lvl w:ilvl="1">
      <w:lvlJc w:val="left"/>
      <w:lvlText w:val="(%2)"/>
      <w:numFmt w:val="lowerRoman"/>
      <w:start w:val="1"/>
    </w:lvl>
  </w:abstractNum>
  <w:abstractNum w:abstractNumId="59">
    <w:nsid w:val="6E534CDE"/>
    <w:multiLevelType w:val="hybridMultilevel"/>
    <w:lvl w:ilvl="0">
      <w:lvlJc w:val="left"/>
      <w:lvlText w:val="(%1)"/>
      <w:numFmt w:val="lowerLetter"/>
      <w:start w:val="2"/>
    </w:lvl>
  </w:abstractNum>
  <w:abstractNum w:abstractNumId="60">
    <w:nsid w:val="1A0DDE32"/>
    <w:multiLevelType w:val="hybridMultilevel"/>
    <w:lvl w:ilvl="0">
      <w:lvlJc w:val="left"/>
      <w:lvlText w:val="%1."/>
      <w:numFmt w:val="decimal"/>
      <w:start w:val="13"/>
    </w:lvl>
  </w:abstractNum>
  <w:abstractNum w:abstractNumId="61">
    <w:nsid w:val="65968C1C"/>
    <w:multiLevelType w:val="hybridMultilevel"/>
    <w:lvl w:ilvl="0">
      <w:lvlJc w:val="left"/>
      <w:lvlText w:val="(%1)"/>
      <w:numFmt w:val="lowerLetter"/>
      <w:start w:val="1"/>
    </w:lvl>
    <w:lvl w:ilvl="1">
      <w:lvlJc w:val="left"/>
      <w:lvlText w:val="(%2)"/>
      <w:numFmt w:val="lowerRoman"/>
      <w:start w:val="1"/>
    </w:lvl>
  </w:abstractNum>
  <w:abstractNum w:abstractNumId="62">
    <w:nsid w:val="46263DEC"/>
    <w:multiLevelType w:val="hybridMultilevel"/>
    <w:lvl w:ilvl="0">
      <w:lvlJc w:val="left"/>
      <w:lvlText w:val="(%1)"/>
      <w:numFmt w:val="lowerLetter"/>
      <w:start w:val="3"/>
    </w:lvl>
  </w:abstractNum>
  <w:abstractNum w:abstractNumId="63">
    <w:nsid w:val="260D8C4A"/>
    <w:multiLevelType w:val="hybridMultilevel"/>
    <w:lvl w:ilvl="0">
      <w:lvlJc w:val="left"/>
      <w:lvlText w:val="(%1)"/>
      <w:numFmt w:val="lowerLetter"/>
      <w:start w:val="4"/>
    </w:lvl>
  </w:abstractNum>
  <w:abstractNum w:abstractNumId="64">
    <w:nsid w:val="73D4D3C4"/>
    <w:multiLevelType w:val="hybridMultilevel"/>
    <w:lvl w:ilvl="0">
      <w:lvlJc w:val="left"/>
      <w:lvlText w:val="%1."/>
      <w:numFmt w:val="decimal"/>
      <w:start w:val="14"/>
    </w:lvl>
  </w:abstractNum>
  <w:abstractNum w:abstractNumId="65">
    <w:nsid w:val="746F2E30"/>
    <w:multiLevelType w:val="hybridMultilevel"/>
    <w:lvl w:ilvl="0">
      <w:lvlJc w:val="left"/>
      <w:lvlText w:val="(%1)"/>
      <w:numFmt w:val="lowerLetter"/>
      <w:start w:val="1"/>
    </w:lvl>
  </w:abstractNum>
  <w:abstractNum w:abstractNumId="66">
    <w:nsid w:val="6FDE8AF6"/>
    <w:multiLevelType w:val="hybridMultilevel"/>
    <w:lvl w:ilvl="0">
      <w:lvlJc w:val="left"/>
      <w:lvlText w:val="(%1)"/>
      <w:numFmt w:val="lowerLetter"/>
      <w:start w:val="1"/>
    </w:lvl>
  </w:abstractNum>
  <w:abstractNum w:abstractNumId="67">
    <w:nsid w:val="3FC32E20"/>
    <w:multiLevelType w:val="hybridMultilevel"/>
    <w:lvl w:ilvl="0">
      <w:lvlJc w:val="left"/>
      <w:lvlText w:val="(%1)"/>
      <w:numFmt w:val="lowerLetter"/>
      <w:start w:val="2"/>
    </w:lvl>
  </w:abstractNum>
  <w:abstractNum w:abstractNumId="68">
    <w:nsid w:val="49C0E823"/>
    <w:multiLevelType w:val="hybridMultilevel"/>
    <w:lvl w:ilvl="0">
      <w:lvlJc w:val="left"/>
      <w:lvlText w:val="(%1)"/>
      <w:numFmt w:val="lowerLetter"/>
      <w:start w:val="1"/>
    </w:lvl>
  </w:abstractNum>
  <w:abstractNum w:abstractNumId="69">
    <w:nsid w:val="14D53685"/>
    <w:multiLevelType w:val="hybridMultilevel"/>
    <w:lvl w:ilvl="0">
      <w:lvlJc w:val="left"/>
      <w:lvlText w:val="(%1)"/>
      <w:numFmt w:val="lowerLetter"/>
      <w:start w:val="2"/>
    </w:lvl>
  </w:abstractNum>
  <w:abstractNum w:abstractNumId="70">
    <w:nsid w:val="230F856C"/>
    <w:multiLevelType w:val="hybridMultilevel"/>
    <w:lvl w:ilvl="0">
      <w:lvlJc w:val="left"/>
      <w:lvlText w:val="(%1)"/>
      <w:numFmt w:val="lowerLetter"/>
      <w:start w:val="4"/>
    </w:lvl>
    <w:lvl w:ilvl="1">
      <w:lvlJc w:val="left"/>
      <w:lvlText w:val="(%2)"/>
      <w:numFmt w:val="lowerLetter"/>
      <w:start w:val="35"/>
    </w:lvl>
  </w:abstractNum>
  <w:abstractNum w:abstractNumId="71">
    <w:nsid w:val="6EAA85FB"/>
    <w:multiLevelType w:val="hybridMultilevel"/>
    <w:lvl w:ilvl="0">
      <w:lvlJc w:val="left"/>
      <w:lvlText w:val="%1"/>
      <w:numFmt w:val="lowerLetter"/>
      <w:start w:val="1"/>
    </w:lvl>
    <w:lvl w:ilvl="1">
      <w:lvlJc w:val="left"/>
      <w:lvlText w:val="(%2)"/>
      <w:numFmt w:val="lowerLetter"/>
      <w:start w:val="35"/>
    </w:lvl>
  </w:abstractNum>
  <w:abstractNum w:abstractNumId="72">
    <w:nsid w:val="3F06ECB2"/>
    <w:multiLevelType w:val="hybridMultilevel"/>
    <w:lvl w:ilvl="0">
      <w:lvlJc w:val="left"/>
      <w:lvlText w:val="(%1)"/>
      <w:numFmt w:val="lowerLetter"/>
      <w:start w:val="8"/>
    </w:lvl>
    <w:lvl w:ilvl="1">
      <w:lvlJc w:val="left"/>
      <w:lvlText w:val="(%2)"/>
      <w:numFmt w:val="lowerLetter"/>
      <w:start w:val="9"/>
    </w:lvl>
  </w:abstractNum>
  <w:abstractNum w:abstractNumId="73">
    <w:nsid w:val="3B594807"/>
    <w:multiLevelType w:val="hybridMultilevel"/>
    <w:lvl w:ilvl="0">
      <w:lvlJc w:val="left"/>
      <w:lvlText w:val="(%1)"/>
      <w:numFmt w:val="lowerRoman"/>
      <w:start w:val="2"/>
    </w:lvl>
  </w:abstractNum>
  <w:abstractNum w:abstractNumId="74">
    <w:nsid w:val="6CAA2304"/>
    <w:multiLevelType w:val="hybridMultilevel"/>
    <w:lvl w:ilvl="0">
      <w:lvlJc w:val="left"/>
      <w:lvlText w:val="(%1)"/>
      <w:numFmt w:val="lowerRoman"/>
      <w:start w:val="1"/>
    </w:lvl>
  </w:abstractNum>
  <w:abstractNum w:abstractNumId="75">
    <w:nsid w:val="3F7C2FF4"/>
    <w:multiLevelType w:val="hybridMultilevel"/>
    <w:lvl w:ilvl="0">
      <w:lvlJc w:val="left"/>
      <w:lvlText w:val="(%1)"/>
      <w:numFmt w:val="lowerLetter"/>
      <w:start w:val="1"/>
    </w:lvl>
    <w:lvl w:ilvl="1">
      <w:lvlJc w:val="left"/>
      <w:lvlText w:val="(%2)"/>
      <w:numFmt w:val="lowerRoman"/>
      <w:start w:val="1"/>
    </w:lvl>
  </w:abstractNum>
  <w:abstractNum w:abstractNumId="76">
    <w:nsid w:val="25413BEC"/>
    <w:multiLevelType w:val="hybridMultilevel"/>
    <w:lvl w:ilvl="0">
      <w:lvlJc w:val="left"/>
      <w:lvlText w:val="(%1)"/>
      <w:numFmt w:val="lowerLetter"/>
      <w:start w:val="2"/>
    </w:lvl>
    <w:lvl w:ilvl="1">
      <w:lvlJc w:val="left"/>
      <w:lvlText w:val="(%2)"/>
      <w:numFmt w:val="lowerRoman"/>
      <w:start w:val="1"/>
    </w:lvl>
  </w:abstractNum>
  <w:abstractNum w:abstractNumId="77">
    <w:nsid w:val="17180B0B"/>
    <w:multiLevelType w:val="hybridMultilevel"/>
    <w:lvl w:ilvl="0">
      <w:lvlJc w:val="left"/>
      <w:lvlText w:val="(%1)"/>
      <w:numFmt w:val="lowerLetter"/>
      <w:start w:val="1"/>
    </w:lvl>
  </w:abstractNum>
  <w:abstractNum w:abstractNumId="78">
    <w:nsid w:val="579328B9"/>
    <w:multiLevelType w:val="hybridMultilevel"/>
    <w:lvl w:ilvl="0">
      <w:lvlJc w:val="left"/>
      <w:lvlText w:val="(%1)"/>
      <w:numFmt w:val="lowerLetter"/>
      <w:start w:val="2"/>
    </w:lvl>
  </w:abstractNum>
  <w:abstractNum w:abstractNumId="79">
    <w:nsid w:val="5D205E20"/>
    <w:multiLevelType w:val="hybridMultilevel"/>
    <w:lvl w:ilvl="0">
      <w:lvlJc w:val="left"/>
      <w:lvlText w:val="(%1)"/>
      <w:numFmt w:val="lowerRoman"/>
      <w:start w:val="10"/>
    </w:lvl>
  </w:abstractNum>
  <w:abstractNum w:abstractNumId="80">
    <w:nsid w:val="11CCA8BA"/>
    <w:multiLevelType w:val="hybridMultilevel"/>
    <w:lvl w:ilvl="0">
      <w:lvlJc w:val="left"/>
      <w:lvlText w:val="(%1)"/>
      <w:numFmt w:val="lowerLetter"/>
      <w:start w:val="1"/>
    </w:lvl>
  </w:abstractNum>
  <w:abstractNum w:abstractNumId="81">
    <w:nsid w:val="4D32AB86"/>
    <w:multiLevelType w:val="hybridMultilevel"/>
    <w:lvl w:ilvl="0">
      <w:lvlJc w:val="left"/>
      <w:lvlText w:val="(%1)"/>
      <w:numFmt w:val="decimal"/>
      <w:start w:val="2"/>
    </w:lvl>
  </w:abstractNum>
  <w:abstractNum w:abstractNumId="82">
    <w:nsid w:val="3F07ACC3"/>
    <w:multiLevelType w:val="hybridMultilevel"/>
    <w:lvl w:ilvl="0">
      <w:lvlJc w:val="left"/>
      <w:lvlText w:val="(%1)"/>
      <w:numFmt w:val="lowerRoman"/>
      <w:start w:val="2"/>
    </w:lvl>
  </w:abstractNum>
  <w:abstractNum w:abstractNumId="83">
    <w:nsid w:val="6B47F63E"/>
    <w:multiLevelType w:val="hybridMultilevel"/>
    <w:lvl w:ilvl="0">
      <w:lvlJc w:val="left"/>
      <w:lvlText w:val="(%1)"/>
      <w:numFmt w:val="lowerLetter"/>
      <w:start w:val="2"/>
    </w:lvl>
    <w:lvl w:ilvl="1">
      <w:lvlJc w:val="left"/>
      <w:lvlText w:val="(%2)"/>
      <w:numFmt w:val="lowerLetter"/>
      <w:start w:val="9"/>
    </w:lvl>
  </w:abstractNum>
  <w:abstractNum w:abstractNumId="84">
    <w:nsid w:val="5CB44A05"/>
    <w:multiLevelType w:val="hybridMultilevel"/>
    <w:lvl w:ilvl="0">
      <w:lvlJc w:val="left"/>
      <w:lvlText w:val="%1"/>
      <w:numFmt w:val="lowerLetter"/>
      <w:start w:val="1"/>
    </w:lvl>
    <w:lvl w:ilvl="1">
      <w:lvlJc w:val="left"/>
      <w:lvlText w:val="(%2)"/>
      <w:numFmt w:val="lowerLetter"/>
      <w:start w:val="35"/>
    </w:lvl>
  </w:abstractNum>
  <w:abstractNum w:abstractNumId="85">
    <w:nsid w:val="16CF80F1"/>
    <w:multiLevelType w:val="hybridMultilevel"/>
    <w:lvl w:ilvl="0">
      <w:lvlJc w:val="left"/>
      <w:lvlText w:val="(%1)"/>
      <w:numFmt w:val="lowerLetter"/>
      <w:start w:val="3"/>
    </w:lvl>
    <w:lvl w:ilvl="1">
      <w:lvlJc w:val="left"/>
      <w:lvlText w:val="%2"/>
      <w:numFmt w:val="lowerLetter"/>
      <w:start w:val="1"/>
    </w:lvl>
  </w:abstractNum>
  <w:abstractNum w:abstractNumId="86">
    <w:nsid w:val="1C695DEC"/>
    <w:multiLevelType w:val="hybridMultilevel"/>
    <w:lvl w:ilvl="0">
      <w:lvlJc w:val="left"/>
      <w:lvlText w:val="(%1)"/>
      <w:numFmt w:val="lowerLetter"/>
      <w:start w:val="4"/>
    </w:lvl>
    <w:lvl w:ilvl="1">
      <w:lvlJc w:val="left"/>
      <w:lvlText w:val="(%2)"/>
      <w:numFmt w:val="lowerLetter"/>
      <w:start w:val="2"/>
    </w:lvl>
    <w:lvl w:ilvl="2">
      <w:lvlJc w:val="left"/>
      <w:lvlText w:val="(%3)"/>
      <w:numFmt w:val="lowerRoman"/>
      <w:start w:val="1"/>
    </w:lvl>
  </w:abstractNum>
  <w:abstractNum w:abstractNumId="87">
    <w:nsid w:val="3FCFAED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88">
    <w:nsid w:val="F856867"/>
    <w:multiLevelType w:val="hybridMultilevel"/>
    <w:lvl w:ilvl="0">
      <w:lvlJc w:val="left"/>
      <w:lvlText w:val="%1"/>
      <w:numFmt w:val="lowerLetter"/>
      <w:start w:val="1"/>
    </w:lvl>
    <w:lvl w:ilvl="1">
      <w:lvlJc w:val="left"/>
      <w:lvlText w:val="(%2)"/>
      <w:numFmt w:val="lowerLetter"/>
      <w:start w:val="9"/>
    </w:lvl>
    <w:lvl w:ilvl="2">
      <w:lvlJc w:val="left"/>
      <w:lvlText w:val="%3"/>
      <w:numFmt w:val="decimal"/>
      <w:start w:val="1"/>
    </w:lvl>
  </w:abstractNum>
  <w:abstractNum w:abstractNumId="89">
    <w:nsid w:val="11B1CC33"/>
    <w:multiLevelType w:val="hybridMultilevel"/>
    <w:lvl w:ilvl="0">
      <w:lvlJc w:val="left"/>
      <w:lvlText w:val="(%1)"/>
      <w:numFmt w:val="lowerLetter"/>
      <w:start w:val="14"/>
    </w:lvl>
    <w:lvl w:ilvl="1">
      <w:lvlJc w:val="left"/>
      <w:lvlText w:val="%2"/>
      <w:numFmt w:val="lowerLetter"/>
      <w:start w:val="1"/>
    </w:lvl>
    <w:lvl w:ilvl="2">
      <w:lvlJc w:val="left"/>
      <w:lvlText w:val="%3"/>
      <w:numFmt w:val="decimal"/>
      <w:start w:val="1"/>
    </w:lvl>
  </w:abstractNum>
  <w:abstractNum w:abstractNumId="90">
    <w:nsid w:val="2E22FBB7"/>
    <w:multiLevelType w:val="hybridMultilevel"/>
    <w:lvl w:ilvl="0">
      <w:lvlJc w:val="left"/>
      <w:lvlText w:val="(%1)"/>
      <w:numFmt w:val="lowerLetter"/>
      <w:start w:val="1"/>
    </w:lvl>
  </w:abstractNum>
  <w:abstractNum w:abstractNumId="91">
    <w:nsid w:val="29934699"/>
    <w:multiLevelType w:val="hybridMultilevel"/>
    <w:lvl w:ilvl="0">
      <w:lvlJc w:val="left"/>
      <w:lvlText w:val="(%1)"/>
      <w:numFmt w:val="lowerLetter"/>
      <w:start w:val="10"/>
    </w:lvl>
  </w:abstractNum>
  <w:abstractNum w:abstractNumId="92">
    <w:nsid w:val="77485850"/>
    <w:multiLevelType w:val="hybridMultilevel"/>
    <w:lvl w:ilvl="0">
      <w:lvlJc w:val="left"/>
      <w:lvlText w:val="(%1)"/>
      <w:numFmt w:val="lowerLetter"/>
      <w:start w:val="2"/>
    </w:lvl>
  </w:abstractNum>
  <w:abstractNum w:abstractNumId="93">
    <w:nsid w:val="744939A3"/>
    <w:multiLevelType w:val="hybridMultilevel"/>
    <w:lvl w:ilvl="0">
      <w:lvlJc w:val="left"/>
      <w:lvlText w:val="%1"/>
      <w:numFmt w:val="lowerLetter"/>
      <w:start w:val="1"/>
    </w:lvl>
    <w:lvl w:ilvl="1">
      <w:lvlJc w:val="left"/>
      <w:lvlText w:val="(%2)"/>
      <w:numFmt w:val="lowerRoman"/>
      <w:start w:val="2"/>
    </w:lvl>
  </w:abstractNum>
  <w:abstractNum w:abstractNumId="94">
    <w:nsid w:val="4FA0D2E3"/>
    <w:multiLevelType w:val="hybridMultilevel"/>
    <w:lvl w:ilvl="0">
      <w:lvlJc w:val="left"/>
      <w:lvlText w:val="(%1)"/>
      <w:numFmt w:val="lowerLetter"/>
      <w:start w:val="3"/>
    </w:lvl>
    <w:lvl w:ilvl="1">
      <w:lvlJc w:val="left"/>
      <w:lvlText w:val="%2"/>
      <w:numFmt w:val="lowerRoman"/>
      <w:start w:val="1"/>
    </w:lvl>
  </w:abstractNum>
  <w:abstractNum w:abstractNumId="95">
    <w:nsid w:val="6B1D2C14"/>
    <w:multiLevelType w:val="hybridMultilevel"/>
    <w:lvl w:ilvl="0">
      <w:lvlJc w:val="left"/>
      <w:lvlText w:val="(%1)"/>
      <w:numFmt w:val="lowerLetter"/>
      <w:start w:val="3"/>
    </w:lvl>
  </w:abstractNum>
  <w:abstractNum w:abstractNumId="96">
    <w:nsid w:val="68B867D3"/>
    <w:multiLevelType w:val="hybridMultilevel"/>
    <w:lvl w:ilvl="0">
      <w:lvlJc w:val="left"/>
      <w:lvlText w:val="(%1)"/>
      <w:numFmt w:val="lowerLetter"/>
      <w:start w:val="1"/>
    </w:lvl>
  </w:abstractNum>
  <w:abstractNum w:abstractNumId="97">
    <w:nsid w:val="3F7F5DD9"/>
    <w:multiLevelType w:val="hybridMultilevel"/>
    <w:lvl w:ilvl="0">
      <w:lvlJc w:val="left"/>
      <w:lvlText w:val="(%1)"/>
      <w:numFmt w:val="lowerLetter"/>
      <w:start w:val="2"/>
    </w:lvl>
  </w:abstractNum>
  <w:abstractNum w:abstractNumId="98">
    <w:nsid w:val="2AE05A34"/>
    <w:multiLevelType w:val="hybridMultilevel"/>
    <w:lvl w:ilvl="0">
      <w:lvlJc w:val="left"/>
      <w:lvlText w:val="%1."/>
      <w:numFmt w:val="decimal"/>
      <w:start w:val="1"/>
    </w:lvl>
  </w:abstractNum>
  <w:abstractNum w:abstractNumId="99">
    <w:nsid w:val="32794FF7"/>
    <w:multiLevelType w:val="hybridMultilevel"/>
    <w:lvl w:ilvl="0">
      <w:lvlJc w:val="left"/>
      <w:lvlText w:val="(%1)"/>
      <w:numFmt w:val="lowerLetter"/>
      <w:start w:val="1"/>
    </w:lvl>
  </w:abstractNum>
  <w:abstractNum w:abstractNumId="100">
    <w:nsid w:val="5454945E"/>
    <w:multiLevelType w:val="hybridMultilevel"/>
    <w:lvl w:ilvl="0">
      <w:lvlJc w:val="left"/>
      <w:lvlText w:val="%1."/>
      <w:numFmt w:val="decimal"/>
      <w:start w:val="2"/>
    </w:lvl>
  </w:abstractNum>
  <w:abstractNum w:abstractNumId="101">
    <w:nsid w:val="4DEFDFA0"/>
    <w:multiLevelType w:val="hybridMultilevel"/>
    <w:lvl w:ilvl="0">
      <w:lvlJc w:val="left"/>
      <w:lvlText w:val="(%1)"/>
      <w:numFmt w:val="lowerLetter"/>
      <w:start w:val="1"/>
    </w:lvl>
    <w:lvl w:ilvl="1">
      <w:lvlJc w:val="left"/>
      <w:lvlText w:val="(%2)"/>
      <w:numFmt w:val="lowerRoman"/>
      <w:start w:val="1"/>
    </w:lvl>
  </w:abstractNum>
  <w:abstractNum w:abstractNumId="102">
    <w:nsid w:val="2123D5F2"/>
    <w:multiLevelType w:val="hybridMultilevel"/>
    <w:lvl w:ilvl="0">
      <w:lvlJc w:val="left"/>
      <w:lvlText w:val="(%1)"/>
      <w:numFmt w:val="lowerLetter"/>
      <w:start w:val="2"/>
    </w:lvl>
    <w:lvl w:ilvl="1">
      <w:lvlJc w:val="left"/>
      <w:lvlText w:val="(%2)"/>
      <w:numFmt w:val="lowerRoman"/>
      <w:start w:val="1"/>
    </w:lvl>
  </w:abstractNum>
  <w:abstractNum w:abstractNumId="103">
    <w:nsid w:val="135B8110"/>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04">
    <w:nsid w:val="94927A8"/>
    <w:multiLevelType w:val="hybridMultilevel"/>
    <w:lvl w:ilvl="0">
      <w:lvlJc w:val="left"/>
      <w:lvlText w:val="(%1)"/>
      <w:numFmt w:val="lowerRoman"/>
      <w:start w:val="2"/>
    </w:lvl>
    <w:lvl w:ilvl="1">
      <w:lvlJc w:val="left"/>
      <w:lvlText w:val="(%2)"/>
      <w:numFmt w:val="decimal"/>
      <w:start w:val="1"/>
    </w:lvl>
  </w:abstractNum>
  <w:abstractNum w:abstractNumId="105">
    <w:nsid w:val="DCDF8F6"/>
    <w:multiLevelType w:val="hybridMultilevel"/>
    <w:lvl w:ilvl="0">
      <w:lvlJc w:val="left"/>
      <w:lvlText w:val="(%1)"/>
      <w:numFmt w:val="lowerLetter"/>
      <w:start w:val="5"/>
    </w:lvl>
  </w:abstractNum>
  <w:abstractNum w:abstractNumId="106">
    <w:nsid w:val="52D7B105"/>
    <w:multiLevelType w:val="hybridMultilevel"/>
    <w:lvl w:ilvl="0">
      <w:lvlJc w:val="left"/>
      <w:lvlText w:val="%1."/>
      <w:numFmt w:val="decimal"/>
      <w:start w:val="3"/>
    </w:lvl>
  </w:abstractNum>
  <w:abstractNum w:abstractNumId="107">
    <w:nsid w:val="2E8A6394"/>
    <w:multiLevelType w:val="hybridMultilevel"/>
    <w:lvl w:ilvl="0">
      <w:lvlJc w:val="left"/>
      <w:lvlText w:val="(%1)"/>
      <w:numFmt w:val="lowerLetter"/>
      <w:start w:val="1"/>
    </w:lvl>
    <w:lvl w:ilvl="1">
      <w:lvlJc w:val="left"/>
      <w:lvlText w:val="(%2)"/>
      <w:numFmt w:val="lowerRoman"/>
      <w:start w:val="1"/>
    </w:lvl>
  </w:abstractNum>
  <w:abstractNum w:abstractNumId="108">
    <w:nsid w:val="24E60401"/>
    <w:multiLevelType w:val="hybridMultilevel"/>
    <w:lvl w:ilvl="0">
      <w:lvlJc w:val="left"/>
      <w:lvlText w:val="(%1)"/>
      <w:numFmt w:val="lowerLetter"/>
      <w:start w:val="2"/>
    </w:lvl>
  </w:abstractNum>
  <w:abstractNum w:abstractNumId="109">
    <w:nsid w:val="2A6AD9BE"/>
    <w:multiLevelType w:val="hybridMultilevel"/>
    <w:lvl w:ilvl="0">
      <w:lvlJc w:val="left"/>
      <w:lvlText w:val="%1."/>
      <w:numFmt w:val="decimal"/>
      <w:start w:val="4"/>
    </w:lvl>
  </w:abstractNum>
  <w:abstractNum w:abstractNumId="110">
    <w:nsid w:val="BAAC1B4"/>
    <w:multiLevelType w:val="hybridMultilevel"/>
    <w:lvl w:ilvl="0">
      <w:lvlJc w:val="left"/>
      <w:lvlText w:val="(%1)"/>
      <w:numFmt w:val="lowerLetter"/>
      <w:start w:val="1"/>
    </w:lvl>
    <w:lvl w:ilvl="1">
      <w:lvlJc w:val="left"/>
      <w:lvlText w:val="(%2)"/>
      <w:numFmt w:val="lowerRoman"/>
      <w:start w:val="1"/>
    </w:lvl>
  </w:abstractNum>
  <w:abstractNum w:abstractNumId="111">
    <w:nsid w:val="36B2ACBC"/>
    <w:multiLevelType w:val="hybridMultilevel"/>
    <w:lvl w:ilvl="0">
      <w:lvlJc w:val="left"/>
      <w:lvlText w:val="(%1)"/>
      <w:numFmt w:val="lowerLetter"/>
      <w:start w:val="2"/>
    </w:lvl>
  </w:abstractNum>
  <w:abstractNum w:abstractNumId="112">
    <w:nsid w:val="779D8544"/>
    <w:multiLevelType w:val="hybridMultilevel"/>
    <w:lvl w:ilvl="0">
      <w:lvlJc w:val="left"/>
      <w:lvlText w:val="%1."/>
      <w:numFmt w:val="decimal"/>
      <w:start w:val="5"/>
    </w:lvl>
  </w:abstractNum>
  <w:abstractNum w:abstractNumId="113">
    <w:nsid w:val="4AB26E78"/>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14">
    <w:nsid w:val="21FAA2FA"/>
    <w:multiLevelType w:val="hybridMultilevel"/>
    <w:lvl w:ilvl="0">
      <w:lvlJc w:val="left"/>
      <w:lvlText w:val="%1"/>
      <w:numFmt w:val="lowerLetter"/>
      <w:start w:val="1"/>
    </w:lvl>
    <w:lvl w:ilvl="1">
      <w:lvlJc w:val="left"/>
      <w:lvlText w:val="(%2)"/>
      <w:numFmt w:val="lowerRoman"/>
      <w:start w:val="7"/>
    </w:lvl>
    <w:lvl w:ilvl="2">
      <w:lvlJc w:val="left"/>
      <w:lvlText w:val="(%3)"/>
      <w:numFmt w:val="decimal"/>
      <w:start w:val="1"/>
    </w:lvl>
  </w:abstractNum>
  <w:abstractNum w:abstractNumId="115">
    <w:nsid w:val="5451CF49"/>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116">
    <w:nsid w:val="6181EF69"/>
    <w:multiLevelType w:val="hybridMultilevel"/>
    <w:lvl w:ilvl="0">
      <w:lvlJc w:val="left"/>
      <w:lvlText w:val="(%1)"/>
      <w:numFmt w:val="lowerRoman"/>
      <w:start w:val="1"/>
    </w:lvl>
    <w:lvl w:ilvl="1">
      <w:lvlJc w:val="left"/>
      <w:lvlText w:val="(%2)"/>
      <w:numFmt w:val="decimal"/>
      <w:start w:val="1"/>
    </w:lvl>
  </w:abstractNum>
  <w:abstractNum w:abstractNumId="117">
    <w:nsid w:val="3E6400E6"/>
    <w:multiLevelType w:val="hybridMultilevel"/>
    <w:lvl w:ilvl="0">
      <w:lvlJc w:val="left"/>
      <w:lvlText w:val="(%1)"/>
      <w:numFmt w:val="lowerLetter"/>
      <w:start w:val="3"/>
    </w:lvl>
  </w:abstractNum>
  <w:abstractNum w:abstractNumId="118">
    <w:nsid w:val="14217E23"/>
    <w:multiLevelType w:val="hybridMultilevel"/>
    <w:lvl w:ilvl="0">
      <w:lvlJc w:val="left"/>
      <w:lvlText w:val="%1."/>
      <w:numFmt w:val="decimal"/>
      <w:start w:val="6"/>
    </w:lvl>
  </w:abstractNum>
  <w:abstractNum w:abstractNumId="119">
    <w:nsid w:val="710757D0"/>
    <w:multiLevelType w:val="hybridMultilevel"/>
    <w:lvl w:ilvl="0">
      <w:lvlJc w:val="left"/>
      <w:lvlText w:val="(%1)"/>
      <w:numFmt w:val="lowerLetter"/>
      <w:start w:val="1"/>
    </w:lvl>
    <w:lvl w:ilvl="1">
      <w:lvlJc w:val="left"/>
      <w:lvlText w:val="(%2)"/>
      <w:numFmt w:val="lowerRoman"/>
      <w:start w:val="1"/>
    </w:lvl>
  </w:abstractNum>
  <w:abstractNum w:abstractNumId="120">
    <w:nsid w:val="5015CD1A"/>
    <w:multiLevelType w:val="hybridMultilevel"/>
    <w:lvl w:ilvl="0">
      <w:lvlJc w:val="left"/>
      <w:lvlText w:val="(%1)"/>
      <w:numFmt w:val="lowerRoman"/>
      <w:start w:val="3"/>
    </w:lvl>
    <w:lvl w:ilvl="1">
      <w:lvlJc w:val="left"/>
      <w:lvlText w:val="(%2)"/>
      <w:numFmt w:val="decimal"/>
      <w:start w:val="1"/>
    </w:lvl>
  </w:abstractNum>
  <w:abstractNum w:abstractNumId="121">
    <w:nsid w:val="424479DA"/>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22">
    <w:nsid w:val="1A9A9E69"/>
    <w:multiLevelType w:val="hybridMultilevel"/>
    <w:lvl w:ilvl="0">
      <w:lvlJc w:val="left"/>
      <w:lvlText w:val="%1"/>
      <w:numFmt w:val="lowerRoman"/>
      <w:start w:val="1"/>
    </w:lvl>
    <w:lvl w:ilvl="1">
      <w:lvlJc w:val="left"/>
      <w:lvlText w:val="(%2)"/>
      <w:numFmt w:val="decimal"/>
      <w:start w:val="4"/>
    </w:lvl>
    <w:lvl w:ilvl="2">
      <w:lvlJc w:val="left"/>
      <w:lvlText w:val="%3"/>
      <w:numFmt w:val="upperLetter"/>
      <w:start w:val="1"/>
    </w:lvl>
  </w:abstractNum>
  <w:abstractNum w:abstractNumId="123">
    <w:nsid w:val="475E256A"/>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124">
    <w:nsid w:val="368DB37E"/>
    <w:multiLevelType w:val="hybridMultilevel"/>
    <w:lvl w:ilvl="0">
      <w:lvlJc w:val="left"/>
      <w:lvlText w:val="(%1)"/>
      <w:numFmt w:val="lowerRoman"/>
      <w:start w:val="3"/>
    </w:lvl>
  </w:abstractNum>
  <w:abstractNum w:abstractNumId="125">
    <w:nsid w:val="6A3B714C"/>
    <w:multiLevelType w:val="hybridMultilevel"/>
    <w:lvl w:ilvl="0">
      <w:lvlJc w:val="left"/>
      <w:lvlText w:val="%1."/>
      <w:numFmt w:val="decimal"/>
      <w:start w:val="7"/>
    </w:lvl>
  </w:abstractNum>
  <w:abstractNum w:abstractNumId="126">
    <w:nsid w:val="327B517E"/>
    <w:multiLevelType w:val="hybridMultilevel"/>
    <w:lvl w:ilvl="0">
      <w:lvlJc w:val="left"/>
      <w:lvlText w:val="(%1)"/>
      <w:numFmt w:val="lowerLetter"/>
      <w:start w:val="1"/>
    </w:lvl>
  </w:abstractNum>
  <w:abstractNum w:abstractNumId="127">
    <w:nsid w:val="1F461B51"/>
    <w:multiLevelType w:val="hybridMultilevel"/>
    <w:lvl w:ilvl="0">
      <w:lvlJc w:val="left"/>
      <w:lvlText w:val="%1."/>
      <w:numFmt w:val="decimal"/>
      <w:start w:val="8"/>
    </w:lvl>
  </w:abstractNum>
  <w:abstractNum w:abstractNumId="128">
    <w:nsid w:val="29BACF25"/>
    <w:multiLevelType w:val="hybridMultilevel"/>
    <w:lvl w:ilvl="0">
      <w:lvlJc w:val="left"/>
      <w:lvlText w:val="(%1)"/>
      <w:numFmt w:val="lowerLetter"/>
      <w:start w:val="1"/>
    </w:lvl>
  </w:abstractNum>
  <w:abstractNum w:abstractNumId="129">
    <w:nsid w:val="5D5BABB3"/>
    <w:multiLevelType w:val="hybridMultilevel"/>
    <w:lvl w:ilvl="0">
      <w:lvlJc w:val="left"/>
      <w:lvlText w:val="%1."/>
      <w:numFmt w:val="decimal"/>
      <w:start w:val="9"/>
    </w:lvl>
  </w:abstractNum>
  <w:abstractNum w:abstractNumId="130">
    <w:nsid w:val="51BF6B48"/>
    <w:multiLevelType w:val="hybridMultilevel"/>
    <w:lvl w:ilvl="0">
      <w:lvlJc w:val="left"/>
      <w:lvlText w:val="(%1)"/>
      <w:numFmt w:val="lowerLetter"/>
      <w:start w:val="1"/>
    </w:lvl>
    <w:lvl w:ilvl="1">
      <w:lvlJc w:val="left"/>
      <w:lvlText w:val="(%2)"/>
      <w:numFmt w:val="lowerRoman"/>
      <w:start w:val="1"/>
    </w:lvl>
  </w:abstractNum>
  <w:abstractNum w:abstractNumId="131">
    <w:nsid w:val="7E0F6384"/>
    <w:multiLevelType w:val="hybridMultilevel"/>
    <w:lvl w:ilvl="0">
      <w:lvlJc w:val="left"/>
      <w:lvlText w:val="%1."/>
      <w:numFmt w:val="decimal"/>
      <w:start w:val="10"/>
    </w:lvl>
  </w:abstractNum>
  <w:abstractNum w:abstractNumId="132">
    <w:nsid w:val="2B4B8B53"/>
    <w:multiLevelType w:val="hybridMultilevel"/>
    <w:lvl w:ilvl="0">
      <w:lvlJc w:val="left"/>
      <w:lvlText w:val="(%1)"/>
      <w:numFmt w:val="lowerLetter"/>
      <w:start w:val="1"/>
    </w:lvl>
  </w:abstractNum>
  <w:abstractNum w:abstractNumId="133">
    <w:nsid w:val="72E3413A"/>
    <w:multiLevelType w:val="hybridMultilevel"/>
    <w:lvl w:ilvl="0">
      <w:lvlJc w:val="left"/>
      <w:lvlText w:val="%1."/>
      <w:numFmt w:val="decimal"/>
      <w:start w:val="11"/>
    </w:lvl>
  </w:abstractNum>
  <w:abstractNum w:abstractNumId="134">
    <w:nsid w:val="116AE494"/>
    <w:multiLevelType w:val="hybridMultilevel"/>
    <w:lvl w:ilvl="0">
      <w:lvlJc w:val="left"/>
      <w:lvlText w:val="%1."/>
      <w:numFmt w:val="decimal"/>
      <w:start w:val="12"/>
    </w:lvl>
  </w:abstractNum>
  <w:abstractNum w:abstractNumId="135">
    <w:nsid w:val="3494B2FB"/>
    <w:multiLevelType w:val="hybridMultilevel"/>
    <w:lvl w:ilvl="0">
      <w:lvlJc w:val="left"/>
      <w:lvlText w:val="(%1)"/>
      <w:numFmt w:val="lowerLetter"/>
      <w:start w:val="1"/>
    </w:lvl>
    <w:lvl w:ilvl="1">
      <w:lvlJc w:val="left"/>
      <w:lvlText w:val="(%2)"/>
      <w:numFmt w:val="lowerRoman"/>
      <w:start w:val="1"/>
    </w:lvl>
  </w:abstractNum>
  <w:abstractNum w:abstractNumId="136">
    <w:nsid w:val="B13A31"/>
    <w:multiLevelType w:val="hybridMultilevel"/>
    <w:lvl w:ilvl="0">
      <w:lvlJc w:val="left"/>
      <w:lvlText w:val="(%1)"/>
      <w:numFmt w:val="lowerLetter"/>
      <w:start w:val="2"/>
    </w:lvl>
  </w:abstractNum>
  <w:abstractNum w:abstractNumId="137">
    <w:nsid w:val="64429599"/>
    <w:multiLevelType w:val="hybridMultilevel"/>
    <w:lvl w:ilvl="0">
      <w:lvlJc w:val="left"/>
      <w:lvlText w:val="%1."/>
      <w:numFmt w:val="decimal"/>
      <w:start w:val="13"/>
    </w:lvl>
  </w:abstractNum>
  <w:abstractNum w:abstractNumId="138">
    <w:nsid w:val="631F1690"/>
    <w:multiLevelType w:val="hybridMultilevel"/>
    <w:lvl w:ilvl="0">
      <w:lvlJc w:val="left"/>
      <w:lvlText w:val="(%1)"/>
      <w:numFmt w:val="lowerLetter"/>
      <w:start w:val="1"/>
    </w:lvl>
    <w:lvl w:ilvl="1">
      <w:lvlJc w:val="left"/>
      <w:lvlText w:val="(%2)"/>
      <w:numFmt w:val="lowerRoman"/>
      <w:start w:val="1"/>
    </w:lvl>
  </w:abstractNum>
  <w:abstractNum w:abstractNumId="139">
    <w:nsid w:val="25973E32"/>
    <w:multiLevelType w:val="hybridMultilevel"/>
    <w:lvl w:ilvl="0">
      <w:lvlJc w:val="left"/>
      <w:lvlText w:val="(%1)"/>
      <w:numFmt w:val="lowerLetter"/>
      <w:start w:val="3"/>
    </w:lvl>
  </w:abstractNum>
  <w:abstractNum w:abstractNumId="140">
    <w:nsid w:val="EAD6F57"/>
    <w:multiLevelType w:val="hybridMultilevel"/>
    <w:lvl w:ilvl="0">
      <w:lvlJc w:val="left"/>
      <w:lvlText w:val="(%1)"/>
      <w:numFmt w:val="lowerLetter"/>
      <w:start w:val="4"/>
    </w:lvl>
  </w:abstractNum>
  <w:abstractNum w:abstractNumId="141">
    <w:nsid w:val="6EC9D844"/>
    <w:multiLevelType w:val="hybridMultilevel"/>
    <w:lvl w:ilvl="0">
      <w:lvlJc w:val="left"/>
      <w:lvlText w:val="%1."/>
      <w:numFmt w:val="decimal"/>
      <w:start w:val="14"/>
    </w:lvl>
  </w:abstractNum>
  <w:abstractNum w:abstractNumId="142">
    <w:nsid w:val="5C49EAEE"/>
    <w:multiLevelType w:val="hybridMultilevel"/>
    <w:lvl w:ilvl="0">
      <w:lvlJc w:val="left"/>
      <w:lvlText w:val="(%1)"/>
      <w:numFmt w:val="lowerLetter"/>
      <w:start w:val="1"/>
    </w:lvl>
  </w:abstractNum>
  <w:abstractNum w:abstractNumId="143">
    <w:nsid w:val="64AF49B"/>
    <w:multiLevelType w:val="hybridMultilevel"/>
    <w:lvl w:ilvl="0">
      <w:lvlJc w:val="left"/>
      <w:lvlText w:val="(%1)"/>
      <w:numFmt w:val="lowerLetter"/>
      <w:start w:val="1"/>
    </w:lvl>
  </w:abstractNum>
  <w:abstractNum w:abstractNumId="144">
    <w:nsid w:val="397C46BC"/>
    <w:multiLevelType w:val="hybridMultilevel"/>
    <w:lvl w:ilvl="0">
      <w:lvlJc w:val="left"/>
      <w:lvlText w:val="(%1)"/>
      <w:numFmt w:val="lowerLetter"/>
      <w:start w:val="3"/>
    </w:lvl>
    <w:lvl w:ilvl="1">
      <w:lvlJc w:val="left"/>
      <w:lvlText w:val="(%2)"/>
      <w:numFmt w:val="lowerLetter"/>
      <w:start w:val="35"/>
    </w:lvl>
  </w:abstractNum>
  <w:abstractNum w:abstractNumId="145">
    <w:nsid w:val="7E448DE9"/>
    <w:multiLevelType w:val="hybridMultilevel"/>
    <w:lvl w:ilvl="0">
      <w:lvlJc w:val="left"/>
      <w:lvlText w:val="%1"/>
      <w:numFmt w:val="lowerLetter"/>
      <w:start w:val="1"/>
    </w:lvl>
    <w:lvl w:ilvl="1">
      <w:lvlJc w:val="left"/>
      <w:lvlText w:val="(%2)"/>
      <w:numFmt w:val="lowerLetter"/>
      <w:start w:val="35"/>
    </w:lvl>
  </w:abstractNum>
  <w:abstractNum w:abstractNumId="146">
    <w:nsid w:val="5A9CC3E5"/>
    <w:multiLevelType w:val="hybridMultilevel"/>
    <w:lvl w:ilvl="0">
      <w:lvlJc w:val="left"/>
      <w:lvlText w:val="(%1)"/>
      <w:numFmt w:val="lowerLetter"/>
      <w:start w:val="8"/>
    </w:lvl>
    <w:lvl w:ilvl="1">
      <w:lvlJc w:val="left"/>
      <w:lvlText w:val="(%2)"/>
      <w:numFmt w:val="lowerLetter"/>
      <w:start w:val="9"/>
    </w:lvl>
  </w:abstractNum>
  <w:abstractNum w:abstractNumId="147">
    <w:nsid w:val="1AFE3625"/>
    <w:multiLevelType w:val="hybridMultilevel"/>
    <w:lvl w:ilvl="0">
      <w:lvlJc w:val="left"/>
      <w:lvlText w:val="(%1)"/>
      <w:numFmt w:val="lowerRoman"/>
      <w:start w:val="2"/>
    </w:lvl>
  </w:abstractNum>
  <w:abstractNum w:abstractNumId="148">
    <w:nsid w:val="3CA88ECF"/>
    <w:multiLevelType w:val="hybridMultilevel"/>
    <w:lvl w:ilvl="0">
      <w:lvlJc w:val="left"/>
      <w:lvlText w:val="(%1)"/>
      <w:numFmt w:val="lowerRoman"/>
      <w:start w:val="1"/>
    </w:lvl>
  </w:abstractNum>
  <w:abstractNum w:abstractNumId="149">
    <w:nsid w:val="6EBE4208"/>
    <w:multiLevelType w:val="hybridMultilevel"/>
    <w:lvl w:ilvl="0">
      <w:lvlJc w:val="left"/>
      <w:lvlText w:val="(%1)"/>
      <w:numFmt w:val="upperLetter"/>
      <w:start w:val="1"/>
    </w:lvl>
  </w:abstractNum>
  <w:abstractNum w:abstractNumId="150">
    <w:nsid w:val="C058DF5"/>
    <w:multiLevelType w:val="hybridMultilevel"/>
    <w:lvl w:ilvl="0">
      <w:lvlJc w:val="left"/>
      <w:lvlText w:val="(%1)"/>
      <w:numFmt w:val="lowerRoman"/>
      <w:start w:val="1"/>
    </w:lvl>
  </w:abstractNum>
  <w:abstractNum w:abstractNumId="151">
    <w:nsid w:val="CBE5BE9"/>
    <w:multiLevelType w:val="hybridMultilevel"/>
    <w:lvl w:ilvl="0">
      <w:lvlJc w:val="left"/>
      <w:lvlText w:val="(%1)"/>
      <w:numFmt w:val="lowerRoman"/>
      <w:start w:val="4"/>
    </w:lvl>
  </w:abstractNum>
  <w:abstractNum w:abstractNumId="152">
    <w:nsid w:val="3102BBE2"/>
    <w:multiLevelType w:val="hybridMultilevel"/>
    <w:lvl w:ilvl="0">
      <w:lvlJc w:val="left"/>
      <w:lvlText w:val="(%1)"/>
      <w:numFmt w:val="lowerLetter"/>
      <w:start w:val="1"/>
    </w:lvl>
  </w:abstractNum>
  <w:abstractNum w:abstractNumId="153">
    <w:nsid w:val="26A02C5E"/>
    <w:multiLevelType w:val="hybridMultilevel"/>
    <w:lvl w:ilvl="0">
      <w:lvlJc w:val="left"/>
      <w:lvlText w:val="(%1)"/>
      <w:numFmt w:val="lowerLetter"/>
      <w:start w:val="1"/>
    </w:lvl>
    <w:lvl w:ilvl="1">
      <w:lvlJc w:val="left"/>
      <w:lvlText w:val="(%2)"/>
      <w:numFmt w:val="lowerLetter"/>
      <w:start w:val="9"/>
    </w:lvl>
  </w:abstractNum>
  <w:abstractNum w:abstractNumId="154">
    <w:nsid w:val="541C8153"/>
    <w:multiLevelType w:val="hybridMultilevel"/>
    <w:lvl w:ilvl="0">
      <w:lvlJc w:val="left"/>
      <w:lvlText w:val="(%1)"/>
      <w:numFmt w:val="lowerRoman"/>
      <w:start w:val="2"/>
    </w:lvl>
  </w:abstractNum>
  <w:abstractNum w:abstractNumId="155">
    <w:nsid w:val="67906F60"/>
    <w:multiLevelType w:val="hybridMultilevel"/>
    <w:lvl w:ilvl="0">
      <w:lvlJc w:val="left"/>
      <w:lvlText w:val="(%1)"/>
      <w:numFmt w:val="lowerLetter"/>
      <w:start w:val="2"/>
    </w:lvl>
    <w:lvl w:ilvl="1">
      <w:lvlJc w:val="left"/>
      <w:lvlText w:val="(%2)"/>
      <w:numFmt w:val="lowerRoman"/>
      <w:start w:val="1"/>
    </w:lvl>
  </w:abstractNum>
  <w:abstractNum w:abstractNumId="156">
    <w:nsid w:val="10DB9DAA"/>
    <w:multiLevelType w:val="hybridMultilevel"/>
    <w:lvl w:ilvl="0">
      <w:lvlJc w:val="left"/>
      <w:lvlText w:val="(%1)"/>
      <w:numFmt w:val="lowerLetter"/>
      <w:start w:val="8"/>
    </w:lvl>
    <w:lvl w:ilvl="1">
      <w:lvlJc w:val="left"/>
      <w:lvlText w:val="(%2)"/>
      <w:numFmt w:val="lowerLetter"/>
      <w:start w:val="2"/>
    </w:lvl>
    <w:lvl w:ilvl="2">
      <w:lvlJc w:val="left"/>
      <w:lvlText w:val="(%3)"/>
      <w:numFmt w:val="lowerRoman"/>
      <w:start w:val="1"/>
    </w:lvl>
  </w:abstractNum>
  <w:abstractNum w:abstractNumId="157">
    <w:nsid w:val="697D2D2"/>
    <w:multiLevelType w:val="hybridMultilevel"/>
    <w:lvl w:ilvl="0">
      <w:lvlJc w:val="left"/>
      <w:lvlText w:val="(%1)"/>
      <w:numFmt w:val="decimal"/>
      <w:start w:val="1"/>
    </w:lvl>
  </w:abstractNum>
  <w:abstractNum w:abstractNumId="158">
    <w:nsid w:val="6D68AB2"/>
    <w:multiLevelType w:val="hybridMultilevel"/>
    <w:lvl w:ilvl="0">
      <w:lvlJc w:val="left"/>
      <w:lvlText w:val="%1"/>
      <w:numFmt w:val="lowerLetter"/>
      <w:start w:val="1"/>
    </w:lvl>
    <w:lvl w:ilvl="1">
      <w:lvlJc w:val="left"/>
      <w:lvlText w:val="(%2)"/>
      <w:numFmt w:val="lowerLetter"/>
      <w:start w:val="9"/>
    </w:lvl>
  </w:abstractNum>
  <w:abstractNum w:abstractNumId="159">
    <w:nsid w:val="3A966CD0"/>
    <w:multiLevelType w:val="hybridMultilevel"/>
    <w:lvl w:ilvl="0">
      <w:lvlJc w:val="left"/>
      <w:lvlText w:val="(%1)"/>
      <w:numFmt w:val="lowerLetter"/>
      <w:start w:val="14"/>
    </w:lvl>
    <w:lvl w:ilvl="1">
      <w:lvlJc w:val="left"/>
      <w:lvlText w:val="%2"/>
      <w:numFmt w:val="lowerLetter"/>
      <w:start w:val="1"/>
    </w:lvl>
  </w:abstractNum>
  <w:abstractNum w:abstractNumId="160">
    <w:nsid w:val="63F37E85"/>
    <w:multiLevelType w:val="hybridMultilevel"/>
    <w:lvl w:ilvl="0">
      <w:lvlJc w:val="left"/>
      <w:lvlText w:val="(%1)"/>
      <w:numFmt w:val="lowerLetter"/>
      <w:start w:val="1"/>
    </w:lvl>
  </w:abstractNum>
  <w:abstractNum w:abstractNumId="161">
    <w:nsid w:val="5895F5FA"/>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10"/>
    </w:lvl>
  </w:abstractNum>
  <w:abstractNum w:abstractNumId="162">
    <w:nsid w:val="38A5D054"/>
    <w:multiLevelType w:val="hybridMultilevel"/>
    <w:lvl w:ilvl="0">
      <w:lvlJc w:val="left"/>
      <w:lvlText w:val="(%1)"/>
      <w:numFmt w:val="lowerLetter"/>
      <w:start w:val="2"/>
    </w:lvl>
    <w:lvl w:ilvl="1">
      <w:lvlJc w:val="left"/>
      <w:lvlText w:val="(%2)"/>
      <w:numFmt w:val="lowerRoman"/>
      <w:start w:val="2"/>
    </w:lvl>
    <w:lvl w:ilvl="2">
      <w:lvlJc w:val="left"/>
      <w:lvlText w:val="%3"/>
      <w:numFmt w:val="lowerLetter"/>
      <w:start w:val="1"/>
    </w:lvl>
  </w:abstractNum>
  <w:abstractNum w:abstractNumId="163">
    <w:nsid w:val="F3F09D8"/>
    <w:multiLevelType w:val="hybridMultilevel"/>
    <w:lvl w:ilvl="0">
      <w:lvlJc w:val="left"/>
      <w:lvlText w:val="(%1)"/>
      <w:numFmt w:val="lowerLetter"/>
      <w:start w:val="5"/>
    </w:lvl>
  </w:abstractNum>
  <w:abstractNum w:abstractNumId="164">
    <w:nsid w:val="4B793735"/>
    <w:multiLevelType w:val="hybridMultilevel"/>
    <w:lvl w:ilvl="0">
      <w:lvlJc w:val="left"/>
      <w:lvlText w:val="(%1)"/>
      <w:numFmt w:val="lowerLetter"/>
      <w:start w:val="6"/>
    </w:lvl>
  </w:abstractNum>
  <w:abstractNum w:abstractNumId="165">
    <w:nsid w:val="4A10B4E8"/>
    <w:multiLevelType w:val="hybridMultilevel"/>
    <w:lvl w:ilvl="0">
      <w:lvlJc w:val="left"/>
      <w:lvlText w:val="%1."/>
      <w:numFmt w:val="decimal"/>
      <w:start w:val="1"/>
    </w:lvl>
  </w:abstractNum>
  <w:abstractNum w:abstractNumId="166">
    <w:nsid w:val="43D3BCD4"/>
    <w:multiLevelType w:val="hybridMultilevel"/>
    <w:lvl w:ilvl="0">
      <w:lvlJc w:val="left"/>
      <w:lvlText w:val="(%1)"/>
      <w:numFmt w:val="lowerLetter"/>
      <w:start w:val="1"/>
    </w:lvl>
  </w:abstractNum>
  <w:abstractNum w:abstractNumId="167">
    <w:nsid w:val="4C2A7166"/>
    <w:multiLevelType w:val="hybridMultilevel"/>
    <w:lvl w:ilvl="0">
      <w:lvlJc w:val="left"/>
      <w:lvlText w:val="%1."/>
      <w:numFmt w:val="decimal"/>
      <w:start w:val="2"/>
    </w:lvl>
  </w:abstractNum>
  <w:abstractNum w:abstractNumId="168">
    <w:nsid w:val="2E534A82"/>
    <w:multiLevelType w:val="hybridMultilevel"/>
    <w:lvl w:ilvl="0">
      <w:lvlJc w:val="left"/>
      <w:lvlText w:val="(%1)"/>
      <w:numFmt w:val="lowerLetter"/>
      <w:start w:val="1"/>
    </w:lvl>
    <w:lvl w:ilvl="1">
      <w:lvlJc w:val="left"/>
      <w:lvlText w:val="(%2)"/>
      <w:numFmt w:val="lowerRoman"/>
      <w:start w:val="1"/>
    </w:lvl>
  </w:abstractNum>
  <w:abstractNum w:abstractNumId="169">
    <w:nsid w:val="26F2D364"/>
    <w:multiLevelType w:val="hybridMultilevel"/>
    <w:lvl w:ilvl="0">
      <w:lvlJc w:val="left"/>
      <w:lvlText w:val="(%1)"/>
      <w:numFmt w:val="lowerLetter"/>
      <w:start w:val="2"/>
    </w:lvl>
    <w:lvl w:ilvl="1">
      <w:lvlJc w:val="left"/>
      <w:lvlText w:val="(%2)"/>
      <w:numFmt w:val="lowerRoman"/>
      <w:start w:val="1"/>
    </w:lvl>
  </w:abstractNum>
  <w:abstractNum w:abstractNumId="170">
    <w:nsid w:val="71C1AF98"/>
    <w:multiLevelType w:val="hybridMultilevel"/>
    <w:lvl w:ilvl="0">
      <w:lvlJc w:val="left"/>
      <w:lvlText w:val="(%1)"/>
      <w:numFmt w:val="lowerLetter"/>
      <w:start w:val="4"/>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71">
    <w:nsid w:val="3D00B9D9"/>
    <w:multiLevelType w:val="hybridMultilevel"/>
    <w:lvl w:ilvl="0">
      <w:lvlJc w:val="left"/>
      <w:lvlText w:val="(%1)"/>
      <w:numFmt w:val="lowerRoman"/>
      <w:start w:val="2"/>
    </w:lvl>
    <w:lvl w:ilvl="1">
      <w:lvlJc w:val="left"/>
      <w:lvlText w:val="(%2)"/>
      <w:numFmt w:val="decimal"/>
      <w:start w:val="1"/>
    </w:lvl>
  </w:abstractNum>
  <w:abstractNum w:abstractNumId="172">
    <w:nsid w:val="15BCABA8"/>
    <w:multiLevelType w:val="hybridMultilevel"/>
    <w:lvl w:ilvl="0">
      <w:lvlJc w:val="left"/>
      <w:lvlText w:val="(%1)"/>
      <w:numFmt w:val="lowerLetter"/>
      <w:start w:val="5"/>
    </w:lvl>
  </w:abstractNum>
  <w:abstractNum w:abstractNumId="173">
    <w:nsid w:val="4E0B9A87"/>
    <w:multiLevelType w:val="hybridMultilevel"/>
    <w:lvl w:ilvl="0">
      <w:lvlJc w:val="left"/>
      <w:lvlText w:val="%1."/>
      <w:numFmt w:val="decimal"/>
      <w:start w:val="3"/>
    </w:lvl>
  </w:abstractNum>
  <w:abstractNum w:abstractNumId="174">
    <w:nsid w:val="434BAE75"/>
    <w:multiLevelType w:val="hybridMultilevel"/>
    <w:lvl w:ilvl="0">
      <w:lvlJc w:val="left"/>
      <w:lvlText w:val="(%1)"/>
      <w:numFmt w:val="lowerLetter"/>
      <w:start w:val="1"/>
    </w:lvl>
    <w:lvl w:ilvl="1">
      <w:lvlJc w:val="left"/>
      <w:lvlText w:val="(%2)"/>
      <w:numFmt w:val="lowerRoman"/>
      <w:start w:val="1"/>
    </w:lvl>
  </w:abstractNum>
  <w:abstractNum w:abstractNumId="175">
    <w:nsid w:val="4F38F265"/>
    <w:multiLevelType w:val="hybridMultilevel"/>
    <w:lvl w:ilvl="0">
      <w:lvlJc w:val="left"/>
      <w:lvlText w:val="(%1)"/>
      <w:numFmt w:val="lowerLetter"/>
      <w:start w:val="2"/>
    </w:lvl>
  </w:abstractNum>
  <w:abstractNum w:abstractNumId="176">
    <w:nsid w:val="4C502870"/>
    <w:multiLevelType w:val="hybridMultilevel"/>
    <w:lvl w:ilvl="0">
      <w:lvlJc w:val="left"/>
      <w:lvlText w:val="%1."/>
      <w:numFmt w:val="decimal"/>
      <w:start w:val="4"/>
    </w:lvl>
  </w:abstractNum>
  <w:abstractNum w:abstractNumId="177">
    <w:nsid w:val="1DE8725A"/>
    <w:multiLevelType w:val="hybridMultilevel"/>
    <w:lvl w:ilvl="0">
      <w:lvlJc w:val="left"/>
      <w:lvlText w:val="(%1)"/>
      <w:numFmt w:val="lowerLetter"/>
      <w:start w:val="1"/>
    </w:lvl>
    <w:lvl w:ilvl="1">
      <w:lvlJc w:val="left"/>
      <w:lvlText w:val="(%2)"/>
      <w:numFmt w:val="lowerRoman"/>
      <w:start w:val="1"/>
    </w:lvl>
  </w:abstractNum>
  <w:abstractNum w:abstractNumId="178">
    <w:nsid w:val="6A37288A"/>
    <w:multiLevelType w:val="hybridMultilevel"/>
    <w:lvl w:ilvl="0">
      <w:lvlJc w:val="left"/>
      <w:lvlText w:val="(%1)"/>
      <w:numFmt w:val="lowerLetter"/>
      <w:start w:val="2"/>
    </w:lvl>
  </w:abstractNum>
  <w:abstractNum w:abstractNumId="179">
    <w:nsid w:val="8F8B73F"/>
    <w:multiLevelType w:val="hybridMultilevel"/>
    <w:lvl w:ilvl="0">
      <w:lvlJc w:val="left"/>
      <w:lvlText w:val="%1."/>
      <w:numFmt w:val="decimal"/>
      <w:start w:val="5"/>
    </w:lvl>
  </w:abstractNum>
  <w:abstractNum w:abstractNumId="180">
    <w:nsid w:val="CA6B462"/>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abstractNum>
  <w:abstractNum w:abstractNumId="181">
    <w:nsid w:val="763CB680"/>
    <w:multiLevelType w:val="hybridMultilevel"/>
    <w:lvl w:ilvl="0">
      <w:lvlJc w:val="left"/>
      <w:lvlText w:val="(%1)"/>
      <w:numFmt w:val="lowerRoman"/>
      <w:start w:val="7"/>
    </w:lvl>
    <w:lvl w:ilvl="1">
      <w:lvlJc w:val="left"/>
      <w:lvlText w:val="(%2)"/>
      <w:numFmt w:val="decimal"/>
      <w:start w:val="1"/>
    </w:lvl>
  </w:abstractNum>
  <w:abstractNum w:abstractNumId="182">
    <w:nsid w:val="15B71329"/>
    <w:multiLevelType w:val="hybridMultilevel"/>
    <w:lvl w:ilvl="0">
      <w:lvlJc w:val="left"/>
      <w:lvlText w:val="(%1)"/>
      <w:numFmt w:val="lowerLetter"/>
      <w:start w:val="2"/>
    </w:lvl>
  </w:abstractNum>
  <w:abstractNum w:abstractNumId="183">
    <w:nsid w:val="3DA97044"/>
    <w:multiLevelType w:val="hybridMultilevel"/>
    <w:lvl w:ilvl="0">
      <w:lvlJc w:val="left"/>
      <w:lvlText w:val="(%1)"/>
      <w:numFmt w:val="lowerRoman"/>
      <w:start w:val="1"/>
    </w:lvl>
    <w:lvl w:ilvl="1">
      <w:lvlJc w:val="left"/>
      <w:lvlText w:val="(%2)"/>
      <w:numFmt w:val="decimal"/>
      <w:start w:val="1"/>
    </w:lvl>
  </w:abstractNum>
  <w:abstractNum w:abstractNumId="184">
    <w:nsid w:val="1CDCE2DE"/>
    <w:multiLevelType w:val="hybridMultilevel"/>
    <w:lvl w:ilvl="0">
      <w:lvlJc w:val="left"/>
      <w:lvlText w:val="(%1)"/>
      <w:numFmt w:val="lowerRoman"/>
      <w:start w:val="2"/>
    </w:lvl>
    <w:lvl w:ilvl="1">
      <w:lvlJc w:val="left"/>
      <w:lvlText w:val="%2"/>
      <w:numFmt w:val="decimal"/>
      <w:start w:val="1"/>
    </w:lvl>
  </w:abstractNum>
  <w:abstractNum w:abstractNumId="185">
    <w:nsid w:val="69D3947C"/>
    <w:multiLevelType w:val="hybridMultilevel"/>
    <w:lvl w:ilvl="0">
      <w:lvlJc w:val="left"/>
      <w:lvlText w:val="(%1)"/>
      <w:numFmt w:val="lowerLetter"/>
      <w:start w:val="3"/>
    </w:lvl>
  </w:abstractNum>
  <w:abstractNum w:abstractNumId="186">
    <w:nsid w:val="2539DFA5"/>
    <w:multiLevelType w:val="hybridMultilevel"/>
    <w:lvl w:ilvl="0">
      <w:lvlJc w:val="left"/>
      <w:lvlText w:val="%1."/>
      <w:numFmt w:val="decimal"/>
      <w:start w:val="6"/>
    </w:lvl>
  </w:abstractNum>
  <w:abstractNum w:abstractNumId="187">
    <w:nsid w:val="2DB88089"/>
    <w:multiLevelType w:val="hybridMultilevel"/>
    <w:lvl w:ilvl="0">
      <w:lvlJc w:val="left"/>
      <w:lvlText w:val="(%1)"/>
      <w:numFmt w:val="lowerLetter"/>
      <w:start w:val="1"/>
    </w:lvl>
    <w:lvl w:ilvl="1">
      <w:lvlJc w:val="left"/>
      <w:lvlText w:val="(%2)"/>
      <w:numFmt w:val="lowerRoman"/>
      <w:start w:val="1"/>
    </w:lvl>
  </w:abstractNum>
  <w:abstractNum w:abstractNumId="188">
    <w:nsid w:val="706B674E"/>
    <w:multiLevelType w:val="hybridMultilevel"/>
    <w:lvl w:ilvl="0">
      <w:lvlJc w:val="left"/>
      <w:lvlText w:val="(%1)"/>
      <w:numFmt w:val="lowerRoman"/>
      <w:start w:val="3"/>
    </w:lvl>
    <w:lvl w:ilvl="1">
      <w:lvlJc w:val="left"/>
      <w:lvlText w:val="(%2)"/>
      <w:numFmt w:val="decimal"/>
      <w:start w:val="1"/>
    </w:lvl>
  </w:abstractNum>
  <w:abstractNum w:abstractNumId="189">
    <w:nsid w:val="2C106A57"/>
    <w:multiLevelType w:val="hybridMultilevel"/>
    <w:lvl w:ilvl="0">
      <w:lvlJc w:val="left"/>
      <w:lvlText w:val="(%1)"/>
      <w:numFmt w:val="lowerLetter"/>
      <w:start w:val="3"/>
    </w:lvl>
    <w:lvl w:ilvl="1">
      <w:lvlJc w:val="left"/>
      <w:lvlText w:val="(%2)"/>
      <w:numFmt w:val="lowerRoman"/>
      <w:start w:val="1"/>
    </w:lvl>
    <w:lvl w:ilvl="2">
      <w:lvlJc w:val="left"/>
      <w:lvlText w:val="(%3)"/>
      <w:numFmt w:val="decimal"/>
      <w:start w:val="1"/>
    </w:lvl>
  </w:abstractNum>
  <w:abstractNum w:abstractNumId="190">
    <w:nsid w:val="684EED59"/>
    <w:multiLevelType w:val="hybridMultilevel"/>
    <w:lvl w:ilvl="0">
      <w:lvlJc w:val="left"/>
      <w:lvlText w:val="%1"/>
      <w:numFmt w:val="lowerRoman"/>
      <w:start w:val="1"/>
    </w:lvl>
    <w:lvl w:ilvl="1">
      <w:lvlJc w:val="left"/>
      <w:lvlText w:val="(%2)"/>
      <w:numFmt w:val="decimal"/>
      <w:start w:val="4"/>
    </w:lvl>
    <w:lvl w:ilvl="2">
      <w:lvlJc w:val="left"/>
      <w:lvlText w:val="%3"/>
      <w:numFmt w:val="upperLetter"/>
      <w:start w:val="1"/>
    </w:lvl>
  </w:abstractNum>
  <w:abstractNum w:abstractNumId="191">
    <w:nsid w:val="545EE5D3"/>
    <w:multiLevelType w:val="hybridMultilevel"/>
    <w:lvl w:ilvl="0">
      <w:lvlJc w:val="left"/>
      <w:lvlText w:val="(%1)"/>
      <w:numFmt w:val="lowerRoman"/>
      <w:start w:val="2"/>
    </w:lvl>
    <w:lvl w:ilvl="1">
      <w:lvlJc w:val="left"/>
      <w:lvlText w:val="(%2)"/>
      <w:numFmt w:val="decimal"/>
      <w:start w:val="1"/>
    </w:lvl>
    <w:lvl w:ilvl="2">
      <w:lvlJc w:val="left"/>
      <w:lvlText w:val="(%3)"/>
      <w:numFmt w:val="upperLetter"/>
      <w:start w:val="1"/>
    </w:lvl>
  </w:abstractNum>
  <w:abstractNum w:abstractNumId="192">
    <w:nsid w:val="4A66051"/>
    <w:multiLevelType w:val="hybridMultilevel"/>
    <w:lvl w:ilvl="0">
      <w:lvlJc w:val="left"/>
      <w:lvlText w:val="(%1)"/>
      <w:numFmt w:val="lowerRoman"/>
      <w:start w:val="3"/>
    </w:lvl>
  </w:abstractNum>
  <w:abstractNum w:abstractNumId="193">
    <w:nsid w:val="20F4BDAD"/>
    <w:multiLevelType w:val="hybridMultilevel"/>
    <w:lvl w:ilvl="0">
      <w:lvlJc w:val="left"/>
      <w:lvlText w:val="%1."/>
      <w:numFmt w:val="decimal"/>
      <w:start w:val="7"/>
    </w:lvl>
  </w:abstractNum>
  <w:abstractNum w:abstractNumId="194">
    <w:nsid w:val="639DEFAC"/>
    <w:multiLevelType w:val="hybridMultilevel"/>
    <w:lvl w:ilvl="0">
      <w:lvlJc w:val="left"/>
      <w:lvlText w:val="(%1)"/>
      <w:numFmt w:val="lowerLetter"/>
      <w:start w:val="1"/>
    </w:lvl>
  </w:abstractNum>
  <w:abstractNum w:abstractNumId="195">
    <w:nsid w:val="501F9786"/>
    <w:multiLevelType w:val="hybridMultilevel"/>
    <w:lvl w:ilvl="0">
      <w:lvlJc w:val="left"/>
      <w:lvlText w:val="%1."/>
      <w:numFmt w:val="decimal"/>
      <w:start w:val="8"/>
    </w:lvl>
  </w:abstractNum>
  <w:abstractNum w:abstractNumId="196">
    <w:nsid w:val="6B057295"/>
    <w:multiLevelType w:val="hybridMultilevel"/>
    <w:lvl w:ilvl="0">
      <w:lvlJc w:val="left"/>
      <w:lvlText w:val="(%1)"/>
      <w:numFmt w:val="lowerLetter"/>
      <w:start w:val="1"/>
    </w:lvl>
  </w:abstractNum>
  <w:abstractNum w:abstractNumId="197">
    <w:nsid w:val="2771AC80"/>
    <w:multiLevelType w:val="hybridMultilevel"/>
    <w:lvl w:ilvl="0">
      <w:lvlJc w:val="left"/>
      <w:lvlText w:val="%1."/>
      <w:numFmt w:val="decimal"/>
      <w:start w:val="9"/>
    </w:lvl>
  </w:abstractNum>
  <w:abstractNum w:abstractNumId="198">
    <w:nsid w:val="1C4A08EC"/>
    <w:multiLevelType w:val="hybridMultilevel"/>
    <w:lvl w:ilvl="0">
      <w:lvlJc w:val="left"/>
      <w:lvlText w:val="(%1)"/>
      <w:numFmt w:val="lowerLetter"/>
      <w:start w:val="1"/>
    </w:lvl>
    <w:lvl w:ilvl="1">
      <w:lvlJc w:val="left"/>
      <w:lvlText w:val="(%2)"/>
      <w:numFmt w:val="lowerRoman"/>
      <w:start w:val="1"/>
    </w:lvl>
  </w:abstractNum>
  <w:abstractNum w:abstractNumId="199">
    <w:nsid w:val="1958BD17"/>
    <w:multiLevelType w:val="hybridMultilevel"/>
    <w:lvl w:ilvl="0">
      <w:lvlJc w:val="left"/>
      <w:lvlText w:val="%1."/>
      <w:numFmt w:val="decimal"/>
      <w:start w:val="10"/>
    </w:lvl>
  </w:abstractNum>
  <w:abstractNum w:abstractNumId="200">
    <w:nsid w:val="4E647FE4"/>
    <w:multiLevelType w:val="hybridMultilevel"/>
    <w:lvl w:ilvl="0">
      <w:lvlJc w:val="left"/>
      <w:lvlText w:val="(%1)"/>
      <w:numFmt w:val="lowerLetter"/>
      <w:start w:val="1"/>
    </w:lvl>
  </w:abstractNum>
  <w:abstractNum w:abstractNumId="201">
    <w:nsid w:val="E0BB885"/>
    <w:multiLevelType w:val="hybridMultilevel"/>
    <w:lvl w:ilvl="0">
      <w:lvlJc w:val="left"/>
      <w:lvlText w:val="%1."/>
      <w:numFmt w:val="decimal"/>
      <w:start w:val="11"/>
    </w:lvl>
  </w:abstractNum>
  <w:abstractNum w:abstractNumId="202">
    <w:nsid w:val="565976F1"/>
    <w:multiLevelType w:val="hybridMultilevel"/>
    <w:lvl w:ilvl="0">
      <w:lvlJc w:val="left"/>
      <w:lvlText w:val="%1."/>
      <w:numFmt w:val="decimal"/>
      <w:start w:val="12"/>
    </w:lvl>
  </w:abstractNum>
  <w:abstractNum w:abstractNumId="203">
    <w:nsid w:val="64212B8C"/>
    <w:multiLevelType w:val="hybridMultilevel"/>
    <w:lvl w:ilvl="0">
      <w:lvlJc w:val="left"/>
      <w:lvlText w:val="(%1)"/>
      <w:numFmt w:val="lowerLetter"/>
      <w:start w:val="1"/>
    </w:lvl>
    <w:lvl w:ilvl="1">
      <w:lvlJc w:val="left"/>
      <w:lvlText w:val="(%2)"/>
      <w:numFmt w:val="lowerRoman"/>
      <w:start w:val="1"/>
    </w:lvl>
  </w:abstractNum>
  <w:abstractNum w:abstractNumId="204">
    <w:nsid w:val="5C17530C"/>
    <w:multiLevelType w:val="hybridMultilevel"/>
    <w:lvl w:ilvl="0">
      <w:lvlJc w:val="left"/>
      <w:lvlText w:val="(%1)"/>
      <w:numFmt w:val="lowerLetter"/>
      <w:start w:val="2"/>
    </w:lvl>
  </w:abstractNum>
  <w:abstractNum w:abstractNumId="205">
    <w:nsid w:val="19A52566"/>
    <w:multiLevelType w:val="hybridMultilevel"/>
    <w:lvl w:ilvl="0">
      <w:lvlJc w:val="left"/>
      <w:lvlText w:val="%1."/>
      <w:numFmt w:val="decimal"/>
      <w:start w:val="13"/>
    </w:lvl>
  </w:abstractNum>
  <w:abstractNum w:abstractNumId="206">
    <w:nsid w:val="335A1DF1"/>
    <w:multiLevelType w:val="hybridMultilevel"/>
    <w:lvl w:ilvl="0">
      <w:lvlJc w:val="left"/>
      <w:lvlText w:val="(%1)"/>
      <w:numFmt w:val="lowerLetter"/>
      <w:start w:val="1"/>
    </w:lvl>
    <w:lvl w:ilvl="1">
      <w:lvlJc w:val="left"/>
      <w:lvlText w:val="(%2)"/>
      <w:numFmt w:val="lowerRoman"/>
      <w:start w:val="1"/>
    </w:lvl>
  </w:abstractNum>
  <w:abstractNum w:abstractNumId="207">
    <w:nsid w:val="28677B7C"/>
    <w:multiLevelType w:val="hybridMultilevel"/>
    <w:lvl w:ilvl="0">
      <w:lvlJc w:val="left"/>
      <w:lvlText w:val="(%1)"/>
      <w:numFmt w:val="lowerLetter"/>
      <w:start w:val="3"/>
    </w:lvl>
  </w:abstractNum>
  <w:abstractNum w:abstractNumId="208">
    <w:nsid w:val="378D97C0"/>
    <w:multiLevelType w:val="hybridMultilevel"/>
    <w:lvl w:ilvl="0">
      <w:lvlJc w:val="left"/>
      <w:lvlText w:val="(%1)"/>
      <w:numFmt w:val="lowerLetter"/>
      <w:start w:val="4"/>
    </w:lvl>
  </w:abstractNum>
  <w:abstractNum w:abstractNumId="209">
    <w:nsid w:val="1D91467C"/>
    <w:multiLevelType w:val="hybridMultilevel"/>
    <w:lvl w:ilvl="0">
      <w:lvlJc w:val="left"/>
      <w:lvlText w:val="%1."/>
      <w:numFmt w:val="decimal"/>
      <w:start w:val="14"/>
    </w:lvl>
  </w:abstractNum>
  <w:abstractNum w:abstractNumId="210">
    <w:nsid w:val="316032BB"/>
    <w:multiLevelType w:val="hybridMultilevel"/>
    <w:lvl w:ilvl="0">
      <w:lvlJc w:val="left"/>
      <w:lvlText w:val="(%1)"/>
      <w:numFmt w:val="lowerLetter"/>
      <w:start w:val="1"/>
    </w:lvl>
  </w:abstractNum>
  <w:abstractNum w:abstractNumId="211">
    <w:nsid w:val="44344C22"/>
    <w:multiLevelType w:val="hybridMultilevel"/>
    <w:lvl w:ilvl="0">
      <w:lvlJc w:val="left"/>
      <w:lvlText w:val="(%1)"/>
      <w:numFmt w:val="lowerLetter"/>
      <w:start w:val="1"/>
    </w:lvl>
  </w:abstractNum>
  <w:abstractNum w:abstractNumId="212">
    <w:nsid w:val="13CDFCFC"/>
    <w:multiLevelType w:val="hybridMultilevel"/>
    <w:lvl w:ilvl="0">
      <w:lvlJc w:val="left"/>
      <w:lvlText w:val="(%1)"/>
      <w:numFmt w:val="lowerLetter"/>
      <w:start w:val="2"/>
    </w:lvl>
  </w:abstractNum>
  <w:abstractNum w:abstractNumId="213">
    <w:nsid w:val="471745E4"/>
    <w:multiLevelType w:val="hybridMultilevel"/>
    <w:lvl w:ilvl="0">
      <w:lvlJc w:val="left"/>
      <w:lvlText w:val="(%1)"/>
      <w:numFmt w:val="lowerLetter"/>
      <w:start w:val="3"/>
    </w:lvl>
    <w:lvl w:ilvl="1">
      <w:lvlJc w:val="left"/>
      <w:lvlText w:val="(%2)"/>
      <w:numFmt w:val="lowerRoman"/>
      <w:start w:val="1"/>
    </w:lvl>
  </w:abstractNum>
  <w:abstractNum w:abstractNumId="214">
    <w:nsid w:val="1DDBC66"/>
    <w:multiLevelType w:val="hybridMultilevel"/>
    <w:lvl w:ilvl="0">
      <w:lvlJc w:val="left"/>
      <w:lvlText w:val="(%1)"/>
      <w:numFmt w:val="lowerRoman"/>
      <w:start w:val="1"/>
    </w:lvl>
  </w:abstractNum>
  <w:abstractNum w:abstractNumId="215">
    <w:nsid w:val="30AADFDA"/>
    <w:multiLevelType w:val="hybridMultilevel"/>
    <w:lvl w:ilvl="0">
      <w:lvlJc w:val="left"/>
      <w:lvlText w:val="(%1)"/>
      <w:numFmt w:val="lowerLetter"/>
      <w:start w:val="1"/>
    </w:lvl>
    <w:lvl w:ilvl="1">
      <w:lvlJc w:val="left"/>
      <w:lvlText w:val="(%2)"/>
      <w:numFmt w:val="lowerLetter"/>
      <w:start w:val="61"/>
    </w:lvl>
  </w:abstractNum>
  <w:abstractNum w:abstractNumId="216">
    <w:nsid w:val="30EADA61"/>
    <w:multiLevelType w:val="hybridMultilevel"/>
    <w:lvl w:ilvl="0">
      <w:lvlJc w:val="left"/>
      <w:lvlText w:val="(%1)"/>
      <w:numFmt w:val="lowerLetter"/>
      <w:start w:val="1"/>
    </w:lvl>
  </w:abstractNum>
  <w:abstractNum w:abstractNumId="217">
    <w:nsid w:val="27179C0B"/>
    <w:multiLevelType w:val="hybridMultilevel"/>
    <w:lvl w:ilvl="0">
      <w:lvlJc w:val="left"/>
      <w:lvlText w:val="(%1)"/>
      <w:numFmt w:val="lowerLetter"/>
      <w:start w:val="2"/>
    </w:lvl>
  </w:abstractNum>
  <w:abstractNum w:abstractNumId="218">
    <w:nsid w:val="5E636063"/>
    <w:multiLevelType w:val="hybridMultilevel"/>
    <w:lvl w:ilvl="0">
      <w:lvlJc w:val="left"/>
      <w:lvlText w:val="(%1)"/>
      <w:numFmt w:val="lowerRoman"/>
      <w:start w:val="1"/>
    </w:lvl>
  </w:abstractNum>
  <w:abstractNum w:abstractNumId="219">
    <w:nsid w:val="215641AF"/>
    <w:multiLevelType w:val="hybridMultilevel"/>
    <w:lvl w:ilvl="0">
      <w:lvlJc w:val="left"/>
      <w:lvlText w:val="(%1)"/>
      <w:numFmt w:val="lowerLetter"/>
      <w:start w:val="1"/>
    </w:lvl>
    <w:lvl w:ilvl="1">
      <w:lvlJc w:val="left"/>
      <w:lvlText w:val="(%2)"/>
      <w:numFmt w:val="lowerLetter"/>
      <w:start w:val="9"/>
    </w:lvl>
  </w:abstractNum>
  <w:abstractNum w:abstractNumId="220">
    <w:nsid w:val="53280662"/>
    <w:multiLevelType w:val="hybridMultilevel"/>
    <w:lvl w:ilvl="0">
      <w:lvlJc w:val="left"/>
      <w:lvlText w:val="%1"/>
      <w:numFmt w:val="lowerLetter"/>
      <w:start w:val="1"/>
    </w:lvl>
    <w:lvl w:ilvl="1">
      <w:lvlJc w:val="left"/>
      <w:lvlText w:val="(%2)"/>
      <w:numFmt w:val="lowerLetter"/>
      <w:start w:val="35"/>
    </w:lvl>
  </w:abstractNum>
  <w:abstractNum w:abstractNumId="221">
    <w:nsid w:val="46B24DBC"/>
    <w:multiLevelType w:val="hybridMultilevel"/>
    <w:lvl w:ilvl="0">
      <w:lvlJc w:val="left"/>
      <w:lvlText w:val="(%1)"/>
      <w:numFmt w:val="lowerLetter"/>
      <w:start w:val="2"/>
    </w:lvl>
    <w:lvl w:ilvl="1">
      <w:lvlJc w:val="left"/>
      <w:lvlText w:val="(%2)"/>
      <w:numFmt w:val="lowerLetter"/>
      <w:start w:val="9"/>
    </w:lvl>
  </w:abstractNum>
  <w:abstractNum w:abstractNumId="222">
    <w:nsid w:val="75B52783"/>
    <w:multiLevelType w:val="hybridMultilevel"/>
    <w:lvl w:ilvl="0">
      <w:lvlJc w:val="left"/>
      <w:lvlText w:val="%1"/>
      <w:numFmt w:val="lowerLetter"/>
      <w:start w:val="1"/>
    </w:lvl>
    <w:lvl w:ilvl="1">
      <w:lvlJc w:val="left"/>
      <w:lvlText w:val="(%2)"/>
      <w:numFmt w:val="lowerLetter"/>
      <w:start w:val="35"/>
    </w:lvl>
  </w:abstractNum>
  <w:abstractNum w:abstractNumId="223">
    <w:nsid w:val="57CE66B4"/>
    <w:multiLevelType w:val="hybridMultilevel"/>
    <w:lvl w:ilvl="0">
      <w:lvlJc w:val="left"/>
      <w:lvlText w:val="(%1)"/>
      <w:numFmt w:val="lowerLetter"/>
      <w:start w:val="3"/>
    </w:lvl>
    <w:lvl w:ilvl="1">
      <w:lvlJc w:val="left"/>
      <w:lvlText w:val="%2"/>
      <w:numFmt w:val="lowerLetter"/>
      <w:start w:val="1"/>
    </w:lvl>
  </w:abstractNum>
  <w:abstractNum w:abstractNumId="224">
    <w:nsid w:val="67A70B69"/>
    <w:multiLevelType w:val="hybridMultilevel"/>
    <w:lvl w:ilvl="0">
      <w:lvlJc w:val="left"/>
      <w:lvlText w:val="(%1)"/>
      <w:numFmt w:val="lowerLetter"/>
      <w:start w:val="5"/>
    </w:lvl>
    <w:lvl w:ilvl="1">
      <w:lvlJc w:val="left"/>
      <w:lvlText w:val="(%2)"/>
      <w:numFmt w:val="lowerLetter"/>
      <w:start w:val="2"/>
    </w:lvl>
    <w:lvl w:ilvl="2">
      <w:lvlJc w:val="left"/>
      <w:lvlText w:val="(%3)"/>
      <w:numFmt w:val="lowerRoman"/>
      <w:start w:val="1"/>
    </w:lvl>
  </w:abstractNum>
  <w:abstractNum w:abstractNumId="225">
    <w:nsid w:val="5953172F"/>
    <w:multiLevelType w:val="hybridMultilevel"/>
    <w:lvl w:ilvl="0">
      <w:lvlJc w:val="left"/>
      <w:lvlText w:val="(%1)"/>
      <w:numFmt w:val="lowerLetter"/>
      <w:start w:val="13"/>
    </w:lvl>
    <w:lvl w:ilvl="1">
      <w:lvlJc w:val="left"/>
      <w:lvlText w:val="(%2)"/>
      <w:numFmt w:val="lowerRoman"/>
    </w:lvl>
    <w:lvl w:ilvl="2">
      <w:lvlJc w:val="left"/>
      <w:lvlText w:val="(%3)"/>
      <w:numFmt w:val="decimal"/>
      <w:start w:val="1"/>
    </w:lvl>
  </w:abstractNum>
  <w:abstractNum w:abstractNumId="226">
    <w:nsid w:val="27EDFE3A"/>
    <w:multiLevelType w:val="hybridMultilevel"/>
    <w:lvl w:ilvl="0">
      <w:lvlJc w:val="left"/>
      <w:lvlText w:val="(%1)"/>
      <w:numFmt w:val="lowerLetter"/>
      <w:start w:val="1"/>
    </w:lvl>
  </w:abstractNum>
  <w:abstractNum w:abstractNumId="227">
    <w:nsid w:val="52AC7DFF"/>
    <w:multiLevelType w:val="hybridMultilevel"/>
    <w:lvl w:ilvl="0">
      <w:lvlJc w:val="left"/>
      <w:lvlText w:val="%1"/>
      <w:numFmt w:val="lowerLetter"/>
      <w:start w:val="1"/>
    </w:lvl>
    <w:lvl w:ilvl="1">
      <w:lvlJc w:val="left"/>
      <w:lvlText w:val="(%2)"/>
      <w:numFmt w:val="lowerLetter"/>
      <w:start w:val="10"/>
    </w:lvl>
  </w:abstractNum>
  <w:abstractNum w:abstractNumId="228">
    <w:nsid w:val="C4C3AF"/>
    <w:multiLevelType w:val="hybridMultilevel"/>
    <w:lvl w:ilvl="0">
      <w:lvlJc w:val="left"/>
      <w:lvlText w:val="(%1)"/>
      <w:numFmt w:val="lowerLetter"/>
      <w:start w:val="2"/>
    </w:lvl>
    <w:lvl w:ilvl="1">
      <w:lvlJc w:val="left"/>
      <w:lvlText w:val="%2"/>
      <w:numFmt w:val="lowerLetter"/>
      <w:start w:val="1"/>
    </w:lvl>
  </w:abstractNum>
  <w:abstractNum w:abstractNumId="229">
    <w:nsid w:val="44380727"/>
    <w:multiLevelType w:val="hybridMultilevel"/>
    <w:lvl w:ilvl="0">
      <w:lvlJc w:val="left"/>
      <w:lvlText w:val="%1"/>
      <w:numFmt w:val="lowerLetter"/>
      <w:start w:val="1"/>
    </w:lvl>
    <w:lvl w:ilvl="1">
      <w:lvlJc w:val="left"/>
      <w:lvlText w:val="(%2)"/>
      <w:numFmt w:val="lowerRoman"/>
      <w:start w:val="2"/>
    </w:lvl>
  </w:abstractNum>
  <w:abstractNum w:abstractNumId="230">
    <w:nsid w:val="6C053B16"/>
    <w:multiLevelType w:val="hybridMultilevel"/>
    <w:lvl w:ilvl="0">
      <w:lvlJc w:val="left"/>
      <w:lvlText w:val="(%1)"/>
      <w:numFmt w:val="lowerLetter"/>
      <w:start w:val="3"/>
    </w:lvl>
    <w:lvl w:ilvl="1">
      <w:lvlJc w:val="left"/>
      <w:lvlText w:val="%2"/>
      <w:numFmt w:val="lowerRoman"/>
      <w:start w:val="1"/>
    </w:lvl>
  </w:abstractNum>
  <w:abstractNum w:abstractNumId="231">
    <w:nsid w:val="4F294393"/>
    <w:multiLevelType w:val="hybridMultilevel"/>
    <w:lvl w:ilvl="0">
      <w:lvlJc w:val="left"/>
      <w:lvlText w:val="(%1)"/>
      <w:numFmt w:val="lowerLetter"/>
      <w:start w:val="5"/>
    </w:lvl>
  </w:abstractNum>
  <w:abstractNum w:abstractNumId="232">
    <w:nsid w:val="5243BFAC"/>
    <w:multiLevelType w:val="hybridMultilevel"/>
    <w:lvl w:ilvl="0">
      <w:lvlJc w:val="left"/>
      <w:lvlText w:val="(%1)"/>
      <w:numFmt w:val="lowerLetter"/>
      <w:start w:val="6"/>
    </w:lvl>
  </w:abstractNum>
  <w:abstractNum w:abstractNumId="233">
    <w:nsid w:val="425EB207"/>
    <w:multiLevelType w:val="hybridMultilevel"/>
    <w:lvl w:ilvl="0">
      <w:lvlJc w:val="left"/>
      <w:lvlText w:val="%1."/>
      <w:numFmt w:val="decimal"/>
      <w:start w:val="1"/>
    </w:lvl>
    <w:lvl w:ilvl="1">
      <w:lvlJc w:val="left"/>
      <w:lvlText w:val="(%2)"/>
      <w:numFmt w:val="lowerLetter"/>
      <w:start w:val="1"/>
    </w:lvl>
  </w:abstractNum>
  <w:abstractNum w:abstractNumId="234">
    <w:nsid w:val="334A6F1F"/>
    <w:multiLevelType w:val="hybridMultilevel"/>
    <w:lvl w:ilvl="0">
      <w:lvlJc w:val="left"/>
      <w:lvlText w:val="%1."/>
      <w:numFmt w:val="decimal"/>
      <w:start w:val="1"/>
    </w:lvl>
    <w:lvl w:ilvl="1">
      <w:lvlJc w:val="left"/>
      <w:lvlText w:val="(%2)"/>
      <w:numFmt w:val="lowerLetter"/>
      <w:start w:val="1"/>
    </w:lvl>
  </w:abstractNum>
  <w:abstractNum w:abstractNumId="235">
    <w:nsid w:val="2E5B12B8"/>
    <w:multiLevelType w:val="hybridMultilevel"/>
    <w:lvl w:ilvl="0">
      <w:lvlJc w:val="left"/>
      <w:lvlText w:val="%1."/>
      <w:numFmt w:val="decimal"/>
      <w:start w:val="1"/>
    </w:lvl>
  </w:abstractNum>
  <w:abstractNum w:abstractNumId="236">
    <w:nsid w:val="5C03D76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2019-12-15T14:06:16Z</dcterms:created>
  <dcterms:modified xsi:type="dcterms:W3CDTF">2019-12-15T14:06:16Z</dcterms:modified>
</cp:coreProperties>
</file>