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460" w:right="2400" w:hanging="452"/>
        <w:spacing w:after="0" w:line="336"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27, 2012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60"/>
        <w:spacing w:after="0"/>
        <w:tabs>
          <w:tab w:leader="none" w:pos="3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040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001-33296</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900" w:type="dxa"/>
            <w:vAlign w:val="bottom"/>
          </w:tcPr>
          <w:p>
            <w:pPr>
              <w:jc w:val="center"/>
              <w:ind w:right="38"/>
              <w:spacing w:after="0"/>
              <w:rPr>
                <w:sz w:val="20"/>
                <w:szCs w:val="20"/>
                <w:color w:val="auto"/>
              </w:rPr>
            </w:pPr>
            <w:r>
              <w:rPr>
                <w:rFonts w:ascii="Arial" w:cs="Arial" w:eastAsia="Arial" w:hAnsi="Arial"/>
                <w:sz w:val="18"/>
                <w:szCs w:val="18"/>
                <w:b w:val="1"/>
                <w:bCs w:val="1"/>
                <w:color w:val="auto"/>
                <w:w w:val="88"/>
              </w:rPr>
              <w:t>Delaware</w:t>
            </w:r>
          </w:p>
        </w:tc>
        <w:tc>
          <w:tcPr>
            <w:tcW w:w="3180" w:type="dxa"/>
            <w:vAlign w:val="bottom"/>
            <w:gridSpan w:val="2"/>
          </w:tcPr>
          <w:p>
            <w:pPr>
              <w:jc w:val="center"/>
              <w:ind w:left="2244"/>
              <w:spacing w:after="0"/>
              <w:rPr>
                <w:sz w:val="20"/>
                <w:szCs w:val="20"/>
                <w:color w:val="auto"/>
              </w:rPr>
            </w:pPr>
            <w:r>
              <w:rPr>
                <w:rFonts w:ascii="Arial" w:cs="Arial" w:eastAsia="Arial" w:hAnsi="Arial"/>
                <w:sz w:val="18"/>
                <w:szCs w:val="18"/>
                <w:b w:val="1"/>
                <w:bCs w:val="1"/>
                <w:color w:val="auto"/>
                <w:w w:val="89"/>
              </w:rPr>
              <w:t>20-5665602</w:t>
            </w:r>
          </w:p>
        </w:tc>
        <w:tc>
          <w:tcPr>
            <w:tcW w:w="880" w:type="dxa"/>
            <w:vAlign w:val="bottom"/>
          </w:tcPr>
          <w:p>
            <w:pPr>
              <w:spacing w:after="0"/>
              <w:rPr>
                <w:sz w:val="18"/>
                <w:szCs w:val="18"/>
                <w:color w:val="auto"/>
              </w:rPr>
            </w:pPr>
          </w:p>
        </w:tc>
      </w:tr>
      <w:tr>
        <w:trPr>
          <w:trHeight w:val="149"/>
        </w:trPr>
        <w:tc>
          <w:tcPr>
            <w:tcW w:w="5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4060" w:type="dxa"/>
            <w:vAlign w:val="bottom"/>
            <w:gridSpan w:val="3"/>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90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incorporation or organization)</w:t>
            </w:r>
          </w:p>
        </w:tc>
        <w:tc>
          <w:tcPr>
            <w:tcW w:w="4060" w:type="dxa"/>
            <w:vAlign w:val="bottom"/>
            <w:gridSpan w:val="3"/>
          </w:tcPr>
          <w:p>
            <w:pPr>
              <w:jc w:val="center"/>
              <w:ind w:left="1364"/>
              <w:spacing w:after="0"/>
              <w:rPr>
                <w:sz w:val="20"/>
                <w:szCs w:val="20"/>
                <w:color w:val="auto"/>
              </w:rPr>
            </w:pPr>
            <w:r>
              <w:rPr>
                <w:rFonts w:ascii="Arial" w:cs="Arial" w:eastAsia="Arial" w:hAnsi="Arial"/>
                <w:sz w:val="14"/>
                <w:szCs w:val="14"/>
                <w:b w:val="1"/>
                <w:bCs w:val="1"/>
                <w:color w:val="auto"/>
                <w:w w:val="89"/>
              </w:rPr>
              <w:t>Identification No.)</w:t>
            </w:r>
          </w:p>
        </w:tc>
      </w:tr>
      <w:tr>
        <w:trPr>
          <w:trHeight w:val="270"/>
        </w:trPr>
        <w:tc>
          <w:tcPr>
            <w:tcW w:w="5900" w:type="dxa"/>
            <w:vAlign w:val="bottom"/>
          </w:tcPr>
          <w:p>
            <w:pPr>
              <w:jc w:val="center"/>
              <w:ind w:right="38"/>
              <w:spacing w:after="0"/>
              <w:rPr>
                <w:sz w:val="20"/>
                <w:szCs w:val="20"/>
                <w:color w:val="auto"/>
              </w:rPr>
            </w:pPr>
            <w:r>
              <w:rPr>
                <w:rFonts w:ascii="Arial" w:cs="Arial" w:eastAsia="Arial" w:hAnsi="Arial"/>
                <w:sz w:val="18"/>
                <w:szCs w:val="18"/>
                <w:b w:val="1"/>
                <w:bCs w:val="1"/>
                <w:color w:val="auto"/>
                <w:w w:val="86"/>
              </w:rPr>
              <w:t>9110 East Nichols Avenue, Suite 200</w:t>
            </w:r>
          </w:p>
        </w:tc>
        <w:tc>
          <w:tcPr>
            <w:tcW w:w="2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1"/>
        </w:trPr>
        <w:tc>
          <w:tcPr>
            <w:tcW w:w="590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Centennial, Colorado</w:t>
            </w:r>
          </w:p>
        </w:tc>
        <w:tc>
          <w:tcPr>
            <w:tcW w:w="3180" w:type="dxa"/>
            <w:vAlign w:val="bottom"/>
            <w:gridSpan w:val="2"/>
          </w:tcPr>
          <w:p>
            <w:pPr>
              <w:jc w:val="center"/>
              <w:ind w:left="2264"/>
              <w:spacing w:after="0"/>
              <w:rPr>
                <w:sz w:val="20"/>
                <w:szCs w:val="20"/>
                <w:color w:val="auto"/>
              </w:rPr>
            </w:pPr>
            <w:r>
              <w:rPr>
                <w:rFonts w:ascii="Arial" w:cs="Arial" w:eastAsia="Arial" w:hAnsi="Arial"/>
                <w:sz w:val="18"/>
                <w:szCs w:val="18"/>
                <w:b w:val="1"/>
                <w:bCs w:val="1"/>
                <w:color w:val="auto"/>
                <w:w w:val="87"/>
              </w:rPr>
              <w:t>80112-3405</w:t>
            </w:r>
          </w:p>
        </w:tc>
        <w:tc>
          <w:tcPr>
            <w:tcW w:w="880" w:type="dxa"/>
            <w:vAlign w:val="bottom"/>
          </w:tcPr>
          <w:p>
            <w:pPr>
              <w:spacing w:after="0"/>
              <w:rPr>
                <w:sz w:val="20"/>
                <w:szCs w:val="20"/>
                <w:color w:val="auto"/>
              </w:rPr>
            </w:pPr>
          </w:p>
        </w:tc>
      </w:tr>
      <w:tr>
        <w:trPr>
          <w:trHeight w:val="174"/>
        </w:trPr>
        <w:tc>
          <w:tcPr>
            <w:tcW w:w="5900" w:type="dxa"/>
            <w:vAlign w:val="bottom"/>
          </w:tcPr>
          <w:p>
            <w:pPr>
              <w:jc w:val="center"/>
              <w:ind w:right="38"/>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180" w:type="dxa"/>
            <w:vAlign w:val="bottom"/>
            <w:gridSpan w:val="2"/>
          </w:tcPr>
          <w:p>
            <w:pPr>
              <w:jc w:val="center"/>
              <w:ind w:left="2244"/>
              <w:spacing w:after="0"/>
              <w:rPr>
                <w:sz w:val="20"/>
                <w:szCs w:val="20"/>
                <w:color w:val="auto"/>
              </w:rPr>
            </w:pPr>
            <w:r>
              <w:rPr>
                <w:rFonts w:ascii="Arial" w:cs="Arial" w:eastAsia="Arial" w:hAnsi="Arial"/>
                <w:sz w:val="14"/>
                <w:szCs w:val="14"/>
                <w:b w:val="1"/>
                <w:bCs w:val="1"/>
                <w:color w:val="auto"/>
                <w:w w:val="89"/>
              </w:rPr>
              <w:t>(Zip Code)</w:t>
            </w:r>
          </w:p>
        </w:tc>
        <w:tc>
          <w:tcPr>
            <w:tcW w:w="880" w:type="dxa"/>
            <w:vAlign w:val="bottom"/>
          </w:tcPr>
          <w:p>
            <w:pPr>
              <w:spacing w:after="0"/>
              <w:rPr>
                <w:sz w:val="15"/>
                <w:szCs w:val="15"/>
                <w:color w:val="auto"/>
              </w:rPr>
            </w:pPr>
          </w:p>
        </w:tc>
      </w:tr>
      <w:tr>
        <w:trPr>
          <w:trHeight w:val="282"/>
        </w:trPr>
        <w:tc>
          <w:tcPr>
            <w:tcW w:w="8400" w:type="dxa"/>
            <w:vAlign w:val="bottom"/>
            <w:gridSpan w:val="2"/>
          </w:tcPr>
          <w:p>
            <w:pPr>
              <w:jc w:val="center"/>
              <w:ind w:left="2958"/>
              <w:spacing w:after="0"/>
              <w:rPr>
                <w:sz w:val="20"/>
                <w:szCs w:val="20"/>
                <w:color w:val="auto"/>
              </w:rPr>
            </w:pPr>
            <w:r>
              <w:rPr>
                <w:rFonts w:ascii="Arial" w:cs="Arial" w:eastAsia="Arial" w:hAnsi="Arial"/>
                <w:sz w:val="18"/>
                <w:szCs w:val="18"/>
                <w:b w:val="1"/>
                <w:bCs w:val="1"/>
                <w:color w:val="auto"/>
                <w:w w:val="87"/>
              </w:rPr>
              <w:t>Registrant’s telephone number, including area code: (303) 792-3600</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8400" w:type="dxa"/>
            <w:vAlign w:val="bottom"/>
            <w:gridSpan w:val="2"/>
          </w:tcPr>
          <w:p>
            <w:pPr>
              <w:jc w:val="center"/>
              <w:ind w:left="293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6"/>
        </w:trPr>
        <w:tc>
          <w:tcPr>
            <w:tcW w:w="5900" w:type="dxa"/>
            <w:vAlign w:val="bottom"/>
          </w:tcPr>
          <w:p>
            <w:pPr>
              <w:jc w:val="center"/>
              <w:ind w:right="38"/>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4060" w:type="dxa"/>
            <w:vAlign w:val="bottom"/>
            <w:gridSpan w:val="3"/>
          </w:tcPr>
          <w:p>
            <w:pPr>
              <w:jc w:val="center"/>
              <w:ind w:left="1364"/>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174"/>
        </w:trPr>
        <w:tc>
          <w:tcPr>
            <w:tcW w:w="5900" w:type="dxa"/>
            <w:vAlign w:val="bottom"/>
          </w:tcPr>
          <w:p>
            <w:pPr>
              <w:jc w:val="center"/>
              <w:ind w:right="38"/>
              <w:spacing w:after="0"/>
              <w:rPr>
                <w:sz w:val="20"/>
                <w:szCs w:val="20"/>
                <w:color w:val="auto"/>
              </w:rPr>
            </w:pPr>
            <w:r>
              <w:rPr>
                <w:rFonts w:ascii="Arial" w:cs="Arial" w:eastAsia="Arial" w:hAnsi="Arial"/>
                <w:sz w:val="14"/>
                <w:szCs w:val="14"/>
                <w:b w:val="1"/>
                <w:bCs w:val="1"/>
                <w:color w:val="auto"/>
                <w:w w:val="84"/>
              </w:rPr>
              <w:t>(Title of each class)</w:t>
            </w:r>
          </w:p>
        </w:tc>
        <w:tc>
          <w:tcPr>
            <w:tcW w:w="4060" w:type="dxa"/>
            <w:vAlign w:val="bottom"/>
            <w:gridSpan w:val="3"/>
          </w:tcPr>
          <w:p>
            <w:pPr>
              <w:jc w:val="center"/>
              <w:ind w:left="1384"/>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82"/>
        </w:trPr>
        <w:tc>
          <w:tcPr>
            <w:tcW w:w="8400" w:type="dxa"/>
            <w:vAlign w:val="bottom"/>
            <w:gridSpan w:val="2"/>
          </w:tcPr>
          <w:p>
            <w:pPr>
              <w:jc w:val="center"/>
              <w:ind w:left="2958"/>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7"/>
        </w:trPr>
        <w:tc>
          <w:tcPr>
            <w:tcW w:w="8400" w:type="dxa"/>
            <w:vAlign w:val="bottom"/>
            <w:gridSpan w:val="2"/>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jc w:val="center"/>
              <w:ind w:right="72"/>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8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00" w:type="dxa"/>
            <w:vAlign w:val="bottom"/>
            <w:gridSpan w:val="2"/>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88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5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4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340" w:space="720"/>
            <w:col w:w="156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420"/>
            <w:col w:w="160" w:space="100"/>
            <w:col w:w="6080" w:space="720"/>
            <w:col w:w="1940" w:space="34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1440" w:gutter="0" w:footer="0" w:header="0"/>
          <w:type w:val="continuous"/>
        </w:sectPr>
      </w:pPr>
    </w:p>
    <w:p>
      <w:pPr>
        <w:ind w:right="120"/>
        <w:spacing w:after="0" w:line="268" w:lineRule="auto"/>
        <w:rPr>
          <w:sz w:val="20"/>
          <w:szCs w:val="20"/>
          <w:color w:val="auto"/>
        </w:rPr>
      </w:pPr>
      <w:r>
        <w:rPr>
          <w:rFonts w:ascii="Arial" w:cs="Arial" w:eastAsia="Arial" w:hAnsi="Arial"/>
          <w:sz w:val="18"/>
          <w:szCs w:val="18"/>
          <w:color w:val="auto"/>
        </w:rPr>
        <w:t>Based on the closing sales price on June 28, 2012, the aggregate market value of the voting and non-voting common stock held by non-affiliates of the registrant was $731,420,007.</w:t>
      </w:r>
    </w:p>
    <w:p>
      <w:pPr>
        <w:spacing w:after="0" w:line="51" w:lineRule="exact"/>
        <w:rPr>
          <w:sz w:val="24"/>
          <w:szCs w:val="24"/>
          <w:color w:val="auto"/>
        </w:rPr>
      </w:pPr>
    </w:p>
    <w:p>
      <w:pPr>
        <w:ind w:right="900"/>
        <w:spacing w:after="0" w:line="268" w:lineRule="auto"/>
        <w:rPr>
          <w:sz w:val="20"/>
          <w:szCs w:val="20"/>
          <w:color w:val="auto"/>
        </w:rPr>
      </w:pPr>
      <w:r>
        <w:rPr>
          <w:rFonts w:ascii="Arial" w:cs="Arial" w:eastAsia="Arial" w:hAnsi="Arial"/>
          <w:sz w:val="18"/>
          <w:szCs w:val="18"/>
          <w:color w:val="auto"/>
        </w:rPr>
        <w:t>As of February 14, 2013, 57,880,844 shares of the registrant’s common stock (including unvested restricted stock), par value of $0.01 per share, were outstanding.</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Certain portions of the registrant’s definitive proxy statement to be used in connection with its Annual Meeting of Stockholders and to be filed within 120 days of December 27, 2012 are incorporated by reference into Part III, Items 10-14, of this report on Form 10-K.</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53"/>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9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Pr>
          <w:p>
            <w:pPr>
              <w:spacing w:after="0"/>
              <w:rPr>
                <w:sz w:val="24"/>
                <w:szCs w:val="24"/>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9400" w:type="dxa"/>
            <w:vAlign w:val="bottom"/>
            <w:gridSpan w:val="18"/>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1004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004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44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tcPr>
          <w:p>
            <w:pPr>
              <w:jc w:val="center"/>
              <w:ind w:right="494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10040" w:type="dxa"/>
            <w:vAlign w:val="bottom"/>
            <w:gridSpan w:val="19"/>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37</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1004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Changes in and Disagreements With Accountants on Accounting and Financial Disclosure</w:t>
              </w:r>
            </w:hyperlink>
          </w:p>
        </w:tc>
        <w:tc>
          <w:tcPr>
            <w:tcW w:w="3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Controls and Procedures</w:t>
              </w:r>
            </w:hyperlink>
          </w:p>
        </w:tc>
        <w:tc>
          <w:tcPr>
            <w:tcW w:w="8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0040" w:type="dxa"/>
            <w:vAlign w:val="bottom"/>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44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10040" w:type="dxa"/>
            <w:vAlign w:val="bottom"/>
            <w:gridSpan w:val="19"/>
          </w:tcPr>
          <w:p>
            <w:pPr>
              <w:spacing w:after="0" w:line="184" w:lineRule="exact"/>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10040" w:type="dxa"/>
            <w:vAlign w:val="bottom"/>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44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10040" w:type="dxa"/>
            <w:vAlign w:val="bottom"/>
            <w:gridSpan w:val="19"/>
          </w:tcPr>
          <w:p>
            <w:pPr>
              <w:spacing w:after="0" w:line="184" w:lineRule="exact"/>
              <w:rPr>
                <w:rFonts w:ascii="Arial" w:cs="Arial" w:eastAsia="Arial" w:hAnsi="Arial"/>
                <w:sz w:val="18"/>
                <w:szCs w:val="18"/>
                <w:color w:val="0000EE"/>
              </w:rPr>
            </w:pPr>
            <w:hyperlink w:anchor="page61">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61</w:t>
            </w:r>
          </w:p>
        </w:tc>
      </w:tr>
      <w:tr>
        <w:trPr>
          <w:trHeight w:val="196"/>
        </w:trPr>
        <w:tc>
          <w:tcPr>
            <w:tcW w:w="1000" w:type="dxa"/>
            <w:vAlign w:val="bottom"/>
            <w:gridSpan w:val="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90" w:lineRule="exact"/>
        <w:rPr>
          <w:sz w:val="20"/>
          <w:szCs w:val="20"/>
          <w:color w:val="auto"/>
        </w:rPr>
      </w:pPr>
    </w:p>
    <w:p>
      <w:pPr>
        <w:ind w:left="660" w:right="480" w:hanging="206"/>
        <w:spacing w:after="0" w:line="268"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Inc.,” “the Company,” “we,” “us” or “our” refer to National CineMedia, Inc., a Delaware corporation, and its consolidated subsidiary National CineMedia, LLC;</w:t>
      </w:r>
    </w:p>
    <w:p>
      <w:pPr>
        <w:spacing w:after="0" w:line="50" w:lineRule="exact"/>
        <w:rPr>
          <w:rFonts w:ascii="Arial" w:cs="Arial" w:eastAsia="Arial" w:hAnsi="Arial"/>
          <w:sz w:val="18"/>
          <w:szCs w:val="18"/>
          <w:i w:val="1"/>
          <w:iCs w:val="1"/>
          <w:color w:val="auto"/>
        </w:rPr>
      </w:pPr>
    </w:p>
    <w:p>
      <w:pPr>
        <w:ind w:left="660" w:hanging="206"/>
        <w:spacing w:after="0" w:line="259"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59" w:lineRule="exact"/>
        <w:rPr>
          <w:rFonts w:ascii="Arial" w:cs="Arial" w:eastAsia="Arial" w:hAnsi="Arial"/>
          <w:sz w:val="18"/>
          <w:szCs w:val="18"/>
          <w:i w:val="1"/>
          <w:iCs w:val="1"/>
          <w:color w:val="auto"/>
        </w:rPr>
      </w:pPr>
    </w:p>
    <w:p>
      <w:pPr>
        <w:ind w:left="660" w:right="240" w:hanging="206"/>
        <w:spacing w:after="0" w:line="256"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ICON Theatres and American Multi-Cinema, Inc., which became party to an amended and restated exhibitor services agreement, or “ESA,” with NCM LLC upon completion of the IPO;</w:t>
      </w:r>
    </w:p>
    <w:p>
      <w:pPr>
        <w:spacing w:after="0" w:line="62" w:lineRule="exact"/>
        <w:rPr>
          <w:rFonts w:ascii="Arial" w:cs="Arial" w:eastAsia="Arial" w:hAnsi="Arial"/>
          <w:sz w:val="18"/>
          <w:szCs w:val="18"/>
          <w:i w:val="1"/>
          <w:iCs w:val="1"/>
          <w:color w:val="auto"/>
        </w:rPr>
      </w:pPr>
    </w:p>
    <w:p>
      <w:pPr>
        <w:ind w:left="660" w:right="160" w:hanging="206"/>
        <w:spacing w:after="0" w:line="268"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“Cinemark” refers to Cinemark Holdings, Inc. and its subsidiaries, Cinemark Media, Inc., which joined NCM LLC in July 2005, and Cinemark USA, Inc., which became party to an amended and restated ESA with NCM LLC upon completion of the IPO; and</w:t>
      </w:r>
    </w:p>
    <w:p>
      <w:pPr>
        <w:spacing w:after="0" w:line="50" w:lineRule="exact"/>
        <w:rPr>
          <w:rFonts w:ascii="Arial" w:cs="Arial" w:eastAsia="Arial" w:hAnsi="Arial"/>
          <w:sz w:val="18"/>
          <w:szCs w:val="18"/>
          <w:i w:val="1"/>
          <w:iCs w:val="1"/>
          <w:color w:val="auto"/>
        </w:rPr>
      </w:pPr>
    </w:p>
    <w:p>
      <w:pPr>
        <w:ind w:left="660" w:right="140" w:hanging="206"/>
        <w:spacing w:after="0" w:line="259"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ESA with NCM LLC upon completion of the IPO.</w:t>
      </w:r>
    </w:p>
    <w:p>
      <w:pPr>
        <w:spacing w:after="0" w:line="59" w:lineRule="exact"/>
        <w:rPr>
          <w:rFonts w:ascii="Arial" w:cs="Arial" w:eastAsia="Arial" w:hAnsi="Arial"/>
          <w:sz w:val="18"/>
          <w:szCs w:val="18"/>
          <w:i w:val="1"/>
          <w:iCs w:val="1"/>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“ESAs” refers to the amended and restated exhibitor services agreements entered into by NCM LLC with each of NCM LLC’s founding members, as described above, upon completion of NCM, Inc’s IPO.</w:t>
      </w:r>
    </w:p>
    <w:p>
      <w:pPr>
        <w:spacing w:after="0" w:line="5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“Founding members” refers to AMC, Cinemark and Regal.</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“OIBDA” refers to operating income (loss) before depreciation and amortization expense;</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“Adjusted OIBDA” excludes from OIBDA non-cash share based payment costs, deferred stock compensation and severance plan costs; and</w:t>
      </w:r>
    </w:p>
    <w:p>
      <w:pPr>
        <w:spacing w:after="0" w:line="113" w:lineRule="exact"/>
        <w:rPr>
          <w:rFonts w:ascii="Arial" w:cs="Arial" w:eastAsia="Arial" w:hAnsi="Arial"/>
          <w:sz w:val="16"/>
          <w:szCs w:val="16"/>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OIBDA margin” is calculated by dividing Adjusted OIBDA by total revenue.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39"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ESAs or lack of support by NCM LLC’s founding members;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non-competition provisions of the ESAs being deemed unenforceable;</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bankruptcy of one of NCM LLC’s founding members;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national, regional and local economic conditions that may affect the markets in which we operate;</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levels of expenditures on advertising in general and cinema advertising in particular;</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competition within the overall advertising industry;</w:t>
      </w:r>
    </w:p>
    <w:p>
      <w:pPr>
        <w:spacing w:after="0" w:line="90" w:lineRule="exact"/>
        <w:rPr>
          <w:rFonts w:ascii="Arial" w:cs="Arial" w:eastAsia="Arial" w:hAnsi="Arial"/>
          <w:sz w:val="18"/>
          <w:szCs w:val="18"/>
          <w:i w:val="1"/>
          <w:iCs w:val="1"/>
          <w:color w:val="auto"/>
        </w:rPr>
      </w:pPr>
    </w:p>
    <w:p>
      <w:pPr>
        <w:ind w:left="660" w:right="200" w:hanging="206"/>
        <w:spacing w:after="0" w:line="268"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technological changes and innovations, including three-dimensional (“3-D”), digital cinema, alternative methods for delivering movies to consumers and failures or disruptions of our technology systems;</w:t>
      </w:r>
    </w:p>
    <w:p>
      <w:pPr>
        <w:spacing w:after="0" w:line="5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effectively manage or continue our growth;</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popularity of major motion picture releases and level of theatre attendance, including at NCM LLC’s founding members’ theatres;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retain our senior management;</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shifts in population and other demographics;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infringement of our technology on intellectual property rights owned by others;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need for, and ability to obtain, additional funding for acquisitions and operations;</w:t>
      </w:r>
    </w:p>
    <w:p>
      <w:pPr>
        <w:spacing w:after="0" w:line="90" w:lineRule="exact"/>
        <w:rPr>
          <w:rFonts w:ascii="Arial" w:cs="Arial" w:eastAsia="Arial" w:hAnsi="Arial"/>
          <w:sz w:val="18"/>
          <w:szCs w:val="18"/>
          <w:i w:val="1"/>
          <w:iCs w:val="1"/>
          <w:color w:val="auto"/>
        </w:rPr>
      </w:pPr>
    </w:p>
    <w:p>
      <w:pPr>
        <w:ind w:left="660" w:right="500" w:hanging="206"/>
        <w:spacing w:after="0" w:line="268"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NCM LLC’s founding members’ ability to compete with us, influence our affairs and benefit from corporate opportunities that might otherwise be available to us;</w:t>
      </w:r>
    </w:p>
    <w:p>
      <w:pPr>
        <w:spacing w:after="0" w:line="50" w:lineRule="exact"/>
        <w:rPr>
          <w:rFonts w:ascii="Arial" w:cs="Arial" w:eastAsia="Arial" w:hAnsi="Arial"/>
          <w:sz w:val="18"/>
          <w:szCs w:val="18"/>
          <w:i w:val="1"/>
          <w:iCs w:val="1"/>
          <w:color w:val="auto"/>
        </w:rPr>
      </w:pPr>
    </w:p>
    <w:p>
      <w:pPr>
        <w:ind w:left="660" w:right="140" w:hanging="206"/>
        <w:spacing w:after="0" w:line="268"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5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operating costs, capital expenditures, revenue and Adjusted OIBDA;</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future issuance of membership units;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that NCM, Inc. or any of NCM LLC’s founding members is an investment company;</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that any amount of our tax benefits should not have been available;</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market interest rates and stock prices; and</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described under “Risk Factors” or elsewhere in this Annual Report on Form 10-K.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48.6% of the common membership units in NCM LLC as of December 27, 2012. NCM LLC’s founding members, AMC, Cinemark and Regal, the three largest motion picture exhibition companies in the U.S., held the remaining 51.4% of NCM LLC’s common membership units.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NCM LLC has long-term ESAs with NCM LLC’s founding members and multi-year agreements with certain third-party theatre circuits, referred to in this document as “network affiliates,” under network affiliate agreements which expire at various dates. The ESAs and network affiliate agreements grant NCM LLC exclusive rights in their theatres, subject to limited exceptions, to sell advertising and to market and distribute Fathom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operate the largest digital in-theatre media network in North America, through which we sell in-theatre and online advertising, promotions and Fathom Events. Our advertising pre-show called “</w:t>
      </w:r>
      <w:r>
        <w:rPr>
          <w:rFonts w:ascii="Arial" w:cs="Arial" w:eastAsia="Arial" w:hAnsi="Arial"/>
          <w:sz w:val="16"/>
          <w:szCs w:val="16"/>
          <w:i w:val="1"/>
          <w:iCs w:val="1"/>
          <w:color w:val="auto"/>
        </w:rPr>
        <w:t>FirstLook</w:t>
      </w:r>
      <w:r>
        <w:rPr>
          <w:rFonts w:ascii="Arial" w:cs="Arial" w:eastAsia="Arial" w:hAnsi="Arial"/>
          <w:sz w:val="16"/>
          <w:szCs w:val="16"/>
          <w:color w:val="auto"/>
        </w:rPr>
        <w:t>,” lobby entertainment network (“LEN”), programming and Fathom Events are distributed across our digital content network (“DCN”) or live digital broadcast network (“DBN”), utilizing our proprietary digital content software (“DCS”).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derive revenue principally from the following activities:</w:t>
      </w:r>
    </w:p>
    <w:p>
      <w:pPr>
        <w:spacing w:after="0" w:line="90" w:lineRule="exact"/>
        <w:rPr>
          <w:sz w:val="20"/>
          <w:szCs w:val="20"/>
          <w:color w:val="auto"/>
        </w:rPr>
      </w:pPr>
    </w:p>
    <w:p>
      <w:pPr>
        <w:ind w:left="9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Advertising</w:t>
      </w:r>
      <w:r>
        <w:rPr>
          <w:rFonts w:ascii="Arial" w:cs="Arial" w:eastAsia="Arial" w:hAnsi="Arial"/>
          <w:sz w:val="16"/>
          <w:szCs w:val="16"/>
          <w:color w:val="auto"/>
        </w:rPr>
        <w:t>: We develop, produce, sell and distribute several versions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FirstLook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theatre screens, and advertising programming on our LEN.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also sell other forms of advertising and promotions in theatre lobbies and across our online network and mobile apps called </w:t>
      </w:r>
      <w:r>
        <w:rPr>
          <w:rFonts w:ascii="Arial" w:cs="Arial" w:eastAsia="Arial" w:hAnsi="Arial"/>
          <w:sz w:val="16"/>
          <w:szCs w:val="16"/>
          <w:i w:val="1"/>
          <w:iCs w:val="1"/>
          <w:color w:val="auto"/>
        </w:rPr>
        <w:t>Movie Night Out</w:t>
      </w:r>
      <w:r>
        <w:rPr>
          <w:rFonts w:ascii="Arial" w:cs="Arial" w:eastAsia="Arial" w:hAnsi="Arial"/>
          <w:sz w:val="10"/>
          <w:szCs w:val="10"/>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i w:val="1"/>
          <w:iCs w:val="1"/>
          <w:color w:val="auto"/>
        </w:rPr>
        <w:t>CinemaSync</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27, 2012, advertising accounted for 91.2% of our total revenue.</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Fathom Events</w:t>
      </w:r>
      <w:r>
        <w:rPr>
          <w:rFonts w:ascii="Arial" w:cs="Arial" w:eastAsia="Arial" w:hAnsi="Arial"/>
          <w:sz w:val="18"/>
          <w:szCs w:val="18"/>
          <w:color w:val="auto"/>
        </w:rPr>
        <w:t>: We produce, market and distribute entertainment programming through our Fathom division to theatres across our DCN (for pre-recorded events) and DBN (for both live and pre-recorded events). For the year ended December 27, 2012, Fathom Events accounted for 8.8% of our total revenue. See “—Fathom Events” for additional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that the reach and digital delivery capability of our network provide an effective platform for national and local advertisers to reach a large, young and affluent audience on a highly-targeted, engaging and measurable basis. During 2012, approximately 710 million patrons attended movies shown in theatres in which NCM LLC currently has exclusive cinema advertising agreements in place. A summary of the screens in our advertising network is set forth in the table below: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Advertising Network</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5"/>
              </w:rPr>
              <w:t>Fathom Events</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Theatres</w:t>
            </w:r>
          </w:p>
        </w:tc>
        <w:tc>
          <w:tcPr>
            <w:tcW w:w="6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2"/>
              </w:rPr>
              <w:t>Digital Screens</w:t>
            </w:r>
          </w:p>
        </w:tc>
        <w:tc>
          <w:tcPr>
            <w:tcW w:w="14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0"/>
              </w:rPr>
              <w:t>Total Screens</w:t>
            </w: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40" w:type="dxa"/>
            <w:vAlign w:val="bottom"/>
          </w:tcPr>
          <w:p>
            <w:pPr>
              <w:spacing w:after="0"/>
              <w:rPr>
                <w:sz w:val="12"/>
                <w:szCs w:val="12"/>
                <w:color w:val="auto"/>
              </w:rPr>
            </w:pPr>
          </w:p>
        </w:tc>
        <w:tc>
          <w:tcPr>
            <w:tcW w:w="8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Screens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Founding Members</w:t>
            </w: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6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15,528</w:t>
            </w:r>
          </w:p>
        </w:tc>
        <w:tc>
          <w:tcPr>
            <w:tcW w:w="6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Network Affiliates</w:t>
            </w:r>
          </w:p>
        </w:tc>
        <w:tc>
          <w:tcPr>
            <w:tcW w:w="520" w:type="dxa"/>
            <w:vAlign w:val="bottom"/>
          </w:tcPr>
          <w:p>
            <w:pPr>
              <w:jc w:val="right"/>
              <w:spacing w:after="0"/>
              <w:rPr>
                <w:sz w:val="20"/>
                <w:szCs w:val="20"/>
                <w:color w:val="auto"/>
              </w:rPr>
            </w:pPr>
            <w:r>
              <w:rPr>
                <w:rFonts w:ascii="Arial" w:cs="Arial" w:eastAsia="Arial" w:hAnsi="Arial"/>
                <w:sz w:val="18"/>
                <w:szCs w:val="18"/>
                <w:color w:val="auto"/>
              </w:rPr>
              <w:t>364</w:t>
            </w:r>
          </w:p>
        </w:tc>
        <w:tc>
          <w:tcPr>
            <w:tcW w:w="6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3,587</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3,831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19.8%</w:t>
            </w: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18,491</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19,359</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On-Screen Advertising</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Our on-screen digital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show consists of national and local advertising, as well as behind the scenes “making-of” and other entertainment content provided by our content partners. The pre-feature show generally ranges in length from 20 to 30 minutes and ends at or about the advertised show time. We distribute several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including versions that include content and national advertisements that are targeted towards movie ratings, specific films, or groups of films related to specific film genres and local and regional advertisements that play in specific theatre markets or geographic regions. We also distribute a pre-show called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designed for a young audience and played generally before “G” rated animated films. All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 xml:space="preserve">pre-shows are customized with the branding of the theatre circuits in which the programming plays. In April 2010, we began delivering our first three-dimensional (“3-D”) advertising campaigns; within a 3-D version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prior to 3-D films.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majority of our entertainment content segments are provided to us under exclusive multi-year contractual arrangements with leading media, entertainment and technology companies (“content partners”). Under the terms of the contracts, our content partners make available to us original content segments and make commitments (generally for terms of two years) to buy a portion of our advertising inventory at a specified cost per thousand (“CPM”). The original content produced by these content partners typically features behind-the-scenes interviews about the “making-of” feature films, upcoming broadcasts, cable television shows, or technology products. In addition, we have an exclusive two-year agreement with a major wireless communications company to exhibit a 30 second cell phone courtesy public service announcement (“PSA”) reminding moviegoers to silence their cell phones and refrain from texting during the showing of the feature film, and a long-term agreement to display advertising (currently 60 seconds) of NCM LLC’s founding members’ beverage supplier.</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National advertising is sold on a CPM basis, while local and regional advertising is sold on a per-screen, per-week basis. While we generally sell our national advertising units across our national network by film rating or groups of ratings, we also have the ability to sell portions of our network by individual film or film genre grouping. This offers national advertisers a way to target specific audience demographics at various price points and overall cost levels, which expands the number of potential clients.</w:t>
      </w:r>
    </w:p>
    <w:p>
      <w:pPr>
        <w:spacing w:after="0" w:line="143"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and</w:t>
      </w:r>
      <w:r>
        <w:rPr>
          <w:rFonts w:ascii="Arial" w:cs="Arial" w:eastAsia="Arial" w:hAnsi="Arial"/>
          <w:sz w:val="18"/>
          <w:szCs w:val="18"/>
          <w:i w:val="1"/>
          <w:iCs w:val="1"/>
          <w:color w:val="auto"/>
        </w:rPr>
        <w:t xml:space="preserve"> FirstLook Play </w:t>
      </w:r>
      <w:r>
        <w:rPr>
          <w:rFonts w:ascii="Arial" w:cs="Arial" w:eastAsia="Arial" w:hAnsi="Arial"/>
          <w:sz w:val="18"/>
          <w:szCs w:val="18"/>
          <w:color w:val="auto"/>
        </w:rPr>
        <w:t>were created in order to provide a more entertaining pre-feature program for theatre patrons and a more targeted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advertising platform for our advertising clients by integrating local and national video advertising with entertainment content segments primarily provided by our content partners.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FirstLook </w:t>
      </w:r>
      <w:r>
        <w:rPr>
          <w:rFonts w:ascii="Arial" w:cs="Arial" w:eastAsia="Arial" w:hAnsi="Arial"/>
          <w:sz w:val="16"/>
          <w:szCs w:val="16"/>
          <w:color w:val="auto"/>
        </w:rPr>
        <w:t>is comprised of up to four segments, each approximately four to seven minutes in length. Segment four, the first section of</w:t>
      </w:r>
      <w:r>
        <w:rPr>
          <w:rFonts w:ascii="Arial" w:cs="Arial" w:eastAsia="Arial" w:hAnsi="Arial"/>
          <w:sz w:val="16"/>
          <w:szCs w:val="16"/>
          <w:i w:val="1"/>
          <w:iCs w:val="1"/>
          <w:color w:val="auto"/>
        </w:rPr>
        <w:t xml:space="preserve"> FirstLook</w:t>
      </w:r>
      <w:r>
        <w:rPr>
          <w:rFonts w:ascii="Arial" w:cs="Arial" w:eastAsia="Arial" w:hAnsi="Arial"/>
          <w:sz w:val="16"/>
          <w:szCs w:val="16"/>
          <w:color w:val="auto"/>
        </w:rPr>
        <w:t>, begins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 to 25 minutes prior to the advertised show time and generally includes local advertising. Segment three typically begins approximately 18 minutes prior to the advertised show time and features primarily 15 or 30-second local or regional advertisements by individual theatres, or across an entire DMA</w:t>
      </w:r>
      <w:r>
        <w:rPr>
          <w:rFonts w:ascii="Arial" w:cs="Arial" w:eastAsia="Arial" w:hAnsi="Arial"/>
          <w:sz w:val="10"/>
          <w:szCs w:val="10"/>
          <w:color w:val="auto"/>
        </w:rPr>
        <w:t>®</w:t>
      </w:r>
      <w:r>
        <w:rPr>
          <w:rFonts w:ascii="Arial" w:cs="Arial" w:eastAsia="Arial" w:hAnsi="Arial"/>
          <w:sz w:val="16"/>
          <w:szCs w:val="16"/>
          <w:color w:val="auto"/>
        </w:rPr>
        <w:t xml:space="preserve"> or geographic region. Segment three also includes a two and one-half minute entertainment content segment. Segment two and segment one run closest to the advertised show time and feature primarily national and regional advertisements. Both segment two and segment one include a two and one-half minute entertainment content segment provided by our content partners, along with national and regional advertisements which are generally 30 or 60 seconds, including a 60 second advertisement at the end of segment one for the circuits’ beverage supplier. Segment two and segment one begin approximately 13 minutes and 8 minutes, respectively, before the advertised show time.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April 2010, we began selling 3-D advertising that runs prior to select 3-D films. The 3-D advertisements are placed at the end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after a message for patrons to put on 3-D glasses. These 3-D ads provide average advertising CPMs that are higher than average two-dimensional (“2-D”) pricing due primarily to a fewer number of 3-D advertisements and improved recall (based on third-party research) associated with those 3-D ads. Theatre patrons are prompted to put their glasses on prior to the 3-D portion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so they can be kept on throughout the end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during the film trailers and 3-D feature film. This structure is designed to provide a better theatre patron experience.</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27, 2012, approximately 96% of our total screens are part of our DCN representing approximately 97% of our total network attendance. As of December 27, 2012, 14,464 or 78% of 18,491 total digital screens are equipped with more powerful digital cinema projectors, with the remainder comprised of LCD projectors. The non-digital screens display national advertisements on 35 mm film or “rolling stock” and local advertisements using slide carousels.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 time.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We offer multiple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that include advertising content that is appropriate for a specific film or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goal in creating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as a branded entertainment program was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We also offer pre- and post-production services to our clients (primarily local clients), for a fee, to enhance the quality of the content we display.</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time slots for NCM LLC’s founding member and network affiliate advertisements to promote various activities associated with the operations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12 minutes of show time, and the remainder placed at our discretion.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Currently, under the ESAs the last 60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is sold to NCM LLC’s founding members to be used to advertise their beverage concessions. This time is used to satisfy the circuits’ on-screen advertising commitments under their beverage concessionaire agreements. Through 2011, this time was priced on a CPM basis, which increased each year as specified in the ESA. Per the ESA, beginning in 2012, the increase equaled the annual percentage increase in the advertising CPM charged by NCM LLC to unaffiliated third parties during the last few minutes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limited to the highest advertising CPM being then-charged by NCM LLC.</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arrangements with NCM LLC’s founding members relating to on-screen advertising for their beverage concessionaires, the agreements with our content partners and the cell phone PSA represented approximately $127.5 million or 28.4% of our total revenue for the year ended December 27,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Lobby Network and Promotions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Lobby Entertainment Network (LEN). </w:t>
      </w:r>
      <w:r>
        <w:rPr>
          <w:rFonts w:ascii="Arial" w:cs="Arial" w:eastAsia="Arial" w:hAnsi="Arial"/>
          <w:sz w:val="16"/>
          <w:szCs w:val="16"/>
          <w:color w:val="auto"/>
        </w:rPr>
        <w:t>Our LEN is a network of video screens strategically located throughout the lobbies of all of our digitally equipped</w:t>
      </w:r>
      <w:r>
        <w:rPr>
          <w:rFonts w:ascii="Arial" w:cs="Arial" w:eastAsia="Arial" w:hAnsi="Arial"/>
          <w:sz w:val="16"/>
          <w:szCs w:val="16"/>
          <w:i w:val="1"/>
          <w:iCs w:val="1"/>
          <w:color w:val="auto"/>
        </w:rPr>
        <w:t xml:space="preserve"> </w:t>
      </w:r>
      <w:r>
        <w:rPr>
          <w:rFonts w:ascii="Arial" w:cs="Arial" w:eastAsia="Arial" w:hAnsi="Arial"/>
          <w:sz w:val="16"/>
          <w:szCs w:val="16"/>
          <w:color w:val="auto"/>
        </w:rPr>
        <w:t>NCM LLC’s founding members’ theatres and the majority of our network affiliate theatres. As of December 27, 2012, our LEN had 2,966 screens in 1,394 theatres connected to our DCN. The LEN screens are strategically placed in high-traffic locations such as concession stands and film queuing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theatre and the same program is displayed simultaneously on all lobby screens within a given theatre, which we believe provides the maximum impact for our advertisers. We sell national and local advertising on the LEN individually or bundled with on-screen or other lobby promotions. The LEN programming includes up to two minutes for NCM LLC’s founding members’ advertisements to promote activities associated with the operation of the theatres, including concessions, ticketing partners, gift card and loyalty programs, special events presented by the theatre operator and vendors of services provided to theatres, so long as such promotion is incidental to the vendor’s service. Additionally, subject to certain limitations, the LEN programming includes up to two minutes (one minute of which we provide to NCM LLC’s founding members at no cost and one minute of which NCM LLC’s founding members may purchase) to promote certain non-exclusive cross-marketing relationships entered into by the theatre operators for the purpose of increasing theatre attendance, which we call strategic programs.</w:t>
      </w:r>
    </w:p>
    <w:p>
      <w:pPr>
        <w:spacing w:after="0" w:line="12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terms of the ESAs, NCM LLC’s founding members also have the right to install additional screens in their theatre lobbies, which would not display our LEN programming, but would be used to promote strategic programs or their theatre concessions, ticketing partners, gift card and loyalty programs, special events presented by NCM LLC’s founding member and vendors of services provided to theatres, so long as such promotion is incidental to the vendor’s service.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on-screen or LEN advertising. Lobby promotions typically include:</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advertising on tickets and concession items such as beverage cups, popcorn bags and kids’ trays;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coupons and promotional materials, which are customizable by film or film rating category and are distributed to ticket buyers at the box office;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sampling and display;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Under the terms of the ESAs, NCM LLC’s founding members may conduct a limited number of lobby promotions at no charge in connection with the promotion of motion pictures and their strategic programs; however, such activities will not reduce the lobby promotions inventory available to us.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Branded Entertainment Websites and Mobile Applications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We have a business website,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three consumer facing websites, </w:t>
      </w:r>
      <w:r>
        <w:rPr>
          <w:rFonts w:ascii="Arial" w:cs="Arial" w:eastAsia="Arial" w:hAnsi="Arial"/>
          <w:sz w:val="16"/>
          <w:szCs w:val="16"/>
          <w:i w:val="1"/>
          <w:iCs w:val="1"/>
          <w:color w:val="auto"/>
        </w:rPr>
        <w:t>firstlookonline.com</w:t>
      </w:r>
      <w:r>
        <w:rPr>
          <w:rFonts w:ascii="Arial" w:cs="Arial" w:eastAsia="Arial" w:hAnsi="Arial"/>
          <w:sz w:val="16"/>
          <w:szCs w:val="16"/>
          <w:color w:val="auto"/>
        </w:rPr>
        <w:t xml:space="preserve">,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and mobile apps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 Night Out</w:t>
      </w:r>
      <w:r>
        <w:rPr>
          <w:rFonts w:ascii="Arial" w:cs="Arial" w:eastAsia="Arial" w:hAnsi="Arial"/>
          <w:sz w:val="10"/>
          <w:szCs w:val="10"/>
          <w:color w:val="auto"/>
        </w:rPr>
        <w:t>®</w:t>
      </w:r>
      <w:r>
        <w:rPr>
          <w:rFonts w:ascii="Arial" w:cs="Arial" w:eastAsia="Arial" w:hAnsi="Arial"/>
          <w:sz w:val="16"/>
          <w:szCs w:val="16"/>
          <w:color w:val="auto"/>
        </w:rPr>
        <w:t xml:space="preserve">. We launched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color w:val="auto"/>
        </w:rPr>
        <w:t xml:space="preserve"> and will continue to expand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color w:val="auto"/>
        </w:rPr>
        <w:t xml:space="preserve"> distribution to create a much more important marketing tool for our theatre partners and advertising clients.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color w:val="auto"/>
        </w:rPr>
        <w:t xml:space="preserve"> allows our theater partners to engage directly with their patrons to market tickets for upcoming films and concession products. It also provides a unique marketing tool for our local and national advertising clients who can use it to distribute coupons and other value-added elements by syncing to consumer’s smart phones during the playing of ads and content segments 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or on our lobby network. Our consumer facing websites and mobile apps extend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in order to expand our advertising reach to online and mobile consumers and provide an opportunity to create a unique integrated bundle of marketing products for our clients. We also have an online advertising network through selling and marketing relationships with several movie and entertainment related online websites and mobile app publishers. We are developing and operating our websites and mobile apps through our existing media production and technology group and selling the advertising on our advertising network through a small digital sales group and our existing national and local sales organizations. As these online and mobile activities are supported primarily through our existing staff and infrastructure, we believe that digital revenue and additional in-theatre integrated marketing packages can be developed with limited incremental investment and operating costs. We will employ several marketing strategies to attract patrons to our websites and promote the download and usage of our mobile apps including placing ads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As of December 27, 2012, our online advertising network included 41 entertainment websites (including our 100% owned sites), with approximately 65 million unique visitors monthly. This vertically integrated online ad network provides advertisers the ability to target online entertainment consumers while providing publishers a way to benefit from NCM’s sales infrastructure and the integration and bundling with NCM LLC’s in-theatre network.</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Fathom Events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Fathom Events business focuses on the marketing and distribution across our digital network of live and pre-recorded entertainment programming to theatre operators to provide additional programs to augment their feature film schedule. We believe our network provides a highly attractive high-definition distribution network to content owners to be used for individual programs or program series and also creates promotional opportunities for national brands through event sponsorships. Our Fathom Consumer events have included live and pre-recorded concerts featuring contemporary music, opera and symphony, DVD product releases and marketing events, theatrical premieres, Broadway plays, live sporting events and other special events. In 2010 we distributed our first live 3-D event in select theatres. Event content is broadcast live over our DBN or on a pre-recorded basis over both our DBN and DCN and may be encrypted for piracy protection. As of December 27, 2012, our network has the capability to deliver:</w:t>
      </w:r>
    </w:p>
    <w:p>
      <w:pPr>
        <w:spacing w:after="0" w:line="3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live high-definition content to 1,089 auditoriums with up to four screens per theatre;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high-definition pre-recorded content to virtually all of our 18,491 digital screens on our DCN network.</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advertise our Fathom Consumer events either through a digital trailer shown after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or advertisements during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using designated slots and/or unsold advertising inventory, on lobby posters, on our LEN, our various websites and mobile apps and in some cases through radio trade-outs or paid media in select publications. We have strategic alliances with several live content promotion companies, retail brands and other owners of entertainment content. We believe that these and other new relationships that we are establishing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will provide us with a consistent supply of programming as a Fathom relationship provides additional marketing channels for bands, promoters and content owners. In 2012, our events included the New York Metropolitan Opera (“Met”), Singin’ in the Rain, TCM Event Series, Casablanca, RiffTrax Live, DCI Tour and Star Trek to name just a few of the 90 event nights we held during 2012. This represents a 13.5% decrease over the 104 event nights during 2011 as we began to focus on a quality versus quantity strategy.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first quarter of 2012, the Company restructured Fathom Events by winding down its Fathom Business Events division to place more focus on the Fathom Consumer Events division. The Company continued to operate the Fathom Business Events division for a portion of the first quarter of 2012 to satisfy contractual obligations for events and will continue to execute business events on a periodic basis for existing long-term Fathom clients, or if requested by NCM LLC’s founding members or to support events staged for NCM’s major advertising clients. In fact, among the consumer events in 2012 we executed several national, multisite/multicircuit business events that were related to long-term clients of the Fathom Business Events division.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In-Theatre Advertising</w:t>
      </w:r>
      <w:r>
        <w:rPr>
          <w:rFonts w:ascii="Arial" w:cs="Arial" w:eastAsia="Arial" w:hAnsi="Arial"/>
          <w:sz w:val="18"/>
          <w:szCs w:val="18"/>
          <w:color w:val="auto"/>
        </w:rPr>
        <w:t>. We sell our in-theatre and online advertising products and event sponsorships through our national and local sales teams. We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our advertising products through our marketing group located primarily in our New York City sales office.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27, 2012, we had 37 advertising sales and client development related personnel (including management and sales support staff) within our national sales group. During 2012, approximately 33% of the total compensation of the national sales staff was related to bonus or commission, which is based on achieving certain team sales targets in order to enhance coordination and teamwork. Our national sales organization has proven to be highly profitable and scalable as we have not added a significant number of sales personnel as our network has expanded. Our national sales staff is located in our sales offices in New York City, Woodland Hills (outside Los Angeles) and Chicago.</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local and regional advertising sales staff, comprised of account directors and telesales representatives, is located throughout the country, with each covering an average of approximately 116 screens per representative. Their responsibility is to sell cinema advertising to local clients as well as larger regional advertisers. During 2012, approximately 75% of the compensation for local sales staff was based on an individual sales commission on collected sales. As our network and local business grows, it may require the addition of sales personnel to cover the new markets or screens. As of December 27, 2012, we had 176 sales personnel (including management and sales support staff) within our local and regional sales groups, the majority of which work out of their homes located within the markets they sell.</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Over the past several years, we have increased our national and local advertising revenue by expanding the number of clients and client categories through sales outreach and several marketing tactics, including expansion and improvement of research provided to clients and the addition of client development executives. We aggressively market and sell directly to clients as well as advertising agencies. We also on occasion place advertising in national trade publications, and commission third-party market research to assist our sales team. We believe that improved research regarding cinema advertising and our network has provided our customers with compelling statistical evidence of the superiority of our advertising products relative to television and other traditional advertising mediums based on metrics such as brand recognition, message recall, and likeability. In addition, we believe that we are capturing an increasing market share from traditional advertising media platforms such as broadcast TV, by establishing cinema advertising as a more accountable and effective advertising medium relative to other media. As of December 27, 2012, we had 35 personnel based primarily in New York and Denver that focus on the marketing, research and public relations aspects of our advertising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Fathom Events</w:t>
      </w:r>
      <w:r>
        <w:rPr>
          <w:rFonts w:ascii="Arial" w:cs="Arial" w:eastAsia="Arial" w:hAnsi="Arial"/>
          <w:sz w:val="16"/>
          <w:szCs w:val="16"/>
          <w:color w:val="auto"/>
        </w:rPr>
        <w:t>. As of December 27, 2012 we had a staff of 27 (including management and sales support staff) that is dedicated to sales, including a staff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13 that market our Fathom Events business. In fiscal year 2012, we held 90 Fathom Consumer events (a decrease of 13.5% over 2011) attended by approximately 2.2 million patrons (an increase of 3.6% over 2011). Fathom Consumer events are marketed primarily using designated and unsold inventory 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digital trailers after </w:t>
      </w:r>
      <w:r>
        <w:rPr>
          <w:rFonts w:ascii="Arial" w:cs="Arial" w:eastAsia="Arial" w:hAnsi="Arial"/>
          <w:sz w:val="16"/>
          <w:szCs w:val="16"/>
          <w:i w:val="1"/>
          <w:iCs w:val="1"/>
          <w:color w:val="auto"/>
        </w:rPr>
        <w:t>FirstLook</w:t>
      </w:r>
      <w:r>
        <w:rPr>
          <w:rFonts w:ascii="Arial" w:cs="Arial" w:eastAsia="Arial" w:hAnsi="Arial"/>
          <w:sz w:val="16"/>
          <w:szCs w:val="16"/>
          <w:color w:val="auto"/>
        </w:rPr>
        <w:t>, one sheets and other marketing materials in theatre lobbies, through our websites, our mobile apps and internet sites of our programming partners and other cross-marketing activities including radio and cable TV advertising.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Media and Creative Services</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Our media and creative services department uses state of the art, proprietary and non-proprietary technologies and practices to ensure the consistent image and sound quality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Fathom Event content distributed over our network, creating the highest possible cinema quality presentation for </w:t>
      </w:r>
      <w:r>
        <w:rPr>
          <w:rFonts w:ascii="Arial" w:cs="Arial" w:eastAsia="Arial" w:hAnsi="Arial"/>
          <w:sz w:val="16"/>
          <w:szCs w:val="16"/>
          <w:i w:val="1"/>
          <w:iCs w:val="1"/>
          <w:color w:val="auto"/>
        </w:rPr>
        <w:t>FirstLook</w:t>
      </w:r>
      <w:r>
        <w:rPr>
          <w:rFonts w:ascii="Arial" w:cs="Arial" w:eastAsia="Arial" w:hAnsi="Arial"/>
          <w:sz w:val="16"/>
          <w:szCs w:val="16"/>
          <w:color w:val="auto"/>
        </w:rPr>
        <w:t>, LEN presentations and all of our other in-theatre marketing products, associated with our Fathom Events business. We believe the expertise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group in optimizing content for cinema playback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Fathom Events and our internet sites and mobile apps, has been instrumental in our ability to provide a better experience for the theatre patron and to enhance our ability to attract and retain our on-screen advertising clients, build and retain relationships with network affiliates and market our Fathom Events. We provide a full spectrum of 2-D and 3-D production and post-production services to our advertising clients on a per contract fee basis, including audio enhancements, color correction and noise reduction. As part of our post-production process when required we “up-convert” the standard definition content that we receive from our national clients and regional clients to a high-definition video and quality cinema surround sound audio format, ensuring a high quality, high impact presentation of our clients’ content and advertisements. Our expertise in cinematic production and our ability to tailor advertisements developed for television to a high-definition cinema playback format facilitates the ability of national advertisers to display content originally provided for television thus optimizing their original investment to the big-screen presentation. We also offer creative and production services to our clients (primarily local clients), developing full sight, sound and motion high-definition advertisements from concept to completion. This service substantially reduces the obstacles for smaller clients to invest in cinema-quality advertising and ensures a higher quality presentation for cinema patrons. During 2012, we produced and performed post-production services for approximately 57% of the local advertisements that played across our networks. NCM LLC’s founding members also engage us for the production of their on-screen concession product advertisements and policy trailers.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 and Other Corporate Branding</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utilize our digital media expertise, our proprietary DCS and various digital network technologies to deliver a high quality cinema advertising pre-show and live and pre-recorded Fathom Events to our network theatres. These technologies facilitate the delivery of a high-quality entertainment experience and provide advertising clients a lower cost and more programming flexibility than the 35 mm “rolling stock” still used to deliver cinema advertising in many theatres throughout the U.S. (including 4% of the screens in our network). Moreover, our technology allows significant operational and scheduling flexibility to our advertising clients that can target various demographic groups by location, film rating or film title and measure advertising audience size and efficiently monitor and provide audit data of the on-screen playback.</w:t>
      </w:r>
    </w:p>
    <w:p>
      <w:pPr>
        <w:spacing w:after="0" w:line="14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We employ two satellite networks to distribute content to our theatres. Our DCN, which is the combination of a satellite distribution network and a terrestrial network, to distribute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content to 18,491 digital screens (96% of the total), 1,432 theatres and over 3.6 million seats, representing 97% of the total attendance of our advertising network as of December 27, 2012. Our DBN satellite network is used to support our live Fathom Events by broadcasting live feeds to over 1,000 screens in over 730 theatres and approximately 263,000 theatre seats.</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satellite technology we use provides a cost-effective means to deliver live and pre-recorded digital content to theatres. We employ a variety of technologies that “wrap” around the satellite process to help provide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uninterrupted service to theatres. For example, our proprietary DCS has automated implementation capabilities that allow for data files to be multicast to theatres throughout our DCN. Our digital content system operated in our network operations center (“NOC”) combined with in-theatre systems that are connected to the Alternative Content Engine (“ACE”) are interfaced with our satellite provider network to dynamically control the quality, placement, timing of playback and completeness of content within specific auditoriums. The integrated DCN (including the DCS software) is controlled by our NOC in our Centennial, Colorado headquarters, which supports and monitors approximately 72,500 network hardware devices and more than 460,000 maintenance alarm technology points on the network as of December 27, 2012.</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Through our NOC, we have access to and can monitor and initiate repairs to the equipment in our entire digital network of theatres. Our NOC operates 24 hours a day, seven days a week. Digital content is uploaded from our NOC and distributed through the DCN to theatres in advance of playback. The content is delivered via multicast technology to all theatres in our network and received by our theatre management system where it is held until displayed in specified theatre auditoriums according to its contract terms. Each theatre auditorium has a hardware and software architecture that controls the content to be shown in the auditoriums or over the LEN in the theatre lobby. After the theatre management system receives digital content, confirmation of content playback is returned via satellite to our NOC to be included in “post” reports provided to our advertising clients.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Superior National Advertising Network</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believe that our national advertising network delivers measurable results versus television, online and mobile or other video advertising networks, by allowing for effective targeting of marketing messages to a large, young and affluent audience, yielding a superior return on investment for advertisers as compared to traditional national and local media platforms. As a result, we are able to compete more effectively for marketing spending by local and national advertisers through our relationships with a diversified group of local and national advertisers and agencies throughout the U.S. The following are the key competitive strengths of our advertising network:</w:t>
      </w:r>
    </w:p>
    <w:p>
      <w:pPr>
        <w:spacing w:after="0" w:line="56" w:lineRule="exact"/>
        <w:rPr>
          <w:sz w:val="20"/>
          <w:szCs w:val="20"/>
          <w:color w:val="auto"/>
        </w:rPr>
      </w:pPr>
    </w:p>
    <w:p>
      <w:pPr>
        <w:ind w:left="900" w:right="100" w:hanging="325"/>
        <w:spacing w:after="0" w:line="262"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Extensive National Market Coverage. </w:t>
      </w:r>
      <w:r>
        <w:rPr>
          <w:rFonts w:ascii="Arial" w:cs="Arial" w:eastAsia="Arial" w:hAnsi="Arial"/>
          <w:sz w:val="18"/>
          <w:szCs w:val="18"/>
          <w:color w:val="auto"/>
        </w:rPr>
        <w:t>Our contractual agreements with NCM LLC’s founding members and network affiliates provide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access, subject to limited exceptions, to the largest network of digitally equipped theatres in the U.S. and allow us to sell advertising nationwide which we distribute using our advertising network. As of December 27, 2012:</w:t>
      </w:r>
    </w:p>
    <w:p>
      <w:pPr>
        <w:spacing w:after="0" w:line="57" w:lineRule="exact"/>
        <w:rPr>
          <w:rFonts w:ascii="Arial" w:cs="Arial" w:eastAsia="Arial" w:hAnsi="Arial"/>
          <w:sz w:val="18"/>
          <w:szCs w:val="18"/>
          <w:color w:val="auto"/>
        </w:rPr>
      </w:pPr>
    </w:p>
    <w:p>
      <w:pPr>
        <w:jc w:val="both"/>
        <w:ind w:left="1480" w:right="200" w:hanging="446"/>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advertising network included 18,491 digital screens (14,904 operated by NCM LLC’s founding members) and 19,359 screens in total (15,528 operated by NCM LLC’s founding members) located in 1,529 theatres (1,165 operated by NCM LLC’s founding members) in 48 states and the District of Columbia;</w:t>
      </w:r>
    </w:p>
    <w:p>
      <w:pPr>
        <w:spacing w:after="0" w:line="59" w:lineRule="exact"/>
        <w:rPr>
          <w:rFonts w:ascii="Arial" w:cs="Arial" w:eastAsia="Arial" w:hAnsi="Arial"/>
          <w:sz w:val="18"/>
          <w:szCs w:val="18"/>
          <w:color w:val="auto"/>
        </w:rPr>
      </w:pPr>
    </w:p>
    <w:p>
      <w:pPr>
        <w:ind w:left="1480" w:right="60" w:hanging="446"/>
        <w:spacing w:after="0" w:line="306"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total annual advertising network theatre attendance was approximately 690.4 million, which increased 8.4% compared to 2011 (577.3 million from NCM LLC’s founding members). Our network represented approximately 53% of the total U.S. theatre attendance, with some of the most modern and highly attended theatres in the industry, as measured by screens per location and attendance per screen;</w:t>
      </w:r>
    </w:p>
    <w:p>
      <w:pPr>
        <w:spacing w:after="0" w:line="25" w:lineRule="exact"/>
        <w:rPr>
          <w:rFonts w:ascii="Arial" w:cs="Arial" w:eastAsia="Arial" w:hAnsi="Arial"/>
          <w:sz w:val="16"/>
          <w:szCs w:val="16"/>
          <w:color w:val="auto"/>
        </w:rPr>
      </w:pPr>
    </w:p>
    <w:p>
      <w:pPr>
        <w:ind w:left="1480" w:right="160" w:hanging="446"/>
        <w:spacing w:after="0" w:line="306"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average screens per theatre in our network was 12.7 screens, 1.8 times the U.S. theatre industry average, and the aggregate annual attendance per screen of theatres included in our network during 2012 was 36,140, versus the U.S. theatre industry average attendance per indoor screen of 35,013, using metrics reported by the National Association of Theatre Owners (“NATO”);</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36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advertising network had theatres in the largest U.S. markets, including each of the top 25 DMAs</w:t>
      </w:r>
      <w:r>
        <w:rPr>
          <w:rFonts w:ascii="Arial" w:cs="Arial" w:eastAsia="Arial" w:hAnsi="Arial"/>
          <w:sz w:val="11"/>
          <w:szCs w:val="11"/>
          <w:color w:val="auto"/>
        </w:rPr>
        <w:t>®</w:t>
      </w:r>
      <w:r>
        <w:rPr>
          <w:rFonts w:ascii="Arial" w:cs="Arial" w:eastAsia="Arial" w:hAnsi="Arial"/>
          <w:sz w:val="18"/>
          <w:szCs w:val="18"/>
          <w:color w:val="auto"/>
        </w:rPr>
        <w:t>, 49 of the top 50 DMAs</w:t>
      </w:r>
      <w:r>
        <w:rPr>
          <w:rFonts w:ascii="Arial" w:cs="Arial" w:eastAsia="Arial" w:hAnsi="Arial"/>
          <w:sz w:val="11"/>
          <w:szCs w:val="11"/>
          <w:color w:val="auto"/>
        </w:rPr>
        <w:t>®</w:t>
      </w:r>
      <w:r>
        <w:rPr>
          <w:rFonts w:ascii="Arial" w:cs="Arial" w:eastAsia="Arial" w:hAnsi="Arial"/>
          <w:sz w:val="18"/>
          <w:szCs w:val="18"/>
          <w:color w:val="auto"/>
        </w:rPr>
        <w:t>, and 172 DMAs</w:t>
      </w:r>
      <w:r>
        <w:rPr>
          <w:rFonts w:ascii="Arial" w:cs="Arial" w:eastAsia="Arial" w:hAnsi="Arial"/>
          <w:sz w:val="11"/>
          <w:szCs w:val="11"/>
          <w:color w:val="auto"/>
        </w:rPr>
        <w:t>®</w:t>
      </w:r>
      <w:r>
        <w:rPr>
          <w:rFonts w:ascii="Arial" w:cs="Arial" w:eastAsia="Arial" w:hAnsi="Arial"/>
          <w:sz w:val="18"/>
          <w:szCs w:val="18"/>
          <w:color w:val="auto"/>
        </w:rPr>
        <w:t xml:space="preserve"> in total;</w:t>
      </w:r>
    </w:p>
    <w:p>
      <w:pPr>
        <w:spacing w:after="0" w:line="5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73% of our screens (76% of our attendance) were located within the top 50 U.S. DMAs</w:t>
      </w:r>
      <w:r>
        <w:rPr>
          <w:rFonts w:ascii="Arial" w:cs="Arial" w:eastAsia="Arial" w:hAnsi="Arial"/>
          <w:sz w:val="11"/>
          <w:szCs w:val="11"/>
          <w:color w:val="auto"/>
        </w:rPr>
        <w:t>®</w:t>
      </w:r>
      <w:r>
        <w:rPr>
          <w:rFonts w:ascii="Arial" w:cs="Arial" w:eastAsia="Arial" w:hAnsi="Arial"/>
          <w:sz w:val="18"/>
          <w:szCs w:val="18"/>
          <w:color w:val="auto"/>
        </w:rPr>
        <w:t xml:space="preserve"> and approximately 32% of our screens (38% of our attendance) were located within the top 10 U.S. DMAs</w:t>
      </w:r>
      <w:r>
        <w:rPr>
          <w:rFonts w:ascii="Arial" w:cs="Arial" w:eastAsia="Arial" w:hAnsi="Arial"/>
          <w:sz w:val="11"/>
          <w:szCs w:val="11"/>
          <w:color w:val="auto"/>
        </w:rPr>
        <w: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theatres within our advertising network represented approximately 69%, 68%, and 66% of the total theatre attendance in theatres that showed national advertising in the top 10, top 25 and top 50 U.S. DMAs</w:t>
      </w:r>
      <w:r>
        <w:rPr>
          <w:rFonts w:ascii="Arial" w:cs="Arial" w:eastAsia="Arial" w:hAnsi="Arial"/>
          <w:sz w:val="11"/>
          <w:szCs w:val="11"/>
          <w:color w:val="auto"/>
        </w:rPr>
        <w:t>®</w:t>
      </w:r>
      <w:r>
        <w:rPr>
          <w:rFonts w:ascii="Arial" w:cs="Arial" w:eastAsia="Arial" w:hAnsi="Arial"/>
          <w:sz w:val="18"/>
          <w:szCs w:val="18"/>
          <w:color w:val="auto"/>
        </w:rPr>
        <w:t>, respectively and 63% for all DMAs</w:t>
      </w:r>
      <w:r>
        <w:rPr>
          <w:rFonts w:ascii="Arial" w:cs="Arial" w:eastAsia="Arial" w:hAnsi="Arial"/>
          <w:sz w:val="11"/>
          <w:szCs w:val="11"/>
          <w:color w:val="auto"/>
        </w:rPr>
        <w:t>®</w:t>
      </w:r>
      <w:r>
        <w:rPr>
          <w:rFonts w:ascii="Arial" w:cs="Arial" w:eastAsia="Arial" w:hAnsi="Arial"/>
          <w:sz w:val="18"/>
          <w:szCs w:val="18"/>
          <w:color w:val="auto"/>
        </w:rPr>
        <w:t>, providing a very attractive platform for national advertisers who want exposure in larger markets or on a national basis and</w:t>
      </w:r>
    </w:p>
    <w:p>
      <w:pPr>
        <w:spacing w:after="0" w:line="59" w:lineRule="exact"/>
        <w:rPr>
          <w:rFonts w:ascii="Arial" w:cs="Arial" w:eastAsia="Arial" w:hAnsi="Arial"/>
          <w:sz w:val="18"/>
          <w:szCs w:val="18"/>
          <w:color w:val="auto"/>
        </w:rPr>
      </w:pPr>
    </w:p>
    <w:p>
      <w:pPr>
        <w:ind w:left="1480" w:right="80" w:hanging="446"/>
        <w:spacing w:after="0" w:line="259"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end of 2013, we expect approximately 85% of our digital screens and over 95% of NCM LLC’s founding member digital screens will be connected to higher quality digital cinema projectors that will further improve the on-screen presentation for advertisers and allow us to display 3-D advertising in most of our network theatres.</w:t>
      </w:r>
    </w:p>
    <w:p>
      <w:pPr>
        <w:spacing w:after="0" w:line="59"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We plan to continue to expand our network through the addition of new network affiliates and theatres built or acquired by our founding members and existing network affiliates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terms of the ESAs and common unit adjustment agreement all new theatres built or acquired (subject to existing advertising sales agreements) by NCM LLC’s founding members will become part of our network. This expansion will continue to improve our geographic coverage and enhance our ability to compete with other national advertising mediums.</w:t>
      </w:r>
    </w:p>
    <w:p>
      <w:pPr>
        <w:spacing w:after="0" w:line="26" w:lineRule="exact"/>
        <w:rPr>
          <w:sz w:val="20"/>
          <w:szCs w:val="20"/>
          <w:color w:val="auto"/>
        </w:rPr>
      </w:pPr>
    </w:p>
    <w:p>
      <w:pPr>
        <w:ind w:left="900" w:right="12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Targeted, Flexible Advertising Medium. </w:t>
      </w:r>
      <w:r>
        <w:rPr>
          <w:rFonts w:ascii="Arial" w:cs="Arial" w:eastAsia="Arial" w:hAnsi="Arial"/>
          <w:sz w:val="18"/>
          <w:szCs w:val="18"/>
          <w:color w:val="auto"/>
        </w:rPr>
        <w:t>Our digital network technology gives us flexibility to distribute content to specific theatres or screens,</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regions, or demographic groups based on film title, film rating category or film genre. As a result, our clients can deliver a targeted advertising message, using high quality sight, sound and motion across our entire national digital network. Further, our technology provides distribution lead times that are comparable to television and reduces our advertising clients’ operating costs, enabling us to respond quickly to client requests to change advertising content.</w:t>
      </w:r>
    </w:p>
    <w:p>
      <w:pPr>
        <w:spacing w:after="0" w:line="57" w:lineRule="exact"/>
        <w:rPr>
          <w:rFonts w:ascii="Arial" w:cs="Arial" w:eastAsia="Arial" w:hAnsi="Arial"/>
          <w:sz w:val="18"/>
          <w:szCs w:val="18"/>
          <w:color w:val="auto"/>
        </w:rPr>
      </w:pPr>
    </w:p>
    <w:p>
      <w:pPr>
        <w:ind w:left="900" w:hanging="325"/>
        <w:spacing w:after="0" w:line="320"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Access to a Highly Attractive Demographic Segment. </w:t>
      </w:r>
      <w:r>
        <w:rPr>
          <w:rFonts w:ascii="Arial" w:cs="Arial" w:eastAsia="Arial" w:hAnsi="Arial"/>
          <w:sz w:val="15"/>
          <w:szCs w:val="15"/>
          <w:color w:val="auto"/>
        </w:rPr>
        <w:t>We offer advertisers the ability to reach young and affluent consumers. According to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Nielsen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Cinema Audience Reports </w:t>
      </w:r>
      <w:r>
        <w:rPr>
          <w:rFonts w:ascii="Arial" w:cs="Arial" w:eastAsia="Arial" w:hAnsi="Arial"/>
          <w:sz w:val="15"/>
          <w:szCs w:val="15"/>
          <w:color w:val="auto"/>
        </w:rPr>
        <w:t>for the first half of 2012, 45% of the NCM audience were between the ages of 12-34. Further, 32% of moviegoers have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household income greater than $100,000 (vs. 21.9% of the U.S. population according to the 2012 Census) and 43% have received a Bachelor’s degree or higher (vs. 27.9% of the U.S. Population according to the 2012 Census), according to the </w:t>
      </w:r>
      <w:r>
        <w:rPr>
          <w:rFonts w:ascii="Arial" w:cs="Arial" w:eastAsia="Arial" w:hAnsi="Arial"/>
          <w:sz w:val="15"/>
          <w:szCs w:val="15"/>
          <w:i w:val="1"/>
          <w:iCs w:val="1"/>
          <w:color w:val="auto"/>
        </w:rPr>
        <w:t>GfK MRI 2010 TwelvePlus Study</w:t>
      </w:r>
      <w:r>
        <w:rPr>
          <w:rFonts w:ascii="Arial" w:cs="Arial" w:eastAsia="Arial" w:hAnsi="Arial"/>
          <w:sz w:val="15"/>
          <w:szCs w:val="15"/>
          <w:color w:val="auto"/>
        </w:rPr>
        <w:t>. We believe that this demographic is highly coveted by advertisers and is far more effectively reached in cinema than in most traditional media platforms.</w:t>
      </w:r>
    </w:p>
    <w:p>
      <w:pPr>
        <w:spacing w:after="0" w:line="11" w:lineRule="exact"/>
        <w:rPr>
          <w:rFonts w:ascii="Arial" w:cs="Arial" w:eastAsia="Arial" w:hAnsi="Arial"/>
          <w:sz w:val="15"/>
          <w:szCs w:val="15"/>
          <w:color w:val="auto"/>
        </w:rPr>
      </w:pPr>
    </w:p>
    <w:p>
      <w:pPr>
        <w:ind w:left="900" w:right="8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Engaged Theatre Audience. </w:t>
      </w:r>
      <w:r>
        <w:rPr>
          <w:rFonts w:ascii="Arial" w:cs="Arial" w:eastAsia="Arial" w:hAnsi="Arial"/>
          <w:sz w:val="18"/>
          <w:szCs w:val="18"/>
          <w:color w:val="auto"/>
        </w:rPr>
        <w:t>We believe that cinema advertising benefits from the impact of the big screen, high quality visual presentation,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surround sound presented in an engaged, distraction-free theatre environment. Cinema advertising is one of the few media platforms in which the viewer does not have the ability to skip or turn off the marketing messages. According to industry studies, theatre advertising is more effective than advertising shown on television as measured by unaided recall rates. We believe that the impact of our on-screen advertising (representing 94% of our total advertising revenue) presentation will be further enhanced by the new high quality digital cinema equipment currently being installed in our network theatres.</w:t>
      </w:r>
    </w:p>
    <w:p>
      <w:pPr>
        <w:spacing w:after="0" w:line="58" w:lineRule="exact"/>
        <w:rPr>
          <w:rFonts w:ascii="Arial" w:cs="Arial" w:eastAsia="Arial" w:hAnsi="Arial"/>
          <w:sz w:val="18"/>
          <w:szCs w:val="18"/>
          <w:color w:val="auto"/>
        </w:rPr>
      </w:pPr>
    </w:p>
    <w:p>
      <w:pPr>
        <w:ind w:left="900" w:right="20" w:hanging="325"/>
        <w:spacing w:after="0" w:line="29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Superior Audience Measurability. </w:t>
      </w:r>
      <w:r>
        <w:rPr>
          <w:rFonts w:ascii="Arial" w:cs="Arial" w:eastAsia="Arial" w:hAnsi="Arial"/>
          <w:sz w:val="16"/>
          <w:szCs w:val="16"/>
          <w:color w:val="auto"/>
        </w:rPr>
        <w:t>We receive monthly attendance information by film, by rating and by screen for all of NCM LLC’s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 theatres and the theatres operated by our network affiliates, which allows us to report to clients the audience size for each showing of a film and our pre-show. We also obtain third-party research that provides us with the percentage of the total attendance that is in their seats at various times prior to the advertised show time. The sharing of this information with our national clients gives us a distinct competitive advantage over traditional media platforms that are based on significant extrapolations of a very small sample of the total audience.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NCM Inc.’s February 2007 IPO, NCM LLC’s founding members have added approximately 2,500 net new screens to our network and 26 network affiliates have been added with approximately 2,900 screens. During 2012, we added several new network affiliate theatres circuits to our national network including: Cinema Supply, Incorporated, Dickinson Theatres, Inc., Far Away Entertainment, King Theatres Circuit LLC, Star Cinema Grill, Texas Cinemas, Corp., O’Neil Entertainment Group, United Entertainment Corp, Fairchild Cinemas, Inc., Loeks Theatres, Inc. (Celebration! Cinema), Kerasotes ICON Theatres and Rocky Mountain Cinemas, Inc. d.b.a. Aurora Cinema Grill, and during the fourth quarter of 2012 and the first quarter of 2013 we have contracted to add HM Theaters, Inc. and Marquee Cinemas, Inc., both of which will join our advertising network in early 2013. In total, these contracted new affiliate theatres that have joined our network during 2012 and early 2013 are expected to add approximately 25 million new attendees on a full-year pro-forma basis, which we expect will result in approximately 350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2013 and beyond. We believe that the continued growth of our network will expand our national reach and geographic coverage to strengthen our selling proposition and competitive positioning versus television, online, mobile and other national, regional and local video advertising platforms.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Scalable, State-of-the-Art Digital Content Distribution Technology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use of the combination of a satellite and terrestrial network technology, combined with the design and functionality of our DCS and NOC infrastructure make our network efficient and scalable and allow us to target specific audiences desired by our advertising clients and provide scheduling flexibility that is similar to advertising on television. Our proprietary DCS provides many distribution, scheduling, reporting and auditing features. We currently playback over 3.3 million digital content files per day through our DCS. Our DCS also provides the ability to program advertisements from our NOC as required by advertising clients, which shortens lead times and provides increased flexibility to change messages or target specific audiences for our advertising clients. Through our separate DBN, we currently distribute live programming to over 730 locations.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27, 2012, our advertising network has approximately 18,491 digital screens, covering approximately 97% of our network attendance. In 2010, we began to connect our DCN to the higher quality digital cinema projectors being installed by NCM LLC’s founding members and network affiliates. These digital cinema projectors provide a much higher quality 2-D image and the ability to project 3-D advertising on screens that are equipped with 3-D playback technology.</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NOC, DCS and other network software also provide us with the capability to directly monitor over 72,400 in-theatre network devices and 460,000 maintenance alarm technology points within our theatre network on a near real-time 24/7 basis as of December 27, 2012, providing high network reliability and timely reporting as required by our advertising clients. The scalability of our NOC and distribution technology has allowed us to increase the number of devices and alarm points since our IPO with minimal additional capital expenditures or personnel, and we expect to benefit from this scalability in the future as we add new theatres operated by NCM LLC’s founding members and from existing network affiliate relationships and the addition of new network affiliate circuits. During 2010 and 2011 we installed in select theatres a new device that we created to monitor sound levels in theatre auditoriums and report any variations from pre-set standards to our NOC. This provides us with an additional value proposition for our advertising clients versus television, online, mobile and other competing national media networks.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Branded Digital Pre-Feature Content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We believe that our digital entertainment and advertising pre-feature programs,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(whose target audience is young children), provide a high-quality entertainment experience for patrons and an effective marketing platform for advertisers. We have branded our pre-feature shows, </w:t>
      </w:r>
      <w:r>
        <w:rPr>
          <w:rFonts w:ascii="Arial" w:cs="Arial" w:eastAsia="Arial" w:hAnsi="Arial"/>
          <w:sz w:val="16"/>
          <w:szCs w:val="16"/>
          <w:i w:val="1"/>
          <w:iCs w:val="1"/>
          <w:color w:val="auto"/>
        </w:rPr>
        <w:t>FirstLook</w:t>
      </w:r>
      <w:r>
        <w:rPr>
          <w:rFonts w:ascii="Arial" w:cs="Arial" w:eastAsia="Arial" w:hAnsi="Arial"/>
          <w:sz w:val="16"/>
          <w:szCs w:val="16"/>
          <w:color w:val="auto"/>
        </w:rPr>
        <w:t>, to reinforce our goal of creating the “first release window” for advertising into the marketplace, similar to the way that films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are released first in cinemas. We partner with leading media, auto, entertainment and technology companies to provide more original content for the audience and more impact for the advertiser. We have designed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programs with separate local and national “pods,” consistent with the placement on television networks. During 2010 we began to produce a 3-D segment of </w:t>
      </w:r>
      <w:r>
        <w:rPr>
          <w:rFonts w:ascii="Arial" w:cs="Arial" w:eastAsia="Arial" w:hAnsi="Arial"/>
          <w:sz w:val="16"/>
          <w:szCs w:val="16"/>
          <w:i w:val="1"/>
          <w:iCs w:val="1"/>
          <w:color w:val="auto"/>
        </w:rPr>
        <w:t>FirstLook</w:t>
      </w:r>
      <w:r>
        <w:rPr>
          <w:rFonts w:ascii="Arial" w:cs="Arial" w:eastAsia="Arial" w:hAnsi="Arial"/>
          <w:sz w:val="16"/>
          <w:szCs w:val="16"/>
          <w:color w:val="auto"/>
        </w:rPr>
        <w:t>. We believe the ability to distribute 3-D advertisements across our national network is a unique selling proposition versus television, online and mobile and thus will enhance our national advertising revenue growth in the future.</w:t>
      </w:r>
    </w:p>
    <w:p>
      <w:pPr>
        <w:spacing w:after="0" w:line="11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relationships with our content partners under exclusive multi-year contractual agreements, provide high quality entertainment content that is dispersed throughout the show. The multi-year contracts with our content partners, our cell phone courtesy PSA, and arrangements to satisfy NCM LLC’s founding members’ on-screen marketing obligations to their beverage concessionaires provide a significant up-front revenue commitment, accounting for 28.4% of our total revenue for the year ended December 27, 2012. According to customer research conducted by us and independent research companies, the production of a higher quality branded pre-feature program improves the entertainment experience for patrons as well as the effectiveness of the advertising message.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Marketing Products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Along with our on-screen advertising opportunities, we offer advertisers the opportunity to integrate and reinforce their on-screen advertisements with various online and mobile marketing, in-lobby and Fathom Event sponsorships.</w:t>
      </w:r>
    </w:p>
    <w:p>
      <w:pPr>
        <w:spacing w:after="0" w:line="51" w:lineRule="exact"/>
        <w:rPr>
          <w:sz w:val="20"/>
          <w:szCs w:val="20"/>
          <w:color w:val="auto"/>
        </w:rPr>
      </w:pPr>
    </w:p>
    <w:p>
      <w:pPr>
        <w:ind w:left="1120" w:right="300" w:hanging="207"/>
        <w:spacing w:after="0" w:line="256"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online and mobile marketing products include advertisement placement on our </w:t>
      </w:r>
      <w:r>
        <w:rPr>
          <w:rFonts w:ascii="Arial" w:cs="Arial" w:eastAsia="Arial" w:hAnsi="Arial"/>
          <w:sz w:val="18"/>
          <w:szCs w:val="18"/>
          <w:i w:val="1"/>
          <w:iCs w:val="1"/>
          <w:color w:val="auto"/>
        </w:rPr>
        <w:t>firstlookonline.com</w:t>
      </w:r>
      <w:r>
        <w:rPr>
          <w:rFonts w:ascii="Arial" w:cs="Arial" w:eastAsia="Arial" w:hAnsi="Arial"/>
          <w:sz w:val="18"/>
          <w:szCs w:val="18"/>
          <w:color w:val="auto"/>
        </w:rPr>
        <w:t xml:space="preserve">, </w:t>
      </w:r>
      <w:r>
        <w:rPr>
          <w:rFonts w:ascii="Arial" w:cs="Arial" w:eastAsia="Arial" w:hAnsi="Arial"/>
          <w:sz w:val="18"/>
          <w:szCs w:val="18"/>
          <w:i w:val="1"/>
          <w:iCs w:val="1"/>
          <w:color w:val="auto"/>
        </w:rPr>
        <w:t>FathomEvents.com,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movienightout.com </w:t>
      </w:r>
      <w:r>
        <w:rPr>
          <w:rFonts w:ascii="Arial" w:cs="Arial" w:eastAsia="Arial" w:hAnsi="Arial"/>
          <w:sz w:val="18"/>
          <w:szCs w:val="18"/>
          <w:color w:val="auto"/>
        </w:rPr>
        <w:t>websites and on our</w:t>
      </w:r>
      <w:r>
        <w:rPr>
          <w:rFonts w:ascii="Arial" w:cs="Arial" w:eastAsia="Arial" w:hAnsi="Arial"/>
          <w:sz w:val="18"/>
          <w:szCs w:val="18"/>
          <w:i w:val="1"/>
          <w:iCs w:val="1"/>
          <w:color w:val="auto"/>
        </w:rPr>
        <w:t xml:space="preserve"> Movie Night Out</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CinemaSync</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mobile apps, and throughout websites that are part of our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network that as of December 27, 2012 includes 41 entertainment websites (including our 100% owned sites) with approximately 65 million monthly unique visitors.</w:t>
      </w:r>
    </w:p>
    <w:p>
      <w:pPr>
        <w:spacing w:after="0" w:line="62" w:lineRule="exact"/>
        <w:rPr>
          <w:rFonts w:ascii="Arial" w:cs="Arial" w:eastAsia="Arial" w:hAnsi="Arial"/>
          <w:sz w:val="18"/>
          <w:szCs w:val="18"/>
          <w:color w:val="auto"/>
        </w:rPr>
      </w:pPr>
    </w:p>
    <w:p>
      <w:pPr>
        <w:ind w:left="1120" w:right="120" w:hanging="207"/>
        <w:spacing w:after="0" w:line="256"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in-lobby marketing programs include advertisements displayed on high-definition television screens, posters, tickets, box office coupon handouts, popcorn bags and beverage cups and on-site product sampling opportunities. According to </w:t>
      </w:r>
      <w:r>
        <w:rPr>
          <w:rFonts w:ascii="Arial" w:cs="Arial" w:eastAsia="Arial" w:hAnsi="Arial"/>
          <w:sz w:val="18"/>
          <w:szCs w:val="18"/>
          <w:i w:val="1"/>
          <w:iCs w:val="1"/>
          <w:color w:val="auto"/>
        </w:rPr>
        <w:t>Nielsen Media Research</w:t>
      </w:r>
      <w:r>
        <w:rPr>
          <w:rFonts w:ascii="Arial" w:cs="Arial" w:eastAsia="Arial" w:hAnsi="Arial"/>
          <w:sz w:val="18"/>
          <w:szCs w:val="18"/>
          <w:color w:val="auto"/>
        </w:rPr>
        <w:t xml:space="preserve"> studies conducted during 2011, movie patrons spend, on average, approximately ten minutes in the theatre lobby (before, during and after the last movie that they viewed in the theatre).</w:t>
      </w:r>
    </w:p>
    <w:p>
      <w:pPr>
        <w:spacing w:after="0" w:line="62" w:lineRule="exact"/>
        <w:rPr>
          <w:rFonts w:ascii="Arial" w:cs="Arial" w:eastAsia="Arial" w:hAnsi="Arial"/>
          <w:sz w:val="18"/>
          <w:szCs w:val="18"/>
          <w:color w:val="auto"/>
        </w:rPr>
      </w:pPr>
    </w:p>
    <w:p>
      <w:pPr>
        <w:ind w:left="1120" w:right="80" w:hanging="207"/>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Fathom Events sponsorships provide companies the opportunity to associate their brand with Fathom Events as part of in-theatre and online and mobile event advertising as well as during event pre-shows.</w:t>
      </w:r>
    </w:p>
    <w:p>
      <w:pPr>
        <w:spacing w:after="0" w:line="50" w:lineRule="exact"/>
        <w:rPr>
          <w:rFonts w:ascii="Arial" w:cs="Arial" w:eastAsia="Arial" w:hAnsi="Arial"/>
          <w:sz w:val="18"/>
          <w:szCs w:val="18"/>
          <w:color w:val="auto"/>
        </w:rPr>
      </w:pPr>
    </w:p>
    <w:p>
      <w:pPr>
        <w:ind w:left="1120" w:right="120" w:hanging="207"/>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chief creative officer, other creative personnel and our marketing team assist advertisers in creating entertaining, fully integrated online and cinema marketing campaigns with maximum impact.</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Exposing patrons to an integrated marketing campaign of online, mobile, in-lobby, Fathom Events marketing products and on-screen advertising creates a consistent marketing message through multiple touch points during the entire cinema experience. The marketing interaction for our clients begins when consumers choose a film or event online or on mobile devices and continues through the subsequent entertainment experience in the theatre, lobbies, and through marketing pre-shows prior to the feature film or Fathom Events and extends beyond the theatre experience through subsequent online/mobile interaction. We believe these multiple marketing impressions through the entire entertainment experience allows our advertisers to extend the exposure for their brands and products and create a more engaging “relationship” with the consumer that is not available with broadcast or cable television or traditional display advertising.</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Strong Operating Margins with Limited Capital Requirements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annual Adjusted OIBDA margins have been consistently strong, ranging from approximately 49% to 52% over the last five years. See “Item 6. Selected Financial Data-Notes to the Selected Historical Financial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Operating Data” for a discussion of the calculation of Adjusted OIBDA margin and the reconciliation to operating income. In addition, NCM LLC’s founding members and their Digital Cinema Integration Partners, LLC (“DCIP”) joint venture have invested substantial capital to deploy, expand and upgrade the network equipment within their theatres including the recent deployment of the higher quality digital cinema equipment. Due to the network equipment investments made by NCM LLC’s founding members and DCIP joint venture in new and acquired theatres and the requirements in the ESAs to make future investments for equipment replacements, and the scalable nature of our NOC and other infrastructure, we do not expect to make major capital investments to grow our operations as our network of theatres expands. The combination of our strong operating margins and our limited capital expenditures, ranging from approximately 2% to 5% of revenues over the last five years, has allowed us to generate significant unlevered free cash flow (defined as operating income (or loss) before depreciation and amortization expense and minus capital expenditures) before distributions to NCM LLC’s owners. For the year ended December 27, 2012, our capital expenditures were $10.4 million, of which $3.2 million related to investments in network equipment to add new network affiliate theatres. We believe our expected level of unlevered free cash flow generation should provide us with the strategic and financial flexibility to pursue the further expansion of our national theatre network, invest in other growth opportunities and continue to make dividend payments to our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that the digital evolution of the media business coupled with our unique asset base and management competencies will provide us with an opportunity to become a new breed of powerful national digital media network that will gain market share within the broader media marketplace. Our primary strategic initiatives are 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and Improve the Quality of Our Theatre Network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Expanding our Geographic Coverage and National Reach</w:t>
      </w:r>
      <w:r>
        <w:rPr>
          <w:rFonts w:ascii="Arial" w:cs="Arial" w:eastAsia="Arial" w:hAnsi="Arial"/>
          <w:sz w:val="16"/>
          <w:szCs w:val="16"/>
          <w:color w:val="auto"/>
        </w:rPr>
        <w:t>. We continue to expand the reach and geographic coverage of our national digital network by</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connecting additional theatres to our network that NCM LLC’s founding members buy or build and by establishing additional network affiliate agreements with other theatre circuits. The ESAs require that all of NCM LLC’s founding members’ new or acquired theatres be added to our network in return for the issuance of new NCM LLC units. Our strategy is to continue to expand our theatre network through the acquisition and new construction activities of NCM LLC’s founding members and by creating new relationships with new regionally located network affiliates with theatres in smaller markets where we do not currently have significant market coverage. By increasing our advertising reach and broadening our geographic coverage, we believe we will be better able to compete with other national media platforms such as television networks and new emerging advertising platforms distributed over the internet and on mobile devices.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Improving the Technical Quality and Content Presentation of Our Network. </w:t>
      </w:r>
      <w:r>
        <w:rPr>
          <w:rFonts w:ascii="Arial" w:cs="Arial" w:eastAsia="Arial" w:hAnsi="Arial"/>
          <w:sz w:val="16"/>
          <w:szCs w:val="16"/>
          <w:color w:val="auto"/>
        </w:rPr>
        <w:t>In 2010, we began the transition of our production and distribution capabilities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new digital cinema platform, including the ability to distribute and display 3-D advertising and events. The industry rollout of the digital cinema equipment for feature films began in 2010 when the DCIP financing was completed by our three NCM LLC’s founding members’ theatre circuits and is expected to be completed in our founding member theatres in early 2013. These new systems will not only provide higher quality 2-D images, they will also give us the capability to provide 3-D advertising and 3-D live and pre-recorded events. In April 2010 we launched our 3-D advertising strategy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in 2011 began to roll-out the ability to distribute 3-D ads digitally across our network. It is expected that by the end of 2013 approximately 85% of our digital screens and over 95% of NCM LLC’s founding member digital screens will be equipped with the new digital cinema equipment. As of</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December 27, 2012 we had 14,464 screens within our digital network that were connected to digital cinema projection equipment, representing approximately 75% of our network. In order to provide for the connection of the new higher quality digital cinema equipment to our advertising and Fathom networks, we agreed to an amendment of the ESAs that will increase NCM LLC’s founding member theatre access fee over time as the digital cinema system is connected to our advertising network. In addition to the digital cinema integration, we and certain of our theatre partners have installed sound monitoring and other devices that capture sound levels in certain auditorium and enables us to monitor them electronically from our NOC or through communications with the circuit. This innovation provides sound level data that is measured at the point of consumer consumption, which is a unique service we offer to our advertisers. We are also continually upgrading our DCS distribution software to provide more effective targeting of advertisements toward specific theatre audiences.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Advertising Client Base</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i w:val="1"/>
          <w:iCs w:val="1"/>
          <w:color w:val="auto"/>
        </w:rPr>
        <w:t>National Advertising</w:t>
      </w:r>
      <w:r>
        <w:rPr>
          <w:rFonts w:ascii="Arial" w:cs="Arial" w:eastAsia="Arial" w:hAnsi="Arial"/>
          <w:sz w:val="15"/>
          <w:szCs w:val="15"/>
          <w:color w:val="auto"/>
        </w:rPr>
        <w:t>. We intend to increase our market share of U.S. advertising spending and our advertising inventory utilization by expanding our</w:t>
      </w:r>
      <w:r>
        <w:rPr>
          <w:rFonts w:ascii="Arial" w:cs="Arial" w:eastAsia="Arial" w:hAnsi="Arial"/>
          <w:sz w:val="15"/>
          <w:szCs w:val="15"/>
          <w:i w:val="1"/>
          <w:iCs w:val="1"/>
          <w:color w:val="auto"/>
        </w:rPr>
        <w:t xml:space="preserve"> </w:t>
      </w:r>
      <w:r>
        <w:rPr>
          <w:rFonts w:ascii="Arial" w:cs="Arial" w:eastAsia="Arial" w:hAnsi="Arial"/>
          <w:sz w:val="15"/>
          <w:szCs w:val="15"/>
          <w:color w:val="auto"/>
        </w:rPr>
        <w:t>relationships with existing advertising clients and by broadening our advertising client base associated with new client categories and by expanding the number of clients in categories that are already utilizing our network. Our national sales team has been successful in this effort, as during 2011 and 2012, we added 31 and</w:t>
      </w:r>
    </w:p>
    <w:p>
      <w:pPr>
        <w:spacing w:after="0" w:line="1"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23 first-time clients, respectively and added 5 and 7 additional clients, respectively that had not advertised with us since our IPO, which clients include categories such as apparel, banks, cable television, department stores, financial products and services, home audio equipment, hotels and resorts, import auto, insurance, internet, liquor, movie studios, non-profit, prepared foods, shipping, telecom, tourism, toys and video games. We expanded our client base by approximately 57% over the past three years from the number of clients that have done business with us since 2006 through 2009. Despite this growth, we believe there are still thousands of clients that currently advertise on television or the internet that do not use our network. For instance, our share of spending by clients in the QSR, consumer package goods (“CPG”) and retailer categories, among other categories, is relatively low compared to television. In addition to the continued expansion of our network, we are aggressively marketing and selling the positive attributes of our network relative to other mediums, including a unique integrated marketing product that bundles our in-theatre, online/mobile and Fathom Events sponsorship platforms. Beginning in 2012 we also began to participate in the television up front process, including a presentation in New York City in early May during the “TV Up Front” week. This “up front strategy” has begun to yield positive results as the amount of national advertising commitments we had booked going into 2013 increased approximately 4% versus 2012. We believe that over time, these tactics will help increase our market share of spending by more clients and client categories. We also believe that our ability to attract new clients will be enhanced as we expand our capabilities to distribute 3-D advertisements as we increase the number of digital cinema projectors in our network.</w:t>
      </w:r>
    </w:p>
    <w:p>
      <w:pPr>
        <w:spacing w:after="0" w:line="11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Local advertising</w:t>
      </w:r>
      <w:r>
        <w:rPr>
          <w:rFonts w:ascii="Arial" w:cs="Arial" w:eastAsia="Arial" w:hAnsi="Arial"/>
          <w:sz w:val="16"/>
          <w:szCs w:val="16"/>
          <w:color w:val="auto"/>
        </w:rPr>
        <w:t>. In addition to continuing to add high quality local salespeople to properly cover the expanding number of screens in our network,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also continued to strengthen regional sales positions to focus exclusively on larger local clients, such as car dealer associations, state lotteries and insurance companies, that operate across an entire DMA</w:t>
      </w:r>
      <w:r>
        <w:rPr>
          <w:rFonts w:ascii="Arial" w:cs="Arial" w:eastAsia="Arial" w:hAnsi="Arial"/>
          <w:sz w:val="10"/>
          <w:szCs w:val="10"/>
          <w:color w:val="auto"/>
        </w:rPr>
        <w:t>®</w:t>
      </w:r>
      <w:r>
        <w:rPr>
          <w:rFonts w:ascii="Arial" w:cs="Arial" w:eastAsia="Arial" w:hAnsi="Arial"/>
          <w:sz w:val="16"/>
          <w:szCs w:val="16"/>
          <w:color w:val="auto"/>
        </w:rPr>
        <w:t>, multiple DMAs</w:t>
      </w:r>
      <w:r>
        <w:rPr>
          <w:rFonts w:ascii="Arial" w:cs="Arial" w:eastAsia="Arial" w:hAnsi="Arial"/>
          <w:sz w:val="10"/>
          <w:szCs w:val="10"/>
          <w:color w:val="auto"/>
        </w:rPr>
        <w:t>®</w:t>
      </w:r>
      <w:r>
        <w:rPr>
          <w:rFonts w:ascii="Arial" w:cs="Arial" w:eastAsia="Arial" w:hAnsi="Arial"/>
          <w:sz w:val="16"/>
          <w:szCs w:val="16"/>
          <w:color w:val="auto"/>
        </w:rPr>
        <w:t xml:space="preserve"> or states. We have also begun to provide access to better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inventory for our regional advertising clients. These strategies have proven successful, and we are continuing to expand this regional strategy to other client categories, including QSR, casual dining and tourism. We aggressively market our local and regional advertising products, including direct marketing campaigns to businesses within a specified radius of our network theatres. These successful campaigns are often bundled with theatre lobby promotions and onscreen advertising. Due to the relatively low percentage of local advertising inventory sold today in many of our theatres, we believe that a growth opportunity exists for our local and regional business. We have also benefited from our efforts to reduce local salesperson attrition, providing balanced commissions and benefit packages and training and other corporate support.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Internet/Mobile Platform</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Advertising clients are increasingly seeking new ways to create integrated marketing solutions across multiple digital platforms. By bundling our in-theatre marketing products with online and mobile inventory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provided by our consumer websites </w:t>
      </w:r>
      <w:r>
        <w:rPr>
          <w:rFonts w:ascii="Arial" w:cs="Arial" w:eastAsia="Arial" w:hAnsi="Arial"/>
          <w:sz w:val="16"/>
          <w:szCs w:val="16"/>
          <w:i w:val="1"/>
          <w:iCs w:val="1"/>
          <w:color w:val="auto"/>
        </w:rPr>
        <w:t>firstlookonline.com, fathomevents.com, movienightout.com,</w:t>
      </w:r>
      <w:r>
        <w:rPr>
          <w:rFonts w:ascii="Arial" w:cs="Arial" w:eastAsia="Arial" w:hAnsi="Arial"/>
          <w:sz w:val="16"/>
          <w:szCs w:val="16"/>
          <w:color w:val="auto"/>
        </w:rPr>
        <w:t xml:space="preserve"> our mobile apps </w:t>
      </w:r>
      <w:r>
        <w:rPr>
          <w:rFonts w:ascii="Arial" w:cs="Arial" w:eastAsia="Arial" w:hAnsi="Arial"/>
          <w:sz w:val="16"/>
          <w:szCs w:val="16"/>
          <w:i w:val="1"/>
          <w:iCs w:val="1"/>
          <w:color w:val="auto"/>
        </w:rPr>
        <w:t>Movie Night Out</w:t>
      </w:r>
      <w:r>
        <w:rPr>
          <w:rFonts w:ascii="Arial" w:cs="Arial" w:eastAsia="Arial" w:hAnsi="Arial"/>
          <w:sz w:val="10"/>
          <w:szCs w:val="10"/>
          <w:color w:val="auto"/>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color w:val="auto"/>
        </w:rPr>
        <w:t xml:space="preserve"> and the 41 entertainment websites (including our 100% owned sites) that are part of our online advertising network, we allow clients to benefit from a bundle of digital marketing products focused on the entertainment consumer. Our online advertising network, launched in 2009, and our </w:t>
      </w:r>
      <w:r>
        <w:rPr>
          <w:rFonts w:ascii="Arial" w:cs="Arial" w:eastAsia="Arial" w:hAnsi="Arial"/>
          <w:sz w:val="16"/>
          <w:szCs w:val="16"/>
          <w:i w:val="1"/>
          <w:iCs w:val="1"/>
          <w:color w:val="auto"/>
        </w:rPr>
        <w:t>Movie Night Out</w:t>
      </w:r>
      <w:r>
        <w:rPr>
          <w:rFonts w:ascii="Arial" w:cs="Arial" w:eastAsia="Arial" w:hAnsi="Arial"/>
          <w:sz w:val="10"/>
          <w:szCs w:val="10"/>
          <w:color w:val="auto"/>
        </w:rPr>
        <w:t>®</w:t>
      </w:r>
      <w:r>
        <w:rPr>
          <w:rFonts w:ascii="Arial" w:cs="Arial" w:eastAsia="Arial" w:hAnsi="Arial"/>
          <w:sz w:val="16"/>
          <w:szCs w:val="16"/>
          <w:color w:val="auto"/>
        </w:rPr>
        <w:t xml:space="preserve"> mobile app, launched in 2010, create an entertainment focused advertising network that provides smaller entertainment websites access to our national and local sales force as well as rich media widgets and other content created by our media production group. As of December 27, 2012, our </w:t>
      </w:r>
      <w:r>
        <w:rPr>
          <w:rFonts w:ascii="Arial" w:cs="Arial" w:eastAsia="Arial" w:hAnsi="Arial"/>
          <w:sz w:val="16"/>
          <w:szCs w:val="16"/>
          <w:i w:val="1"/>
          <w:iCs w:val="1"/>
          <w:color w:val="auto"/>
        </w:rPr>
        <w:t>Movie Night Out</w:t>
      </w:r>
      <w:r>
        <w:rPr>
          <w:rFonts w:ascii="Arial" w:cs="Arial" w:eastAsia="Arial" w:hAnsi="Arial"/>
          <w:sz w:val="10"/>
          <w:szCs w:val="10"/>
          <w:color w:val="auto"/>
        </w:rPr>
        <w:t>®</w:t>
      </w:r>
      <w:r>
        <w:rPr>
          <w:rFonts w:ascii="Arial" w:cs="Arial" w:eastAsia="Arial" w:hAnsi="Arial"/>
          <w:sz w:val="16"/>
          <w:szCs w:val="16"/>
          <w:color w:val="auto"/>
        </w:rPr>
        <w:t xml:space="preserve"> mobile app had nearly 1.8 million downloads. In early 2012 we launched our mobile app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color w:val="auto"/>
        </w:rPr>
        <w:t xml:space="preserve"> in order to allow our clients to use their on-screen ads to engage movie-goers’ through their smart phones. Once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color w:val="auto"/>
        </w:rPr>
        <w:t xml:space="preserve"> is more widely distributed we expect it will provide a unique integrated marketing tool for our clients that can be bundled with our on-screen and lobby marketing products. During 2013 we will be working with our theatre partners and several movie related app publishers to integrate the </w:t>
      </w:r>
      <w:r>
        <w:rPr>
          <w:rFonts w:ascii="Arial" w:cs="Arial" w:eastAsia="Arial" w:hAnsi="Arial"/>
          <w:sz w:val="16"/>
          <w:szCs w:val="16"/>
          <w:i w:val="1"/>
          <w:iCs w:val="1"/>
          <w:color w:val="auto"/>
        </w:rPr>
        <w:t>CinemaSync</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into their apps.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Restructure Our Fathom Events to Focus on the Consumer Division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first quarter of 2012, the Company restructured its Fathom Events business by winding down its Fathom Business Events division, to place more focus on the Fathom Consumer Events division. The Company continued to operate the Fathom Business Events division for a portion of the first quarter of 2012 to satisfy contractual obligations for events and may continue to execute business events on a periodic basis for existing long-term Fathom clients, or if requested by NCM LLC’s founding members or to support events staged for NCM’s major advertising clients. By focusing on our Fathom Consumer division we plan to to expand the geographic reach of our Fathom live 2-D and 3-D events distribution network and improve its technical capabilities by connecting it to higher quality digital cinema projectors. This will allow us to compete more effectively with other national media networks for entertainment content and consumer attention. All of our digital screens have the capability to receive and project pre-recorded content and many locations have the capability to show live 3-D programming. As of December 27, 2012 we had over 740 live DBN locations with over 1,000 screens and approximately 263,000 seats in 98 of the top 100 DMAs</w:t>
      </w:r>
      <w:r>
        <w:rPr>
          <w:rFonts w:ascii="Arial" w:cs="Arial" w:eastAsia="Arial" w:hAnsi="Arial"/>
          <w:sz w:val="10"/>
          <w:szCs w:val="10"/>
          <w:color w:val="auto"/>
        </w:rPr>
        <w:t>®</w:t>
      </w:r>
      <w:r>
        <w:rPr>
          <w:rFonts w:ascii="Arial" w:cs="Arial" w:eastAsia="Arial" w:hAnsi="Arial"/>
          <w:sz w:val="16"/>
          <w:szCs w:val="16"/>
          <w:color w:val="auto"/>
        </w:rPr>
        <w:t>, and 172 DMAs</w:t>
      </w:r>
      <w:r>
        <w:rPr>
          <w:rFonts w:ascii="Arial" w:cs="Arial" w:eastAsia="Arial" w:hAnsi="Arial"/>
          <w:sz w:val="10"/>
          <w:szCs w:val="10"/>
          <w:color w:val="auto"/>
        </w:rPr>
        <w:t>®</w:t>
      </w:r>
      <w:r>
        <w:rPr>
          <w:rFonts w:ascii="Arial" w:cs="Arial" w:eastAsia="Arial" w:hAnsi="Arial"/>
          <w:sz w:val="16"/>
          <w:szCs w:val="16"/>
          <w:color w:val="auto"/>
        </w:rPr>
        <w:t xml:space="preserve"> in total. We expect to continue to leverage our unique national 2-D broadcast capabilities and expanding 3-D capabilities to attract more high quality sporting, concert and other high quality programming. We have also begun to leverage our media sales and marketing capabilities by selling Fathom event sponsorships to provide event production funding, cross-marketing opportunities and incremental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NCM LLC’s founding members.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secured U.S. trademark registrations for NCM, National CineMedia, NCM Media Networks, Movie Night Out and CinemaSync and have applied for several others.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Advertising Customers. </w:t>
      </w:r>
      <w:r>
        <w:rPr>
          <w:rFonts w:ascii="Arial" w:cs="Arial" w:eastAsia="Arial" w:hAnsi="Arial"/>
          <w:sz w:val="18"/>
          <w:szCs w:val="18"/>
          <w:color w:val="auto"/>
        </w:rPr>
        <w:t>Our advertising business has a diverse customer base, consisting of national and local advertisers. As of December 27, 2012, we</w:t>
      </w:r>
      <w:r>
        <w:rPr>
          <w:rFonts w:ascii="Arial" w:cs="Arial" w:eastAsia="Arial" w:hAnsi="Arial"/>
          <w:sz w:val="18"/>
          <w:szCs w:val="18"/>
          <w:i w:val="1"/>
          <w:iCs w:val="1"/>
          <w:color w:val="auto"/>
        </w:rPr>
        <w:t xml:space="preserve"> </w:t>
      </w:r>
      <w:r>
        <w:rPr>
          <w:rFonts w:ascii="Arial" w:cs="Arial" w:eastAsia="Arial" w:hAnsi="Arial"/>
          <w:sz w:val="18"/>
          <w:szCs w:val="18"/>
          <w:color w:val="auto"/>
        </w:rPr>
        <w:t>had displayed advertising since 2006 with 346 national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advertisers across a wide variety of industries. During the year ended December 27, 2012, we derived 70.5% of our advertising revenue from national clients (including advertising agencies that represent our clients), 9.7% from NCM LLC’s founding members’ beverage agreements and 19.8% from our relationships with thousands of local advertisers across the country (including advertising agencies that represent these clients).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Each of NCM LLC’s founding members has a relationship with a beverage concessionaire under which they are obligated to provide on-screen advertising time as part of their agreement to purchase syrup. During 2012, we provided 60 seconds of on-screen advertising time to NCM LLC’s founding members. The ESAs provide for NCM LLC’s founding members to purchase this on-screen advertising time at a rate (intended to approximate a market rate) that is provided in the ESA. During 2012, the beverage concessionaire revenue was 8.9% of our total revenue.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Content Partners and Cell Phone PSAs. </w:t>
      </w:r>
      <w:r>
        <w:rPr>
          <w:rFonts w:ascii="Arial" w:cs="Arial" w:eastAsia="Arial" w:hAnsi="Arial"/>
          <w:sz w:val="16"/>
          <w:szCs w:val="16"/>
          <w:color w:val="auto"/>
        </w:rPr>
        <w:t>We have multi-year contractual relationships that provide entertainment content segments in the</w:t>
      </w:r>
      <w:r>
        <w:rPr>
          <w:rFonts w:ascii="Arial" w:cs="Arial" w:eastAsia="Arial" w:hAnsi="Arial"/>
          <w:sz w:val="16"/>
          <w:szCs w:val="16"/>
          <w:i w:val="1"/>
          <w:iCs w:val="1"/>
          <w:color w:val="auto"/>
        </w:rPr>
        <w:t xml:space="preserve"> FirstLook </w:t>
      </w:r>
      <w:r>
        <w:rPr>
          <w:rFonts w:ascii="Arial" w:cs="Arial" w:eastAsia="Arial" w:hAnsi="Arial"/>
          <w:sz w:val="16"/>
          <w:szCs w:val="16"/>
          <w:color w:val="auto"/>
        </w:rPr>
        <w:t>program and minimum annual advertising spending commitments with several entertainment, media and technology companies. These agreements require that the content partners will provide non-commercial content segments that are entertaining, informative or educational in nature and will purchase a specified dollar amount of advertising at a specified CPM over a two-year period with options to renew, exercisable at the content partner’s option. We also have an exclusive cell phone courtesy PSA reminding moviegoers to silence their cell phones and refrain from texting during feature films. During 2012, the total advertising purchased by these content partners and cell phone PSAs represented 19.6% of our total revenues.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advertising business competes in the estimated $153 billion U.S. advertising industry with many other forms of marketing media, including television, radio, print media, internet, mobile and outdoor display advertising. While cinema advertising represents a small portion of the advertising industry today, we believe it is well positioned to capitalize on the shift of advertising spending away from traditional mass media to more targeted and effective forms of digital media. As the number of digital media platforms continues to increase, the ability to target narrow consumer demographics, to engage directly with consumers and to provide measurable third-party marketing information has become increasingly important. We believe that proliferation of digital technology enabling improved data collection may increase advertisers’ demand for digital advertising platforms including cinema. In addition, cinema advertising is well positioned to benefit from several broad market trends, most noticeably the increasing adoption of digital video recorders (“DVRs”) and other new digital technology that allows consumers to skip advertisements. Cinema is one of the few media platforms where consumers cannot skip advertisements.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Through the visual quality and impact of the big screen and surround sound, we are able to display high impact advertising impressions to our audiences. According to </w:t>
      </w:r>
      <w:r>
        <w:rPr>
          <w:rFonts w:ascii="Arial" w:cs="Arial" w:eastAsia="Arial" w:hAnsi="Arial"/>
          <w:sz w:val="16"/>
          <w:szCs w:val="16"/>
          <w:i w:val="1"/>
          <w:iCs w:val="1"/>
          <w:color w:val="auto"/>
        </w:rPr>
        <w:t>Nielsen IAG Research</w:t>
      </w:r>
      <w:r>
        <w:rPr>
          <w:rFonts w:ascii="Arial" w:cs="Arial" w:eastAsia="Arial" w:hAnsi="Arial"/>
          <w:sz w:val="16"/>
          <w:szCs w:val="16"/>
          <w:color w:val="auto"/>
        </w:rPr>
        <w:t xml:space="preserve"> various cinema advertising has generated ad recall up to four times greater than the same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advertising platform for advertisers. We also believe that as online and mobile video platforms expand with the proliferation of viewing devices, such as tablets, video programming will become more fragmented and the national reach and high quality presentation of our network will become more valuable to marketers.</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advertising business also competes with other providers of cinema advertising, which vary substantially in size. As a large provider of cinema advertising in the U.S., we believe that we are able to generate economies of scale, operating efficiencies and enhanced opportunities for our clients to access a national and local audience as well as allowing us to better compete with television and other national advertising networks.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Fathom Consumer events entertainment programming business competes with other broadcast and cable networks, large-scale public venues, including concert halls and other public meeting venues, and cable, broadcast and on-demand television events. We believe that the combination of our national theatre network, geographic distribution and high quality sight and sound presentation offers content owners and sponsors an effective venue for live and pre-recorded events such as music, sporting and other entertainment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641 employees as of December 27, 2012. Our employees are located in our Centennial, Colorado headquarters, in our advertising sales offices in New York, Los Angeles and Chicago, our software development office in Minneapolis and local advertising account executives and field maintenance technicians that work primarily from their homes throughout the U.S. None of our employees are covered by collective bargaining agreements. We believe that our relationship with our employees is good.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www.ncm.com</w:t>
      </w:r>
      <w:r>
        <w:rPr>
          <w:rFonts w:ascii="Arial" w:cs="Arial" w:eastAsia="Arial" w:hAnsi="Arial"/>
          <w:sz w:val="16"/>
          <w:szCs w:val="16"/>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6"/>
          <w:szCs w:val="16"/>
          <w:i w:val="1"/>
          <w:iCs w:val="1"/>
          <w:color w:val="auto"/>
        </w:rPr>
        <w:t>www.sec.gov.</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Shown below are the names, ages as of December 27, 2012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7040" w:type="dxa"/>
            <w:vAlign w:val="bottom"/>
          </w:tcPr>
          <w:p>
            <w:pPr>
              <w:ind w:left="32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Kurt</w:t>
            </w:r>
          </w:p>
        </w:tc>
        <w:tc>
          <w:tcPr>
            <w:tcW w:w="3460" w:type="dxa"/>
            <w:vAlign w:val="bottom"/>
          </w:tcPr>
          <w:p>
            <w:pPr>
              <w:spacing w:after="0" w:line="188" w:lineRule="exact"/>
              <w:rPr>
                <w:sz w:val="20"/>
                <w:szCs w:val="20"/>
                <w:color w:val="auto"/>
              </w:rPr>
            </w:pPr>
            <w:r>
              <w:rPr>
                <w:rFonts w:ascii="Arial" w:cs="Arial" w:eastAsia="Arial" w:hAnsi="Arial"/>
                <w:sz w:val="18"/>
                <w:szCs w:val="18"/>
                <w:color w:val="auto"/>
              </w:rPr>
              <w:t>C. Hall</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6"/>
                <w:szCs w:val="16"/>
                <w:color w:val="auto"/>
              </w:rPr>
            </w:pPr>
          </w:p>
        </w:tc>
        <w:tc>
          <w:tcPr>
            <w:tcW w:w="7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7040" w:type="dxa"/>
            <w:vAlign w:val="bottom"/>
          </w:tcPr>
          <w:p>
            <w:pPr>
              <w:spacing w:after="0"/>
              <w:rPr>
                <w:sz w:val="20"/>
                <w:szCs w:val="20"/>
                <w:color w:val="auto"/>
              </w:rPr>
            </w:pPr>
            <w:r>
              <w:rPr>
                <w:rFonts w:ascii="Arial" w:cs="Arial" w:eastAsia="Arial" w:hAnsi="Arial"/>
                <w:sz w:val="18"/>
                <w:szCs w:val="18"/>
                <w:color w:val="auto"/>
              </w:rPr>
              <w:t>President of Sales and Marketing</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Gary W. Ferrera</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7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Ralph E. Hardy</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704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Earl B. Weihe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7040" w:type="dxa"/>
            <w:vAlign w:val="bottom"/>
          </w:tcPr>
          <w:p>
            <w:pPr>
              <w:spacing w:after="0"/>
              <w:rPr>
                <w:sz w:val="20"/>
                <w:szCs w:val="20"/>
                <w:color w:val="auto"/>
              </w:rPr>
            </w:pPr>
            <w:r>
              <w:rPr>
                <w:rFonts w:ascii="Arial" w:cs="Arial" w:eastAsia="Arial" w:hAnsi="Arial"/>
                <w:sz w:val="18"/>
                <w:szCs w:val="18"/>
                <w:color w:val="auto"/>
              </w:rPr>
              <w:t>Executive Vice President and Chief Operations Officer</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Kurt C. Hall. </w:t>
      </w:r>
      <w:r>
        <w:rPr>
          <w:rFonts w:ascii="Arial" w:cs="Arial" w:eastAsia="Arial" w:hAnsi="Arial"/>
          <w:sz w:val="18"/>
          <w:szCs w:val="18"/>
          <w:color w:val="auto"/>
        </w:rPr>
        <w:t>Mr. Hall was appointed President, Chief Executive Officer and Chairman of NCM, Inc. in February 2007 and held those same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NCM LLC since March 2005. He has also served as Chairman, President and Chief Executive Officer of NCM, Inc. since October 2006. Prior to his current position, from May 2002 to May 2005, Mr. Hall served as Co-Chairman and Co-Chief Executive Officer of Regal Entertainment Group and President and Chief Executive Officer of its media subsidiary Regal CineMedia Corporation. From 1988 to 2005, Mr. Hall has held various executive positions with United Artists Theatre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Company, and its predecessor companies, including Chief Executive Officer when it became part of Regal Entertainment Group in 2002. In 2009, Mr. Hall joined the board of directors of RMG Networks, Inc. (“RMG”) and served as a member of its compensation committee.</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Clifford E. Marks. </w:t>
      </w:r>
      <w:r>
        <w:rPr>
          <w:rFonts w:ascii="Arial" w:cs="Arial" w:eastAsia="Arial" w:hAnsi="Arial"/>
          <w:sz w:val="16"/>
          <w:szCs w:val="16"/>
          <w:color w:val="auto"/>
        </w:rPr>
        <w:t>Mr. Marks was appointed NCM, Inc.’s President of Sales and Marketing in February 2007 and held those same positions with NCM</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March 2005. He has been an advertising, marketing and sales 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Gary W. Ferrera. </w:t>
      </w:r>
      <w:r>
        <w:rPr>
          <w:rFonts w:ascii="Arial" w:cs="Arial" w:eastAsia="Arial" w:hAnsi="Arial"/>
          <w:sz w:val="18"/>
          <w:szCs w:val="18"/>
          <w:color w:val="auto"/>
        </w:rPr>
        <w:t>Mr. Ferrera was appointed Executive Vice President and Chief Financial Officer of NCM, Inc. in February 2007 and held those same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with NCM LLC since May 2006. Mr. Ferrera has held positions in accounting and finance since 1991. Prior to his business career, Mr. Ferrera served for over seven years in U.S. Army Special Operations and Intelligence. On January 9, 2013, Mr. Ferrera notified the Company of his intention to resign, effective March 1, 2013. A search for Mr. Ferrera’s replacement is currently underway.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was appointed Executive Vice President and General Counsel of NCM, Inc. in February 2007 and held those same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NCM LLC since March 2005. Prior to his current position, from May 2002 to May 2005, Mr. Hardy served as Executive Vice President and General Counsel for Regal CineMedia Corporation. From 1989 to 2005, Mr. Hardy has held various legal executive positions with United Artists Theatre Company and its predecessors.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i w:val="1"/>
          <w:iCs w:val="1"/>
          <w:color w:val="auto"/>
        </w:rPr>
        <w:t xml:space="preserve">Earl B. Weihe. </w:t>
      </w:r>
      <w:r>
        <w:rPr>
          <w:rFonts w:ascii="Arial" w:cs="Arial" w:eastAsia="Arial" w:hAnsi="Arial"/>
          <w:sz w:val="16"/>
          <w:szCs w:val="16"/>
          <w:color w:val="auto"/>
        </w:rPr>
        <w:t>Mr. Weihe was appointed as Executive Vice President and Chief Operations Officer of NCM, Inc. in January 2010. Prior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Mr. Weihe served as Senior Vice President of Operations for NCM LLC since July 2005. From his original hire in March 2002 until July 2005, Mr. Weihe served as Vice President of Operations for NCM LLC and its predecessor, Regal CineMedia Corporation.</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Ownership of the common stock of the Company involves certain risks. Holders of the Company’s securities and prospective investors should consider carefully the following risks and other information in this document, including our historical financial statements and related notes included herein. The risks and uncertainties described in this document are not the only ones facing us. Additional risks and uncertainties that we do not presently know about or that we currently believe are not material may also adversely affect our business.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19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ESAs with, or lack of support by, NCM LLC’s founding members could adversely affect our revenue, growth and profitability</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on February 13, 2037. The current term of the ESAs as they relate to the Fathom Consumer division, is approximately five years from December 29, 2011 until 2016 with provisions for automatic renewals for a series of additional five year terms through February 2037, if certain financial performance conditions are met. The financial performance conditions for the Fathom Business division for the period ending December 29, 2011 were not met and certain of the rights and obligations associated with that part of the Fathom business were transferred back to NCM LLC’s founding members. NCM LLC’s founding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members’ theatres represent approximately 80% of the screens and approximately 84% of the attendance in our network as of December 27, 2012. If any one of the ESAs was terminated, not renewed at its expiration or found to be unenforceable, it would have a material adverse effect on our revenue, profitability and financial condition.</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ESAs require the cooperation, investment and support of NCM LLC’s founding members, the absence of which could adversely affect us. Pursuant to the ESAs, NCM LLC’s founding members must make investments to replace digital network equipment within their theatres and equip newly constructed theatres with digital network equipment. If NCM LLC’s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Fathom Events revenue and operating margins may decline. If NCM LLC’s founding members reject advertising or choose not to participate in certain Fathom Consumer events under the terms of the ESAs because they believe it would adversely affect their film attendance levels or the reputation of their company, our revenue from that business would be reduced.</w:t>
      </w:r>
    </w:p>
    <w:p>
      <w:pPr>
        <w:spacing w:after="0" w:line="1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NCM LLC’s founding members could compete against us and our business could be adversely affected</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certain limited exceptions, each of the ESAs prohibits the applicable NCM LLC founding member from engaging in any of the business activities that we provide in NCM LLC’s founding member’s theatres under the ESA, and from owning interests in other entities that compete with us. These provisions are intended to prevent NCM LLC’s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35"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7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NCM LLC’s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we rely heavily on NCM LLC’s founding members’ and our network affiliates’ ability to attract customers, any reduction in attendance at NCM LLC network theatres could reduce our revenue.</w:t>
      </w:r>
    </w:p>
    <w:p>
      <w:pPr>
        <w:spacing w:after="0" w:line="5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business is affected by the success of NCM LLC’s founding members and to a lesser extent our network affiliates, who operate in a highly competitive industry whose attendance is reliant on the presence of motion pictures that attract audiences. From the late 1990s through 2002, the number of movie screens and the level of theatre attendance in the U.S. increased substantially, as movie theatres began to offer new amenities such as stadium seating, improved projection quality and superior sound systems, and studios began to increase the number of motion pictures produced and increased the budgets to market those films. Annual theatre attendance has fluctuated over the last several years depending on the quality of motion pictures released by the major and independent studios. Over the last 20 years theatre attendance has fluctuated from year to year but on average has grown by an aggregate annual rate of approximately 1%. If future theatre attendance declines significantly over an extended time period, one or more of NCM LLC’s founding members or network affiliates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may face financial difficulties and could be forced to sell or close theatres or reduce the number of screens it builds or upgrades. Attendance may also decline if NCM LLC’s founding members fail to maintain their theatres and provide amenities that consumers prefer, if they cannot compete successfully on pricing or if studios begin to reduce their investments in feature films or reduce the investments made to market those films. NCM LLC’s network theatre circuits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20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one of NCM LLC’s founding members declared bankruptcy, the ESA with that NCM LLC founding member may be rejected, renegotiated or deemed unenforceable</w:t>
      </w:r>
    </w:p>
    <w:p>
      <w:pPr>
        <w:spacing w:after="0" w:line="5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Each of NCM LLC’s founding members currently has a significant amount of indebtedness, which is below investment grade.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an NCM LLC founding member, it is possible that all or part of the ESA with that NCM LLC founding member could be rejected by a trustee in the bankruptcy case pursuant to Section 365 or Section 1123 of the United States Bankruptcy Code, or by the NCM LLC founding member, and thus not be enforceable. Alternatively, the NCM LLC founding member could seek to renegotiate the ESA in a manner less favorable to us than the existing agreement. Should the NCM LLC founding member seek to sell or otherwise dispose of theatres or remove theatres from our network through bankruptcy or for other business reasons, if the acquirer did not agree to continue to allow us to sell advertising in the acquired theatres the number of theatres in our advertising networks would be reduced which in turn would reduce the number of advertising impressions available to us and thus could reduce our advertising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and ongoing global economic uncertainty may adversely impact our business, operating results or financial condition</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financial markets have experienced extreme disruption and the world-wide economy remains fragile. Declining consumer confidence may lead to decreased demand or delay in payments by our advertising customers. As a result, our results of operations and financial condition could be adversely affected. These challenging economic conditions also may result in:</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customers;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doubtful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and event content are competitive and we may be unable to compete successfully</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market for advertising is very competitive. Cinema advertising is a small component of the overall U.S. advertising market and thus we must compete with established, larger and better known national and local media platforms such as cable, broadcast and satellite television networks and newly emerging media platforms including on the internet such as online video services. We compete for advertising directly with all media platforms, including radio and television broadcasting, cable and satellite television services, various local print media, billboards and internet and mobile platforms.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compete directly with other cinema advertising companies. We expect these competitors to devote significant effort to maintaining and growing their respective market shares.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14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Our Fathom Consumer division focuses on the distribution of entertainment programming products. It includes live and pre-recorded concerts, opera, symphony and other types of music events, concert and DVD product releases, theatrical premieres, Broadway plays, as well as live sports and other special events. This business competes for music, sports and other entertainment programming with event venues and other national entertainment networks, some of which offer greater geographic reach and larger audiences. Accordingly, our ability to source a consistent flow of programming is contingent on our ability to develop and sustain relationships with content owners and our ability to continue to expand our network.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value of our advertising business could be adversely affected by a long-term multi-year decline in theatre attendance or even the perception by media buyers that our network was no longer relevant to their marketing plan due to the decreases in attendance and geographic coverage. Factors that could reduce attendance at our network theatres include the following:</w:t>
      </w:r>
    </w:p>
    <w:p>
      <w:pPr>
        <w:spacing w:after="0" w:line="59" w:lineRule="exact"/>
        <w:rPr>
          <w:sz w:val="20"/>
          <w:szCs w:val="20"/>
          <w:color w:val="auto"/>
        </w:rPr>
      </w:pPr>
    </w:p>
    <w:p>
      <w:pPr>
        <w:jc w:val="both"/>
        <w:ind w:left="900" w:right="8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downloads via downloads on the internet, video discs, video on demand, satellite and pay-per-view services;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derive a significant portion of our revenue from our contracts with our content partners, cell phone PSA and NCM LLC’s founding members’ agreements to purchase on-screen advertising for their beverage concessionaires. We currently have marketing relationships with eight content partners. None of these companies individually accounted for over 10% of our total revenue during the year ended December 27, 2012. However, the agreements with the content partners, cell phone PSA and beverage advertising with NCM LLC’s founding members in aggregate accounted for approximately 28%, 31% and 27% of our total revenue during the years ended December 27, 2012, December 29, 2011 and December 30, 2010, respectively. Because we derive a significant percentage of our total revenue from a relatively small number of large companies, the loss of them as a customer could decrease our revenue and adversely affect current and future operating results.</w:t>
      </w:r>
    </w:p>
    <w:p>
      <w:pPr>
        <w:spacing w:after="0" w:line="2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generate a high percentage of our revenue and OIBDA from advertising, and the reduction in spending by or loss of advertisers could have a serious adverse effect on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generated approximately 91.2% of our total revenue in the year ended December 27, 2012 from advertising sales (80.2% from national and 19.8% from local). A substantial portion of our advertising inventory is covered by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recently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internet. Reductions in the size of advertisers’ budgets due to local or national economic trends, a shift in spending to new advertising mediums like the internet and mobile platforms or other factors could result in lower spending on cinema advertising. If we are unable to remain competitive and provide value to our advertising clients, they may reduce their advertising purchases or stop placing advertisements with us, which would negatively affect our revenue and ability to generate new business from advertising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technological advantage, our business could fail to grow and revenue and operating margins could decline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Failure to successfully or cost-effectively implement upgrades to our in-theatre advertising network could limit our ability to offer our clients innovative unique and integrated marketing products, which could limit our future revenue growth. Any failure by us to upgrade our technology to remain competitive, which may be adopted by other advertising platforms, could hurt our ability to compete with those companies. Under the terms of the ESAs with NCM LLC’s founding members, they are required to provide technology that is consistent with that in place at the signing of the ESA. We may request that NCM LLC’s founding members upgrade the equipment or software installed in their theatres, but we must negotiate with NCM LLC’s founding members as to the terms of such upgrade, including cost sharing terms, if any. For instance, during 2010 we entered into an amendment to the ESA to allow us to connect our digital network to NCM LLC’s founding members’ new digital cinema projection systems so that we could display our advertising and Fathom Events (including 3-D) on the higher quality systems. As of December 27, 2012 we had 14,464 screens within our network that were connected to digital cinema projection equipment and expect approximately 16,000 screens, or 80% of our total screens and 15,100 screens, or 95% of NCM LLC’s founding members’ screens to be deployed with digital cinema equipment by the end of 2013. If we are not able to come to an agreement on a future upgrade request, we may elect to pay for the upgrades requested which could result in our incurring significant capital expenditures, which could adversely affect our results of operations. In addition, the failure or delay in implementation of such upgrades or problems with the integration of our systems and software with the digital cinema systems could slow or prevent the growth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relies heavily on our technology systems, and any failures or disruptions may materially and adversely affect our operations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temporary or permanent loss of our computer equipment and software systems, through sabotage,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Our business and operations are experiencing rapid growth, and we may be unable to effectively manage or continue our growth of our network and advertising inventory</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experienced, and may continue to experience, rapid growth in our headcount and operations,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Additionally, we may not be able to continue to expand our network and our advertising inventory which could negatively affect our ability to add new advertising clients and providers of content for our Fathom Consumer business. To effectively manage this growth and continue to expand our network and inventory, we will need to continue to improve our DCS software and our internal management systems, including our advertising inventory optimization and financial reporting systems which we are currently upgrading. These enhancements and improvements could require an additional allocation of financial and management resources. If the improvements are not implemented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successfully in a timely manner, our ability to manage our limited advertising inventory and continue our growth in the future will be impaired and we may have to make significant additional expenditures to address these issues.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plans for developing additional revenue opportunities may not be implemented, may require substantial expenditures and may not be achieved</w:t>
      </w:r>
    </w:p>
    <w:p>
      <w:pPr>
        <w:spacing w:after="0" w:line="11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addition to our strategy to grow our advertising and Fathom Consumer business, we are also considering other potential opportunities for revenue growth, which we describe in “Business—Our Strategy—Expand our Internet/Mobile Platform.” The development of our internet advertising network and mobile apps and the integration of these marketing products with our core on-screen and theatre lobby production is at an early stage, and may not deliver future benefits we are planning for. Should these networks not continue to grow in importance to advertising clients and agencies, they may not provide a way to help expand our cinema advertising business as it matures and begins to compete with new or improved advertising platforms including online and mobile video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sales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Intellectual property rights of our business include the copyrights, trademarks, trade secrets and patents of our in-theatre, online, and mobile services, including the websites we operate at </w:t>
      </w:r>
      <w:r>
        <w:rPr>
          <w:rFonts w:ascii="Arial" w:cs="Arial" w:eastAsia="Arial" w:hAnsi="Arial"/>
          <w:sz w:val="16"/>
          <w:szCs w:val="16"/>
          <w:i w:val="1"/>
          <w:iCs w:val="1"/>
          <w:color w:val="auto"/>
        </w:rPr>
        <w:t>ncm.com, movienightout.com, firstlookonline.com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and the features, functionality, content, and software we make available through those websites. We rely on our own intellectual property rights as well as intellectual property rights obtained from third parties to conduct our business and provide our in-theatre, online, and mobile services. We may discover that our business or the technology we use to provide our in-theatre,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in-theatre, online, or mobile services either in the U.S. or in international markets. Further, the laws of certain foreign countries may not protect our intellectual property rights to the same extent as do the laws of the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content we distribute through our in-theatre, online or mobile services may expose us to liability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in-theatre, online, and mobile services facilitate the distribution of content. This content includes advertising-related content, as well as movie and television content, music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personal information we collect and maintain through our online and mobile services may expose us to liability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order to take advantage of some of the online and mobile services we provide users are required to establish an account on one of our websites. As a result, we will collect and maintain personal information about those users. We also collect and maintain personal information about users who view certain advertising displayed through our online and mobile services. Our collection and use of information regarding users of our online and mobile services could result in legal liability. For example, the failure, or perceived failure, to comply with federal, state or international privacy or consumer protection-related laws or regulations or our posted privacy policies could result in actions against us by governmental entities or others.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weak advertising market or the shift in spending of a major client from one quarter to another, the poor performance of films released in a given quarter or a disruption in the release schedule of films could significantly affect quarter-to-quarter results or even affect results for the entire fiscal year. Because our results may vary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ESAs contain certain limited exceptions to our exclusive right to use the founding members’ theatres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theatre circuit or the movie-going experience.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future. The LEN and lobby promotions represented 4.7% of our total advertising revenue for the year ended December 27, 2012. The founding members do not have the right to use their movie screens (including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or otherwise) for promoting these cross-marketing relationships, and thus we will have the exclusive rights to advertise on the movie screens, except for limited advertising related to theatre operations.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theatre lobbies in excess of those required to be installed by the founding members for the LEN. This additional lobby video network, which we refer to as the founders’ lobby network, may be used by the founding members to promote products or services related to operating the theatres, such as concessions and loyalty programs. The presence of the founders’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7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See the information provided under Note 9 to the audited consolidated financial statements included elsewhere in this document for leverage discussion. Once the NCM, Inc. cash balances and investments ($96.2 million as of December 27, 2012 versus $88.9 million as of December 29, 2011) are extinguished, we will be unable to pay dividends to our stockholders or pay other expenses outside the ordinary course of business if NCM LLC fails to comply with these covenants and is unable to distribute cash to us.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4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founding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NCM LLC is party to substantial debt obligations. The senior secured credit facility and indentures contain restrictive covenants that limit NCM LLC’s ability to take specified actions and prescribe minimum financial maintenance requirements that NCM LLC must meet. Because NCM LLC is our only operating subsidiary,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see Note 9 to the audited consolidated financial statements included elsewhere in this document.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NCM LLC is unable to meet its debt service obligations, it could be forced to restructure or refinance the obligations, seek additional equity financing or sell assets. We may be unable to restructure or refinance these obligations, obtain additional equity financing, sell assets on satisfactory terms or at all or make quarterly dividend payments. In addition, NCM LLC’s indebtedness could have other negative consequences for us, including without limitation:</w:t>
      </w:r>
    </w:p>
    <w:p>
      <w:pPr>
        <w:spacing w:after="0" w:line="2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 and making quarterly dividend payments;</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decline in general economic conditions.</w:t>
      </w:r>
    </w:p>
    <w:p>
      <w:pPr>
        <w:spacing w:after="0" w:line="2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agreements relating to NCM LLC’s debt, including the Senior Unsecured Notes, Senior Secured Notes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So long as an NCM LLC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Pursuant to a director designation agreement, so long as an NCM LLC founding member owns at least 5% of NCM LLC’s issued and outstanding common membership units, such NCM LLC founding member will have the right to designate a total of two nominees to our ten-member board of directors who will be voted upon by our stockholders. One such designee by each NCM LLC founding member must meet the independence requirements of the stock exchange on which our common stock is listed. If, at any time, any NCM LLC founding member owns less than 5% of NCM LLC’s then issued and outstanding common membership units, then such NCM LLC founding member shall cease to have any rights of designation.</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If any director designee to our board designated by NCM LLC’s founding members is not appointed to our board, nominated by us or elected by our stockholders, as applicable, then each of NCM LLC’s founding members (so long as such NCM LLC founding member continues to own 5% of NCM LLC’s issued and outstanding common membership units) will be entitled to approve specified actions of NCM LLC.</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an NMC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NCM LLC founding member to another and were originally received by the transferring NCM LLC founding member upon redemption of NCM LLC common membership units.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Different interests among NCM LLC’s founding members or between NCM LLC’s founding members and us could prevent us from achieving our business goals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For the foreseeable future, we expect that our board of directors will include directors and executive officers of NCM LLC’s founding members and other directors who may have commercial or other relationships with NCM LLC’s founding members. The majority of NCM LLC’s outstanding membership interests also are owned by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founding members to benefit from corporate opportunities that might otherwise be available to us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are not bound by the ESAs and therefore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22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ESAs and the other contractual agreements made at the date of our IPO, that we have with NCM LLC’s founding members were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part and on the part of NCM LLC’s founding members and termination and default provisions may be less favorable to us than terms that we might have obtained in negotiations with unaffiliated third parties in similar circumstances.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NCM LLC’s founding members will be able to exercise a greater degree of influence over the operations of NCM LLC, which may discourage other nominations to our board of directors, if any director nominee designated by NCM LLC’s founding members is not elected by our stockholders.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6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common unit adjustment agreement and the ESAs provide that we will issue common membership units of NCM LLC to account for changes in the number of theatre screens NCM LLC’s founding members operate and which are made part of our advertising network. Historically,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see Note 4 to the audited consolidated financial statements included elsewhere in this document.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issuance of preferred stock could dilute the voting power of our common stockholders and adversely affect the market value of our common stock</w:t>
      </w:r>
    </w:p>
    <w:p>
      <w:pPr>
        <w:spacing w:after="0" w:line="12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1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tax receivable agreement with NCM LLC’s founding members is expected to reduce the amount of overall cash flow that would otherwise be available to us and will increase our potential exposure to the financial condition of NCM LLC’s founding members</w:t>
      </w:r>
    </w:p>
    <w:p>
      <w:pPr>
        <w:spacing w:after="0" w:line="51"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NCM LLC’s founding members to pay to NCM LLC’s founding members 90% of the amount by which NCM, Inc.’s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tax receivable agreement, then NCM, Inc.’s financial condition could be negatively impacted. NCM LLC’s calendar year 2007 and 2008 tax returns are currently under examination by the Internal Revenue Service (“IRS”). It is reasonably possible that, should the IRS prevail in its position in the audit, NCM, Inc. may be required to pay additional amounts to NCM LLC’s founding members under the tax receivable agreement which would be offset by refunds from various state and federal taxing authorities. However, at this time the amount of any such payments to NCM LLC’s founding members or refunds from the various taxing authorities cannot be reasonably estimated. Refer to Note 6 to the audited consolidated financial statements included elsewhere in this document.</w:t>
      </w:r>
    </w:p>
    <w:p>
      <w:pPr>
        <w:spacing w:after="0" w:line="20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cannot predict the effect, if any, that market sales of shares of common stock by NCM LLC’s founding members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The founding members may receive up to 57,531,576 shares of common stock upon redemption of their outstanding common membership units of NCM LLC. The resale of these shares of common stock has been registered as required by the terms of the registration rights agreement between NCM Inc. and the NCM LLC founding members. Additionally, once options and restricted stock held by our employees become vested and/or exercisable, as applicable, to the extent that they are not held by one of our affiliates, the shares acquired upon vesting or exercise are freely tradeable. Refer to note 10 the audited consolidated financial statements included elsewhere in this document.</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u w:val="single" w:color="auto"/>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Information with respect to our corporate headquarters and regional offices is presented below as of December 27, 2012. We own no material real property.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all of our present facilities are adequate for our current needs and that additional space is available for future expansion on acceptable terms.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w w:val="90"/>
              </w:rPr>
              <w:t>Location</w:t>
            </w:r>
          </w:p>
        </w:tc>
        <w:tc>
          <w:tcPr>
            <w:tcW w:w="45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w w:val="91"/>
              </w:rPr>
              <w:t>Facility</w:t>
            </w:r>
          </w:p>
        </w:tc>
        <w:tc>
          <w:tcPr>
            <w:tcW w:w="1960" w:type="dxa"/>
            <w:vAlign w:val="bottom"/>
          </w:tcPr>
          <w:p>
            <w:pPr>
              <w:spacing w:after="0"/>
              <w:rPr>
                <w:sz w:val="14"/>
                <w:szCs w:val="14"/>
                <w:color w:val="auto"/>
              </w:rPr>
            </w:pPr>
          </w:p>
        </w:tc>
        <w:tc>
          <w:tcPr>
            <w:tcW w:w="2700" w:type="dxa"/>
            <w:vAlign w:val="bottom"/>
            <w:gridSpan w:val="3"/>
          </w:tcPr>
          <w:p>
            <w:pPr>
              <w:jc w:val="right"/>
              <w:ind w:right="600"/>
              <w:spacing w:after="0"/>
              <w:rPr>
                <w:sz w:val="20"/>
                <w:szCs w:val="20"/>
                <w:color w:val="auto"/>
              </w:rPr>
            </w:pPr>
            <w:r>
              <w:rPr>
                <w:rFonts w:ascii="Arial" w:cs="Arial" w:eastAsia="Arial" w:hAnsi="Arial"/>
                <w:sz w:val="14"/>
                <w:szCs w:val="14"/>
                <w:color w:val="auto"/>
              </w:rPr>
              <w:t>Size</w:t>
            </w: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Centennial, CO </w:t>
            </w:r>
            <w:r>
              <w:rPr>
                <w:rFonts w:ascii="Arial" w:cs="Arial" w:eastAsia="Arial" w:hAnsi="Arial"/>
                <w:sz w:val="18"/>
                <w:szCs w:val="18"/>
                <w:i w:val="1"/>
                <w:iCs w:val="1"/>
                <w:color w:val="auto"/>
              </w:rPr>
              <w:t>(1)</w:t>
            </w:r>
          </w:p>
        </w:tc>
        <w:tc>
          <w:tcPr>
            <w:tcW w:w="698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Headquarters (including the network operations center)</w:t>
            </w:r>
          </w:p>
        </w:tc>
        <w:tc>
          <w:tcPr>
            <w:tcW w:w="2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82,721 sq. ft.</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 xml:space="preserve">Chicago, IL </w:t>
            </w:r>
            <w:r>
              <w:rPr>
                <w:rFonts w:ascii="Arial" w:cs="Arial" w:eastAsia="Arial" w:hAnsi="Arial"/>
                <w:sz w:val="18"/>
                <w:szCs w:val="18"/>
                <w:i w:val="1"/>
                <w:iCs w:val="1"/>
                <w:color w:val="auto"/>
              </w:rPr>
              <w:t>(2)</w:t>
            </w:r>
          </w:p>
        </w:tc>
        <w:tc>
          <w:tcPr>
            <w:tcW w:w="6980" w:type="dxa"/>
            <w:vAlign w:val="bottom"/>
            <w:gridSpan w:val="3"/>
          </w:tcPr>
          <w:p>
            <w:pPr>
              <w:ind w:left="1440"/>
              <w:spacing w:after="0"/>
              <w:rPr>
                <w:sz w:val="20"/>
                <w:szCs w:val="20"/>
                <w:color w:val="auto"/>
              </w:rPr>
            </w:pPr>
            <w:r>
              <w:rPr>
                <w:rFonts w:ascii="Arial" w:cs="Arial" w:eastAsia="Arial" w:hAnsi="Arial"/>
                <w:sz w:val="18"/>
                <w:szCs w:val="18"/>
                <w:color w:val="auto"/>
              </w:rPr>
              <w:t>Regional Advertising Sales Office</w:t>
            </w:r>
          </w:p>
        </w:tc>
        <w:tc>
          <w:tcPr>
            <w:tcW w:w="2700" w:type="dxa"/>
            <w:vAlign w:val="bottom"/>
            <w:gridSpan w:val="3"/>
          </w:tcPr>
          <w:p>
            <w:pPr>
              <w:jc w:val="right"/>
              <w:ind w:right="120"/>
              <w:spacing w:after="0"/>
              <w:rPr>
                <w:sz w:val="20"/>
                <w:szCs w:val="20"/>
                <w:color w:val="auto"/>
              </w:rPr>
            </w:pPr>
            <w:r>
              <w:rPr>
                <w:rFonts w:ascii="Arial" w:cs="Arial" w:eastAsia="Arial" w:hAnsi="Arial"/>
                <w:sz w:val="18"/>
                <w:szCs w:val="18"/>
                <w:color w:val="auto"/>
              </w:rPr>
              <w:t>3,971 sq. ft.</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(3)</w:t>
            </w:r>
          </w:p>
        </w:tc>
        <w:tc>
          <w:tcPr>
            <w:tcW w:w="698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Regional Advertising Sales Office</w:t>
            </w:r>
          </w:p>
        </w:tc>
        <w:tc>
          <w:tcPr>
            <w:tcW w:w="2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17,498 sq. ft.</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4"/>
              </w:rPr>
              <w:t xml:space="preserve">Woodland Hills, CA </w:t>
            </w:r>
            <w:r>
              <w:rPr>
                <w:rFonts w:ascii="Arial" w:cs="Arial" w:eastAsia="Arial" w:hAnsi="Arial"/>
                <w:sz w:val="18"/>
                <w:szCs w:val="18"/>
                <w:i w:val="1"/>
                <w:iCs w:val="1"/>
                <w:color w:val="auto"/>
                <w:w w:val="94"/>
              </w:rPr>
              <w:t>(4)</w:t>
            </w:r>
          </w:p>
        </w:tc>
        <w:tc>
          <w:tcPr>
            <w:tcW w:w="6980" w:type="dxa"/>
            <w:vAlign w:val="bottom"/>
            <w:gridSpan w:val="3"/>
          </w:tcPr>
          <w:p>
            <w:pPr>
              <w:ind w:left="1440"/>
              <w:spacing w:after="0"/>
              <w:rPr>
                <w:sz w:val="20"/>
                <w:szCs w:val="20"/>
                <w:color w:val="auto"/>
              </w:rPr>
            </w:pPr>
            <w:r>
              <w:rPr>
                <w:rFonts w:ascii="Arial" w:cs="Arial" w:eastAsia="Arial" w:hAnsi="Arial"/>
                <w:sz w:val="18"/>
                <w:szCs w:val="18"/>
                <w:color w:val="auto"/>
              </w:rPr>
              <w:t>Regional Advertising Sales Office</w:t>
            </w:r>
          </w:p>
        </w:tc>
        <w:tc>
          <w:tcPr>
            <w:tcW w:w="2700" w:type="dxa"/>
            <w:vAlign w:val="bottom"/>
            <w:gridSpan w:val="3"/>
          </w:tcPr>
          <w:p>
            <w:pPr>
              <w:jc w:val="right"/>
              <w:ind w:right="120"/>
              <w:spacing w:after="0"/>
              <w:rPr>
                <w:sz w:val="20"/>
                <w:szCs w:val="20"/>
                <w:color w:val="auto"/>
              </w:rPr>
            </w:pPr>
            <w:r>
              <w:rPr>
                <w:rFonts w:ascii="Arial" w:cs="Arial" w:eastAsia="Arial" w:hAnsi="Arial"/>
                <w:sz w:val="18"/>
                <w:szCs w:val="18"/>
                <w:color w:val="auto"/>
              </w:rPr>
              <w:t>6,062 sq. ft.</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Minneapolis, MN </w:t>
            </w:r>
            <w:r>
              <w:rPr>
                <w:rFonts w:ascii="Arial" w:cs="Arial" w:eastAsia="Arial" w:hAnsi="Arial"/>
                <w:sz w:val="18"/>
                <w:szCs w:val="18"/>
                <w:i w:val="1"/>
                <w:iCs w:val="1"/>
                <w:color w:val="auto"/>
              </w:rPr>
              <w:t>(5)</w:t>
            </w:r>
          </w:p>
        </w:tc>
        <w:tc>
          <w:tcPr>
            <w:tcW w:w="698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Regional Advertising Sales Office</w:t>
            </w:r>
          </w:p>
        </w:tc>
        <w:tc>
          <w:tcPr>
            <w:tcW w:w="2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5,926 sq. ft.</w:t>
            </w:r>
          </w:p>
        </w:tc>
      </w:tr>
      <w:tr>
        <w:trPr>
          <w:trHeight w:val="222"/>
        </w:trPr>
        <w:tc>
          <w:tcPr>
            <w:tcW w:w="1740" w:type="dxa"/>
            <w:vAlign w:val="bottom"/>
            <w:gridSpan w:val="2"/>
          </w:tcPr>
          <w:p>
            <w:pPr>
              <w:spacing w:after="0"/>
              <w:rPr>
                <w:sz w:val="20"/>
                <w:szCs w:val="20"/>
                <w:color w:val="auto"/>
              </w:rPr>
            </w:pPr>
            <w:r>
              <w:rPr>
                <w:rFonts w:ascii="Arial" w:cs="Arial" w:eastAsia="Arial" w:hAnsi="Arial"/>
                <w:sz w:val="18"/>
                <w:szCs w:val="18"/>
                <w:color w:val="auto"/>
                <w:w w:val="92"/>
              </w:rPr>
              <w:t xml:space="preserve">Newport Beach, CA </w:t>
            </w:r>
            <w:r>
              <w:rPr>
                <w:rFonts w:ascii="Arial" w:cs="Arial" w:eastAsia="Arial" w:hAnsi="Arial"/>
                <w:sz w:val="18"/>
                <w:szCs w:val="18"/>
                <w:i w:val="1"/>
                <w:iCs w:val="1"/>
                <w:color w:val="auto"/>
                <w:w w:val="92"/>
              </w:rPr>
              <w:t>(6)</w:t>
            </w:r>
          </w:p>
        </w:tc>
        <w:tc>
          <w:tcPr>
            <w:tcW w:w="6980" w:type="dxa"/>
            <w:vAlign w:val="bottom"/>
            <w:gridSpan w:val="3"/>
          </w:tcPr>
          <w:p>
            <w:pPr>
              <w:ind w:left="1440"/>
              <w:spacing w:after="0"/>
              <w:rPr>
                <w:sz w:val="20"/>
                <w:szCs w:val="20"/>
                <w:color w:val="auto"/>
              </w:rPr>
            </w:pPr>
            <w:r>
              <w:rPr>
                <w:rFonts w:ascii="Arial" w:cs="Arial" w:eastAsia="Arial" w:hAnsi="Arial"/>
                <w:sz w:val="18"/>
                <w:szCs w:val="18"/>
                <w:color w:val="auto"/>
              </w:rPr>
              <w:t>Regional Advertising Sales Office</w:t>
            </w:r>
          </w:p>
        </w:tc>
        <w:tc>
          <w:tcPr>
            <w:tcW w:w="2700" w:type="dxa"/>
            <w:vAlign w:val="bottom"/>
            <w:gridSpan w:val="3"/>
          </w:tcPr>
          <w:p>
            <w:pPr>
              <w:jc w:val="right"/>
              <w:ind w:right="120"/>
              <w:spacing w:after="0"/>
              <w:rPr>
                <w:sz w:val="20"/>
                <w:szCs w:val="20"/>
                <w:color w:val="auto"/>
              </w:rPr>
            </w:pPr>
            <w:r>
              <w:rPr>
                <w:rFonts w:ascii="Arial" w:cs="Arial" w:eastAsia="Arial" w:hAnsi="Arial"/>
                <w:sz w:val="18"/>
                <w:szCs w:val="18"/>
                <w:color w:val="auto"/>
              </w:rPr>
              <w:t>1,417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June 30, 2021.</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2017.</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2017.</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November 30, 2019.</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February 29, 2015.</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Market for Registrant’s Common Equity, Related Stockholder Matters and Issuer Purchases of Equity Securities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common stock, $0.01 par value, has traded on The NASDAQ Global Market under the symbol “NCMI” since February 8, 2007 (our IPO closed on February 13, 2007). There were 128 stockholders of record as of February 14, 2013 (not including beneficial holders of shares held in “street name”). The following table sets forth the historical high and low sales prices per share for our common stock as reported on The NASDAQ Global Market for the fiscal periods indicated.</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5"/>
              </w:rPr>
              <w:t>Fiscal 2012</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Declared</w:t>
            </w:r>
          </w:p>
        </w:tc>
        <w:tc>
          <w:tcPr>
            <w:tcW w:w="100" w:type="dxa"/>
            <w:vAlign w:val="bottom"/>
          </w:tcPr>
          <w:p>
            <w:pPr>
              <w:spacing w:after="0"/>
              <w:rPr>
                <w:sz w:val="11"/>
                <w:szCs w:val="11"/>
                <w:color w:val="auto"/>
              </w:rPr>
            </w:pPr>
          </w:p>
        </w:tc>
      </w:tr>
      <w:tr>
        <w:trPr>
          <w:trHeight w:val="159"/>
        </w:trPr>
        <w:tc>
          <w:tcPr>
            <w:tcW w:w="670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90"/>
              </w:rPr>
              <w:t>High</w:t>
            </w:r>
          </w:p>
        </w:tc>
        <w:tc>
          <w:tcPr>
            <w:tcW w:w="640" w:type="dxa"/>
            <w:vAlign w:val="bottom"/>
          </w:tcPr>
          <w:p>
            <w:pPr>
              <w:spacing w:after="0"/>
              <w:rPr>
                <w:sz w:val="13"/>
                <w:szCs w:val="13"/>
                <w:color w:val="auto"/>
              </w:rPr>
            </w:pPr>
          </w:p>
        </w:tc>
        <w:tc>
          <w:tcPr>
            <w:tcW w:w="86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rPr>
              <w:t>Low</w:t>
            </w:r>
          </w:p>
        </w:tc>
        <w:tc>
          <w:tcPr>
            <w:tcW w:w="280" w:type="dxa"/>
            <w:vAlign w:val="bottom"/>
          </w:tcPr>
          <w:p>
            <w:pPr>
              <w:spacing w:after="0"/>
              <w:rPr>
                <w:sz w:val="13"/>
                <w:szCs w:val="13"/>
                <w:color w:val="auto"/>
              </w:rPr>
            </w:pPr>
          </w:p>
        </w:tc>
        <w:tc>
          <w:tcPr>
            <w:tcW w:w="600" w:type="dxa"/>
            <w:vAlign w:val="bottom"/>
            <w:gridSpan w:val="3"/>
          </w:tcPr>
          <w:p>
            <w:pPr>
              <w:spacing w:after="0" w:line="159" w:lineRule="exact"/>
              <w:rPr>
                <w:sz w:val="20"/>
                <w:szCs w:val="20"/>
                <w:color w:val="auto"/>
              </w:rPr>
            </w:pPr>
            <w:r>
              <w:rPr>
                <w:rFonts w:ascii="Arial" w:cs="Arial" w:eastAsia="Arial" w:hAnsi="Arial"/>
                <w:sz w:val="14"/>
                <w:szCs w:val="14"/>
                <w:color w:val="auto"/>
              </w:rPr>
              <w:t>Dividend</w:t>
            </w: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 (December 30, 2011—March 29, 2012)</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$16.35</w:t>
            </w: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$ 11.95</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Quarter (March 30, 2012—June 28, 2012)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$15.59</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$12.94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29, 2012—September 27, 2012)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$16.89</w:t>
            </w:r>
          </w:p>
        </w:tc>
        <w:tc>
          <w:tcPr>
            <w:tcW w:w="150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90"/>
              </w:rPr>
              <w:t>$13.56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Fourth Quarter (September 28, 2012—December 27, 2012)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$16.76</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$13.06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19"/>
                <w:szCs w:val="19"/>
                <w:color w:val="auto"/>
              </w:rPr>
            </w:pPr>
          </w:p>
        </w:tc>
      </w:tr>
      <w:tr>
        <w:trPr>
          <w:trHeight w:val="345"/>
        </w:trPr>
        <w:tc>
          <w:tcPr>
            <w:tcW w:w="6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5"/>
              </w:rPr>
              <w:t>Fiscal 2011</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6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Declared</w:t>
            </w:r>
          </w:p>
        </w:tc>
        <w:tc>
          <w:tcPr>
            <w:tcW w:w="100" w:type="dxa"/>
            <w:vAlign w:val="bottom"/>
          </w:tcPr>
          <w:p>
            <w:pPr>
              <w:spacing w:after="0"/>
              <w:rPr>
                <w:sz w:val="11"/>
                <w:szCs w:val="11"/>
                <w:color w:val="auto"/>
              </w:rPr>
            </w:pPr>
          </w:p>
        </w:tc>
      </w:tr>
      <w:tr>
        <w:trPr>
          <w:trHeight w:val="159"/>
        </w:trPr>
        <w:tc>
          <w:tcPr>
            <w:tcW w:w="670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90"/>
              </w:rPr>
              <w:t>High</w:t>
            </w:r>
          </w:p>
        </w:tc>
        <w:tc>
          <w:tcPr>
            <w:tcW w:w="640" w:type="dxa"/>
            <w:vAlign w:val="bottom"/>
          </w:tcPr>
          <w:p>
            <w:pPr>
              <w:spacing w:after="0"/>
              <w:rPr>
                <w:sz w:val="13"/>
                <w:szCs w:val="13"/>
                <w:color w:val="auto"/>
              </w:rPr>
            </w:pPr>
          </w:p>
        </w:tc>
        <w:tc>
          <w:tcPr>
            <w:tcW w:w="86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rPr>
              <w:t>Low</w:t>
            </w:r>
          </w:p>
        </w:tc>
        <w:tc>
          <w:tcPr>
            <w:tcW w:w="280" w:type="dxa"/>
            <w:vAlign w:val="bottom"/>
          </w:tcPr>
          <w:p>
            <w:pPr>
              <w:spacing w:after="0"/>
              <w:rPr>
                <w:sz w:val="13"/>
                <w:szCs w:val="13"/>
                <w:color w:val="auto"/>
              </w:rPr>
            </w:pPr>
          </w:p>
        </w:tc>
        <w:tc>
          <w:tcPr>
            <w:tcW w:w="600" w:type="dxa"/>
            <w:vAlign w:val="bottom"/>
            <w:gridSpan w:val="3"/>
          </w:tcPr>
          <w:p>
            <w:pPr>
              <w:spacing w:after="0" w:line="159" w:lineRule="exact"/>
              <w:rPr>
                <w:sz w:val="20"/>
                <w:szCs w:val="20"/>
                <w:color w:val="auto"/>
              </w:rPr>
            </w:pPr>
            <w:r>
              <w:rPr>
                <w:rFonts w:ascii="Arial" w:cs="Arial" w:eastAsia="Arial" w:hAnsi="Arial"/>
                <w:sz w:val="14"/>
                <w:szCs w:val="14"/>
                <w:color w:val="auto"/>
              </w:rPr>
              <w:t>Dividend</w:t>
            </w: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 (December 31, 2010—March 31, 2011)</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$20.28</w:t>
            </w: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$16.22</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Quarter (April 1, 2011—June 30, 2011)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$19.00</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$15.92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0.20</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(July 1, 2011—September 29, 2011)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$17.00</w:t>
            </w:r>
          </w:p>
        </w:tc>
        <w:tc>
          <w:tcPr>
            <w:tcW w:w="150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83"/>
              </w:rPr>
              <w:t>$ 11.21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Fourth Quarter (September 30, 2011—December 29, 2011)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$15.69</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83"/>
              </w:rPr>
              <w:t>$ 11.24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distribute over time a substantial portion of our free cash flow (distributions from NCM LLC less income taxes and payments under the tax sharing agreement with NCM LLC’s founding members) in the form of quarterly dividends to our stockholders. 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 under our equity compensation plans.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graph compares the cumulative total stockholder return on the common stock of the Company for the period December 27, 2007 through December 27, 2012 with the Russell 2000 Index and the Dow Jones US Media Agencies TSM. The comparisons in the graph below are based upon historical data and are not indicative of, or intended to forecast, future performance of our common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National CineMedia Inc, the Russell 2000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Dow Jones US Media Agencies TSM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135890</wp:posOffset>
            </wp:positionV>
            <wp:extent cx="4862195" cy="2632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6219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 invested on 12/27/07 in stock or 12/31/07 in index, including reinvestment of dividends.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Indexes calculated on month-end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ind w:left="920"/>
              <w:spacing w:after="0"/>
              <w:rPr>
                <w:sz w:val="20"/>
                <w:szCs w:val="20"/>
                <w:color w:val="auto"/>
              </w:rPr>
            </w:pPr>
            <w:r>
              <w:rPr>
                <w:rFonts w:ascii="Arial" w:cs="Arial" w:eastAsia="Arial" w:hAnsi="Arial"/>
                <w:sz w:val="18"/>
                <w:szCs w:val="18"/>
                <w:color w:val="auto"/>
                <w:w w:val="92"/>
              </w:rPr>
              <w:t>Copyright</w:t>
            </w:r>
            <w:r>
              <w:rPr>
                <w:rFonts w:ascii="Arial" w:cs="Arial" w:eastAsia="Arial" w:hAnsi="Arial"/>
                <w:sz w:val="11"/>
                <w:szCs w:val="11"/>
                <w:color w:val="auto"/>
                <w:w w:val="92"/>
              </w:rPr>
              <w:t>©</w:t>
            </w:r>
            <w:r>
              <w:rPr>
                <w:rFonts w:ascii="Arial" w:cs="Arial" w:eastAsia="Arial" w:hAnsi="Arial"/>
                <w:sz w:val="18"/>
                <w:szCs w:val="18"/>
                <w:color w:val="auto"/>
                <w:w w:val="92"/>
              </w:rPr>
              <w:t xml:space="preserve"> 2013</w:t>
            </w:r>
          </w:p>
        </w:tc>
        <w:tc>
          <w:tcPr>
            <w:tcW w:w="5040" w:type="dxa"/>
            <w:vAlign w:val="bottom"/>
          </w:tcPr>
          <w:p>
            <w:pPr>
              <w:ind w:left="20"/>
              <w:spacing w:after="0"/>
              <w:rPr>
                <w:sz w:val="20"/>
                <w:szCs w:val="20"/>
                <w:color w:val="auto"/>
              </w:rPr>
            </w:pPr>
            <w:r>
              <w:rPr>
                <w:rFonts w:ascii="Arial" w:cs="Arial" w:eastAsia="Arial" w:hAnsi="Arial"/>
                <w:sz w:val="18"/>
                <w:szCs w:val="18"/>
                <w:color w:val="auto"/>
              </w:rPr>
              <w:t>Dow Jones &amp; Co. All rights reserved.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140" w:type="dxa"/>
            <w:vAlign w:val="bottom"/>
          </w:tcPr>
          <w:p>
            <w:pPr>
              <w:ind w:left="920"/>
              <w:spacing w:after="0"/>
              <w:rPr>
                <w:sz w:val="20"/>
                <w:szCs w:val="20"/>
                <w:color w:val="auto"/>
              </w:rPr>
            </w:pPr>
            <w:r>
              <w:rPr>
                <w:rFonts w:ascii="Arial" w:cs="Arial" w:eastAsia="Arial" w:hAnsi="Arial"/>
                <w:sz w:val="18"/>
                <w:szCs w:val="18"/>
                <w:color w:val="auto"/>
                <w:w w:val="92"/>
              </w:rPr>
              <w:t>Copyright</w:t>
            </w:r>
            <w:r>
              <w:rPr>
                <w:rFonts w:ascii="Arial" w:cs="Arial" w:eastAsia="Arial" w:hAnsi="Arial"/>
                <w:sz w:val="11"/>
                <w:szCs w:val="11"/>
                <w:color w:val="auto"/>
                <w:w w:val="92"/>
              </w:rPr>
              <w:t>©</w:t>
            </w:r>
            <w:r>
              <w:rPr>
                <w:rFonts w:ascii="Arial" w:cs="Arial" w:eastAsia="Arial" w:hAnsi="Arial"/>
                <w:sz w:val="18"/>
                <w:szCs w:val="18"/>
                <w:color w:val="auto"/>
                <w:w w:val="92"/>
              </w:rPr>
              <w:t xml:space="preserve"> 2013</w:t>
            </w:r>
          </w:p>
        </w:tc>
        <w:tc>
          <w:tcPr>
            <w:tcW w:w="5040" w:type="dxa"/>
            <w:vAlign w:val="bottom"/>
          </w:tcPr>
          <w:p>
            <w:pPr>
              <w:ind w:left="20"/>
              <w:spacing w:after="0"/>
              <w:rPr>
                <w:sz w:val="20"/>
                <w:szCs w:val="20"/>
                <w:color w:val="auto"/>
              </w:rPr>
            </w:pPr>
            <w:r>
              <w:rPr>
                <w:rFonts w:ascii="Arial" w:cs="Arial" w:eastAsia="Arial" w:hAnsi="Arial"/>
                <w:sz w:val="18"/>
                <w:szCs w:val="18"/>
                <w:color w:val="auto"/>
              </w:rPr>
              <w:t>Russell Investment Group. All rights reserved.</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2"/>
        </w:trPr>
        <w:tc>
          <w:tcPr>
            <w:tcW w:w="2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Dec. 27,</w:t>
            </w: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Jan. 1,</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Dec. 31,</w:t>
            </w: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Dec. 30,</w:t>
            </w: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Dec. 29,</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Dec. 27,</w:t>
            </w:r>
          </w:p>
        </w:tc>
      </w:tr>
      <w:tr>
        <w:trPr>
          <w:trHeight w:val="159"/>
        </w:trPr>
        <w:tc>
          <w:tcPr>
            <w:tcW w:w="214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ind w:left="140"/>
              <w:spacing w:after="0" w:line="159" w:lineRule="exact"/>
              <w:rPr>
                <w:sz w:val="20"/>
                <w:szCs w:val="20"/>
                <w:color w:val="auto"/>
              </w:rPr>
            </w:pPr>
            <w:r>
              <w:rPr>
                <w:rFonts w:ascii="Arial" w:cs="Arial" w:eastAsia="Arial" w:hAnsi="Arial"/>
                <w:sz w:val="14"/>
                <w:szCs w:val="14"/>
                <w:color w:val="auto"/>
              </w:rPr>
              <w:t>2007</w:t>
            </w:r>
          </w:p>
        </w:tc>
        <w:tc>
          <w:tcPr>
            <w:tcW w:w="2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20"/>
              <w:spacing w:after="0" w:line="159"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2010</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r>
      <w:tr>
        <w:trPr>
          <w:trHeight w:val="210"/>
        </w:trPr>
        <w:tc>
          <w:tcPr>
            <w:tcW w:w="2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CineMedia Inc.</w:t>
            </w:r>
          </w:p>
        </w:tc>
        <w:tc>
          <w:tcPr>
            <w:tcW w:w="50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100.00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43.51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74.51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Russell 2000 Index</w:t>
            </w:r>
          </w:p>
        </w:tc>
        <w:tc>
          <w:tcPr>
            <w:tcW w:w="50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100.00</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66.21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84.20</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106.82</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102.36</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119.09</w:t>
            </w: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 Jones US Media Agencies TSM</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47.00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78.26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104.60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107.40</w:t>
            </w: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u w:val="single" w:color="auto"/>
          <w:color w:val="auto"/>
        </w:rPr>
        <w:t>Selected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results of operations data for the years ended December 27, 2012, December 29, 2011 and December 30, 2010 and the balance sheet data as of December 27, 2012 and December 29, 2011 are derived from the audited consolidated financial statements of NCM, Inc. included elsewhere in this document. The results of operations data for the years ended December 31, 2009 and January 1, 2009 and the balance sheet data as of December 30, 2010, December 31, 2009 and January 1, 2009 are derived from the audited financial statements of NCM, Inc. (not presented herein).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92"/>
              </w:rPr>
              <w:t>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Results of Operations Data</w:t>
            </w:r>
          </w:p>
        </w:tc>
        <w:tc>
          <w:tcPr>
            <w:tcW w:w="200" w:type="dxa"/>
            <w:vAlign w:val="bottom"/>
          </w:tcPr>
          <w:p>
            <w:pPr>
              <w:spacing w:after="0"/>
              <w:rPr>
                <w:sz w:val="12"/>
                <w:szCs w:val="12"/>
                <w:color w:val="auto"/>
              </w:rPr>
            </w:pPr>
          </w:p>
        </w:tc>
        <w:tc>
          <w:tcPr>
            <w:tcW w:w="9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Ended</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Ended</w:t>
            </w:r>
          </w:p>
        </w:tc>
        <w:tc>
          <w:tcPr>
            <w:tcW w:w="4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Ended</w:t>
            </w:r>
          </w:p>
        </w:tc>
        <w:tc>
          <w:tcPr>
            <w:tcW w:w="4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Ended</w:t>
            </w:r>
          </w:p>
        </w:tc>
        <w:tc>
          <w:tcPr>
            <w:tcW w:w="2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35"/>
        </w:trPr>
        <w:tc>
          <w:tcPr>
            <w:tcW w:w="7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Dec. 27,</w:t>
            </w:r>
          </w:p>
        </w:tc>
        <w:tc>
          <w:tcPr>
            <w:tcW w:w="5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6"/>
              </w:rPr>
              <w:t>Dec. 29,</w:t>
            </w:r>
          </w:p>
        </w:tc>
        <w:tc>
          <w:tcPr>
            <w:tcW w:w="42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6"/>
              </w:rPr>
              <w:t>Dec. 30,</w:t>
            </w:r>
          </w:p>
        </w:tc>
        <w:tc>
          <w:tcPr>
            <w:tcW w:w="42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6"/>
              </w:rPr>
              <w:t>Dec. 31,</w:t>
            </w:r>
          </w:p>
        </w:tc>
        <w:tc>
          <w:tcPr>
            <w:tcW w:w="200" w:type="dxa"/>
            <w:vAlign w:val="bottom"/>
          </w:tcPr>
          <w:p>
            <w:pPr>
              <w:spacing w:after="0"/>
              <w:rPr>
                <w:sz w:val="11"/>
                <w:szCs w:val="11"/>
                <w:color w:val="auto"/>
              </w:rPr>
            </w:pPr>
          </w:p>
        </w:tc>
        <w:tc>
          <w:tcPr>
            <w:tcW w:w="7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75"/>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409.5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386.2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379.5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448.8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operating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Fathom Events operating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Network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Theatre access fees—founding members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Administrative and other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plan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257.0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191.8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193.7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Equity loss from investments, net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Less: Distributions to Noncontrolling Interest in Excess of Proportionate Share of Earnings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NCM, Inc.</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EARNINGS PER NCM, INC. COMMON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0.58</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0.63</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040" w:type="dxa"/>
            <w:vAlign w:val="bottom"/>
            <w:gridSpan w:val="2"/>
          </w:tcPr>
          <w:p>
            <w:pPr>
              <w:ind w:left="56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4"/>
                <w:szCs w:val="14"/>
                <w:color w:val="auto"/>
              </w:rPr>
            </w:pPr>
          </w:p>
        </w:tc>
        <w:tc>
          <w:tcPr>
            <w:tcW w:w="10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4"/>
                <w:szCs w:val="14"/>
                <w:color w:val="auto"/>
              </w:rPr>
            </w:pPr>
          </w:p>
        </w:tc>
        <w:tc>
          <w:tcPr>
            <w:tcW w:w="10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Other Financial and Operating Data</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35"/>
        </w:trPr>
        <w:tc>
          <w:tcPr>
            <w:tcW w:w="466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gridSpan w:val="5"/>
          </w:tcPr>
          <w:p>
            <w:pPr>
              <w:jc w:val="center"/>
              <w:ind w:right="580"/>
              <w:spacing w:after="0" w:line="135" w:lineRule="exact"/>
              <w:rPr>
                <w:sz w:val="20"/>
                <w:szCs w:val="20"/>
                <w:color w:val="auto"/>
              </w:rPr>
            </w:pPr>
            <w:r>
              <w:rPr>
                <w:rFonts w:ascii="Arial" w:cs="Arial" w:eastAsia="Arial" w:hAnsi="Arial"/>
                <w:sz w:val="14"/>
                <w:szCs w:val="14"/>
                <w:b w:val="1"/>
                <w:bCs w:val="1"/>
                <w:color w:val="auto"/>
                <w:w w:val="86"/>
              </w:rPr>
              <w:t>Dec. 27,</w:t>
            </w:r>
          </w:p>
        </w:tc>
        <w:tc>
          <w:tcPr>
            <w:tcW w:w="1160" w:type="dxa"/>
            <w:vAlign w:val="bottom"/>
            <w:gridSpan w:val="5"/>
          </w:tcPr>
          <w:p>
            <w:pPr>
              <w:jc w:val="center"/>
              <w:ind w:right="580"/>
              <w:spacing w:after="0" w:line="135" w:lineRule="exact"/>
              <w:rPr>
                <w:sz w:val="20"/>
                <w:szCs w:val="20"/>
                <w:color w:val="auto"/>
              </w:rPr>
            </w:pPr>
            <w:r>
              <w:rPr>
                <w:rFonts w:ascii="Arial" w:cs="Arial" w:eastAsia="Arial" w:hAnsi="Arial"/>
                <w:sz w:val="14"/>
                <w:szCs w:val="14"/>
                <w:b w:val="1"/>
                <w:bCs w:val="1"/>
                <w:color w:val="auto"/>
                <w:w w:val="86"/>
              </w:rPr>
              <w:t>Dec. 29,</w:t>
            </w:r>
          </w:p>
        </w:tc>
        <w:tc>
          <w:tcPr>
            <w:tcW w:w="1180" w:type="dxa"/>
            <w:vAlign w:val="bottom"/>
            <w:gridSpan w:val="5"/>
          </w:tcPr>
          <w:p>
            <w:pPr>
              <w:jc w:val="center"/>
              <w:ind w:right="600"/>
              <w:spacing w:after="0" w:line="135" w:lineRule="exact"/>
              <w:rPr>
                <w:sz w:val="20"/>
                <w:szCs w:val="20"/>
                <w:color w:val="auto"/>
              </w:rPr>
            </w:pPr>
            <w:r>
              <w:rPr>
                <w:rFonts w:ascii="Arial" w:cs="Arial" w:eastAsia="Arial" w:hAnsi="Arial"/>
                <w:sz w:val="14"/>
                <w:szCs w:val="14"/>
                <w:b w:val="1"/>
                <w:bCs w:val="1"/>
                <w:color w:val="auto"/>
                <w:w w:val="86"/>
              </w:rPr>
              <w:t>Dec. 30,</w:t>
            </w:r>
          </w:p>
        </w:tc>
        <w:tc>
          <w:tcPr>
            <w:tcW w:w="940" w:type="dxa"/>
            <w:vAlign w:val="bottom"/>
            <w:gridSpan w:val="5"/>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Dec. 31,</w:t>
            </w:r>
          </w:p>
        </w:tc>
        <w:tc>
          <w:tcPr>
            <w:tcW w:w="20" w:type="dxa"/>
            <w:vAlign w:val="bottom"/>
          </w:tcPr>
          <w:p>
            <w:pPr>
              <w:spacing w:after="0"/>
              <w:rPr>
                <w:sz w:val="11"/>
                <w:szCs w:val="11"/>
                <w:color w:val="auto"/>
              </w:rPr>
            </w:pPr>
          </w:p>
        </w:tc>
        <w:tc>
          <w:tcPr>
            <w:tcW w:w="8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75"/>
        </w:trPr>
        <w:tc>
          <w:tcPr>
            <w:tcW w:w="46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 in millions, except cash dividend declared per common share)</w:t>
            </w: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ind w:right="26"/>
              <w:spacing w:after="0"/>
              <w:rPr>
                <w:sz w:val="20"/>
                <w:szCs w:val="20"/>
                <w:color w:val="auto"/>
              </w:rPr>
            </w:pPr>
            <w:r>
              <w:rPr>
                <w:rFonts w:ascii="Arial" w:cs="Arial" w:eastAsia="Arial" w:hAnsi="Arial"/>
                <w:sz w:val="14"/>
                <w:szCs w:val="14"/>
                <w:b w:val="1"/>
                <w:bCs w:val="1"/>
                <w:color w:val="auto"/>
                <w:w w:val="83"/>
              </w:rPr>
              <w:t>2012</w:t>
            </w:r>
          </w:p>
        </w:tc>
        <w:tc>
          <w:tcPr>
            <w:tcW w:w="1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ind w:right="2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ind w:right="26"/>
              <w:spacing w:after="0"/>
              <w:rPr>
                <w:sz w:val="20"/>
                <w:szCs w:val="20"/>
                <w:color w:val="auto"/>
              </w:rPr>
            </w:pPr>
            <w:r>
              <w:rPr>
                <w:rFonts w:ascii="Arial" w:cs="Arial" w:eastAsia="Arial" w:hAnsi="Arial"/>
                <w:sz w:val="14"/>
                <w:szCs w:val="14"/>
                <w:b w:val="1"/>
                <w:bCs w:val="1"/>
                <w:color w:val="auto"/>
                <w:w w:val="83"/>
              </w:rPr>
              <w:t>2010</w:t>
            </w: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OIBDA </w:t>
            </w:r>
            <w:r>
              <w:rPr>
                <w:rFonts w:ascii="Arial" w:cs="Arial" w:eastAsia="Arial" w:hAnsi="Arial"/>
                <w:sz w:val="18"/>
                <w:szCs w:val="18"/>
                <w:i w:val="1"/>
                <w:iCs w:val="1"/>
                <w:color w:val="auto"/>
              </w:rPr>
              <w:t>(1)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(1)</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221.2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224.3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222.4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Capital Expenditures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 Declared per Common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(2) (6)</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15,528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15,265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83"/>
              </w:rPr>
              <w:t>14,997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14,401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14,331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(3) (6)</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19,359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18,670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3"/>
              </w:rPr>
              <w:t>17,302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16,803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 xml:space="preserve">Digital Screens at Period End </w:t>
            </w:r>
            <w:r>
              <w:rPr>
                <w:rFonts w:ascii="Arial" w:cs="Arial" w:eastAsia="Arial" w:hAnsi="Arial"/>
                <w:sz w:val="18"/>
                <w:szCs w:val="18"/>
                <w:i w:val="1"/>
                <w:iCs w:val="1"/>
                <w:color w:val="auto"/>
              </w:rPr>
              <w:t>(4) (6)</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18,491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17,698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83"/>
              </w:rPr>
              <w:t>16,003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15,413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15,263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Attendance for Period (in millions) </w:t>
            </w:r>
            <w:r>
              <w:rPr>
                <w:rFonts w:ascii="Arial" w:cs="Arial" w:eastAsia="Arial" w:hAnsi="Arial"/>
                <w:sz w:val="18"/>
                <w:szCs w:val="18"/>
                <w:i w:val="1"/>
                <w:iCs w:val="1"/>
                <w:color w:val="auto"/>
              </w:rPr>
              <w:t>(5) (6)</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643.0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Dec. 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Dec. 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Dec. 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Dec.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20"/>
                <w:szCs w:val="20"/>
                <w:color w:val="auto"/>
              </w:rPr>
            </w:pPr>
            <w:r>
              <w:rPr>
                <w:rFonts w:ascii="Arial" w:cs="Arial" w:eastAsia="Arial" w:hAnsi="Arial"/>
                <w:sz w:val="14"/>
                <w:szCs w:val="14"/>
                <w:b w:val="1"/>
                <w:bCs w:val="1"/>
                <w:color w:val="auto"/>
              </w:rPr>
              <w:t>Balance Sheet Data (in millions)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(7)</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$ 106.6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98.1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82.9</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91.1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Receivables,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42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89.3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810.5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420"/>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8"/>
                <w:szCs w:val="18"/>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854.5</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628.2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775.0</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799.0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Equity/(deficit)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34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8"/>
                <w:szCs w:val="18"/>
                <w:color w:val="auto"/>
              </w:rPr>
            </w:pPr>
          </w:p>
        </w:tc>
        <w:tc>
          <w:tcPr>
            <w:tcW w:w="1060" w:type="dxa"/>
            <w:vAlign w:val="bottom"/>
            <w:gridSpan w:val="4"/>
          </w:tcPr>
          <w:p>
            <w:pPr>
              <w:jc w:val="right"/>
              <w:ind w:right="360"/>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18"/>
                <w:szCs w:val="18"/>
                <w:color w:val="auto"/>
              </w:rPr>
            </w:pPr>
          </w:p>
        </w:tc>
        <w:tc>
          <w:tcPr>
            <w:tcW w:w="1080" w:type="dxa"/>
            <w:vAlign w:val="bottom"/>
            <w:gridSpan w:val="4"/>
          </w:tcPr>
          <w:p>
            <w:pPr>
              <w:jc w:val="right"/>
              <w:ind w:right="400"/>
              <w:spacing w:after="0"/>
              <w:rPr>
                <w:sz w:val="20"/>
                <w:szCs w:val="20"/>
                <w:color w:val="auto"/>
              </w:rPr>
            </w:pPr>
            <w:r>
              <w:rPr>
                <w:rFonts w:ascii="Arial" w:cs="Arial" w:eastAsia="Arial" w:hAnsi="Arial"/>
                <w:sz w:val="18"/>
                <w:szCs w:val="18"/>
                <w:color w:val="auto"/>
              </w:rPr>
              <w:t>(318.4)</w:t>
            </w:r>
          </w:p>
        </w:tc>
        <w:tc>
          <w:tcPr>
            <w:tcW w:w="8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(493.1)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(526.3)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854.5</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609.6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60" w:type="dxa"/>
            <w:vAlign w:val="bottom"/>
          </w:tcPr>
          <w:p>
            <w:pPr>
              <w:spacing w:after="0"/>
              <w:rPr>
                <w:sz w:val="24"/>
                <w:szCs w:val="24"/>
                <w:color w:val="auto"/>
              </w:rPr>
            </w:pP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96" w:lineRule="exact"/>
        <w:rPr>
          <w:sz w:val="20"/>
          <w:szCs w:val="20"/>
          <w:color w:val="auto"/>
        </w:rPr>
      </w:pPr>
    </w:p>
    <w:p>
      <w:pPr>
        <w:ind w:firstLine="464"/>
        <w:spacing w:after="0" w:line="285"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operating income (loss) before depreciation and amortization expense. Adjusted OIBDA excludes from OIBDA non-cash share based payment costs, deferred stock compensation and severance plan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$0.1 million and $4.7 million for the years ended December 31, 2009 and January 1, 2009, respectively. Regal made Consolidated Theatres’ payments to NCM LLC pursuant to the revised ESAs, which were $0 million, $0.7 million, $3.9 million, $3.2 million and $2.8 million for the years ended December 27, 2012, December 29, 2011, December 30, 2010, December 31, 2009 and January 1, 2009, respectively.</w:t>
      </w:r>
    </w:p>
    <w:p>
      <w:pPr>
        <w:spacing w:after="0" w:line="144"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sum of NCM LLC’s founding members’ screens.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screens within NCM LLC’s advertising network.</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number of screens that are connected to our DCN.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attendance within NCM LLC’s advertising network.</w:t>
      </w:r>
    </w:p>
    <w:p>
      <w:pPr>
        <w:spacing w:after="0" w:line="17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AMC Loews for all periods prior to June 2008 and excludes Star Theatres for periods prior to April 2009 and excludes Consolidated Theatres for all periods prior to June 2011.</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short-term and long-term marketable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(loss) to OIBDA and Adjusted OIBDA for the periods presented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Year</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Year</w:t>
            </w: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Ended</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Dec. 27,</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Dec. 29,</w:t>
            </w:r>
          </w:p>
        </w:tc>
        <w:tc>
          <w:tcPr>
            <w:tcW w:w="20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Dec. 30,</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Dec. 31,</w:t>
            </w:r>
          </w:p>
        </w:tc>
        <w:tc>
          <w:tcPr>
            <w:tcW w:w="2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4"/>
                <w:szCs w:val="14"/>
                <w:color w:val="auto"/>
              </w:rPr>
            </w:pPr>
          </w:p>
        </w:tc>
        <w:tc>
          <w:tcPr>
            <w:tcW w:w="7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4"/>
                <w:szCs w:val="14"/>
                <w:color w:val="auto"/>
              </w:rPr>
            </w:pPr>
          </w:p>
        </w:tc>
        <w:tc>
          <w:tcPr>
            <w:tcW w:w="72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$191.8</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$193.7</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$190.6</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$168.2</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20.4</w:t>
            </w: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17.8</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OIBDA</w:t>
            </w:r>
          </w:p>
        </w:tc>
        <w:tc>
          <w:tcPr>
            <w:tcW w:w="2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$212.5</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$183.8</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Severance plan costs</w:t>
            </w:r>
          </w:p>
        </w:tc>
        <w:tc>
          <w:tcPr>
            <w:tcW w:w="152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8"/>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costs/ Deferred stock</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compensation </w:t>
            </w:r>
            <w:r>
              <w:rPr>
                <w:rFonts w:ascii="Arial" w:cs="Arial" w:eastAsia="Arial" w:hAnsi="Arial"/>
                <w:sz w:val="18"/>
                <w:szCs w:val="18"/>
                <w:i w:val="1"/>
                <w:iCs w:val="1"/>
                <w:color w:val="auto"/>
              </w:rPr>
              <w:t>(1)</w:t>
            </w:r>
          </w:p>
        </w:tc>
        <w:tc>
          <w:tcPr>
            <w:tcW w:w="1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w:t>
            </w:r>
          </w:p>
        </w:tc>
        <w:tc>
          <w:tcPr>
            <w:tcW w:w="1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258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221.2</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224.3</w:t>
            </w:r>
          </w:p>
        </w:tc>
        <w:tc>
          <w:tcPr>
            <w:tcW w:w="36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189.3</w:t>
            </w:r>
          </w:p>
        </w:tc>
        <w:tc>
          <w:tcPr>
            <w:tcW w:w="34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$448.8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$435.4</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$427.5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$380.7</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Adjusted OIBDA margin</w:t>
            </w:r>
          </w:p>
        </w:tc>
        <w:tc>
          <w:tcPr>
            <w:tcW w:w="2580" w:type="dxa"/>
            <w:vAlign w:val="bottom"/>
            <w:gridSpan w:val="3"/>
          </w:tcPr>
          <w:p>
            <w:pPr>
              <w:jc w:val="right"/>
              <w:ind w:right="420"/>
              <w:spacing w:after="0"/>
              <w:rPr>
                <w:sz w:val="20"/>
                <w:szCs w:val="20"/>
                <w:color w:val="auto"/>
              </w:rPr>
            </w:pPr>
            <w:r>
              <w:rPr>
                <w:rFonts w:ascii="Arial" w:cs="Arial" w:eastAsia="Arial" w:hAnsi="Arial"/>
                <w:sz w:val="18"/>
                <w:szCs w:val="18"/>
                <w:color w:val="auto"/>
              </w:rPr>
              <w:t>49.3%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52.0%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80" w:hanging="452"/>
        <w:spacing w:after="0" w:line="268" w:lineRule="auto"/>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Share-based payments costs are included in network operations, selling and marketing and administrative expense in the accompanying financial statements.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Section 27A of the Securities Act of 1933, as amended, and Section 21E of the Securities Exchange Act of 1934 (the “Exchange Act”), as amended. All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than statements of historical facts included in this Form 10-K, including, without limitation, certain statements under “Management’s Discussion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Analysis of Financial Condition and Results of Operations”, may constitute forward-looking statements. In some cases, you can identify these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by the specific words, including but not limited to “may,” “should,” “expects,” “plans,” “anticipates,” “believes,” “estimates,” “predicts,”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or “continue” or the negative of those words and other comparable words. These forward-looking statements involve risks and uncertainties.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following discussion and analysis should be read in conjunction with our historical financial statements and the related notes thereto included elsewhere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 In the following discussion and analysis, the term net income refers to net income attributable to NCM,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NCM operates the largest digital in-theatre network in North America, for the distribution of advertising and Fathom Events. Our revenue is principally derived from the sale of advertising and, to a lesser extent, from our Fathom Events business. We have long-term ESAs with NCM LLC’s founding members and multi-year agreements with our network affiliates. The ESAs with NCM LLC’s founding members and network affiliate agreements grant us exclusive rights, subject to limited exceptions, to sell advertising and distribute entertainment programming in those theatres. Our advertising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LEN programming and Fathom Event programming are distributed across our proprietary DCN and live DBN. Approximately 97% of the aggregate NCM LLC founding members and network affiliate theatre attendance is generated by theatres connected to our DCN.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monthly meetings with officers, managers and staff to discuss and analyze operating results and address significant variances to budget in an effort to identify trends and changes in our business. We focus on many operating metrics including changes in OIBDA, Adjusted OIBDA and Adjusted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OIBDA margin, as defined and discussed in “Item 6. Selected Financial Data—Notes to the Selected Historical Financial and Operating Data”,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and location, as well as our operating cash flow and related financial leverage and revolving credit facility to ensure that there is adequate cash availability to fund our debt obligations and current and future dividends declared by our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operating results may be affected by a variety of internal and external factors and trends described more fully in the section entitled “Risk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operating data and Adjusted OIBDA. See “Item 6. Selected Financial Data—Notes to the Selected Historical Financial and Operating Data” for a discussion of the calculation of Adjusted OIBDA and reconciliation to operating income.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1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200" w:type="dxa"/>
            <w:vAlign w:val="bottom"/>
          </w:tcPr>
          <w:p>
            <w:pPr>
              <w:spacing w:after="0"/>
              <w:rPr>
                <w:sz w:val="11"/>
                <w:szCs w:val="11"/>
                <w:color w:val="auto"/>
              </w:rPr>
            </w:pPr>
          </w:p>
        </w:tc>
      </w:tr>
      <w:tr>
        <w:trPr>
          <w:trHeight w:val="161"/>
        </w:trPr>
        <w:tc>
          <w:tcPr>
            <w:tcW w:w="5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 except per share and per attendee data)</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191.8</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193.7</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190.6</w:t>
            </w:r>
          </w:p>
        </w:tc>
        <w:tc>
          <w:tcPr>
            <w:tcW w:w="2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Adjusted OIBDA margin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Income per NCM, Inc. Basic Share</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0.58</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8"/>
                <w:szCs w:val="18"/>
                <w:color w:val="auto"/>
              </w:rPr>
            </w:pPr>
          </w:p>
        </w:tc>
      </w:tr>
      <w:tr>
        <w:trPr>
          <w:trHeight w:val="322"/>
        </w:trPr>
        <w:tc>
          <w:tcPr>
            <w:tcW w:w="5240" w:type="dxa"/>
            <w:vAlign w:val="bottom"/>
          </w:tcPr>
          <w:p>
            <w:pPr>
              <w:spacing w:after="0"/>
              <w:rPr>
                <w:sz w:val="20"/>
                <w:szCs w:val="20"/>
                <w:color w:val="auto"/>
              </w:rPr>
            </w:pPr>
            <w:r>
              <w:rPr>
                <w:rFonts w:ascii="Arial" w:cs="Arial" w:eastAsia="Arial" w:hAnsi="Arial"/>
                <w:sz w:val="18"/>
                <w:szCs w:val="18"/>
                <w:color w:val="auto"/>
              </w:rPr>
              <w:t>Total advertising revenue</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409.5</w:t>
            </w:r>
          </w:p>
        </w:tc>
        <w:tc>
          <w:tcPr>
            <w:tcW w:w="1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386.1</w:t>
            </w:r>
          </w:p>
        </w:tc>
        <w:tc>
          <w:tcPr>
            <w:tcW w:w="1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379.4</w:t>
            </w:r>
          </w:p>
        </w:tc>
        <w:tc>
          <w:tcPr>
            <w:tcW w:w="200" w:type="dxa"/>
            <w:vAlign w:val="bottom"/>
          </w:tcPr>
          <w:p>
            <w:pPr>
              <w:spacing w:after="0"/>
              <w:rPr>
                <w:sz w:val="24"/>
                <w:szCs w:val="24"/>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2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0.593</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0.606</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0.595</w:t>
            </w:r>
          </w:p>
        </w:tc>
        <w:tc>
          <w:tcPr>
            <w:tcW w:w="200" w:type="dxa"/>
            <w:vAlign w:val="bottom"/>
          </w:tcPr>
          <w:p>
            <w:pPr>
              <w:spacing w:after="0"/>
              <w:rPr>
                <w:sz w:val="18"/>
                <w:szCs w:val="18"/>
                <w:color w:val="auto"/>
              </w:rPr>
            </w:pPr>
          </w:p>
        </w:tc>
      </w:tr>
      <w:tr>
        <w:trPr>
          <w:trHeight w:val="20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revenue (excluding founding member beverage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per attendee</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0.536</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0.547</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0.537</w:t>
            </w:r>
          </w:p>
        </w:tc>
        <w:tc>
          <w:tcPr>
            <w:tcW w:w="200" w:type="dxa"/>
            <w:vAlign w:val="bottom"/>
            <w:shd w:val="clear" w:color="auto" w:fill="CCEEFF"/>
          </w:tcPr>
          <w:p>
            <w:pPr>
              <w:spacing w:after="0"/>
              <w:rPr>
                <w:sz w:val="19"/>
                <w:szCs w:val="19"/>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0.117</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0.127</w:t>
            </w:r>
          </w:p>
        </w:tc>
        <w:tc>
          <w:tcPr>
            <w:tcW w:w="1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0.110</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Includes a $26.7 million loss related to the termination of interest rate swap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effect the reorganization and the financing transaction and certain amendments were made to the existing ESAs to govern the relationships among NCM LLC and NCM LLC’s founding members after the completion of these transactions.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results of operations data discussed herein were derived from the audited consolidated financial statements and accounting records of NCM, Inc. and should be read in conjunction with the notes thereto.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52-week or 53-week fiscal year ending on the first Thursday after December 25. Fiscal years 2012, 2011 and 2010 contained 52 weeks.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we refer to our fiscal years as set forth below:</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Reference</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Fiscal Year Ended</w:t>
            </w:r>
          </w:p>
        </w:tc>
        <w:tc>
          <w:tcPr>
            <w:tcW w:w="308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 this</w:t>
            </w:r>
          </w:p>
        </w:tc>
        <w:tc>
          <w:tcPr>
            <w:tcW w:w="0" w:type="dxa"/>
            <w:vAlign w:val="bottom"/>
          </w:tcPr>
          <w:p>
            <w:pPr>
              <w:spacing w:after="0"/>
              <w:rPr>
                <w:sz w:val="1"/>
                <w:szCs w:val="1"/>
                <w:color w:val="auto"/>
              </w:rPr>
            </w:pPr>
          </w:p>
        </w:tc>
      </w:tr>
      <w:tr>
        <w:trPr>
          <w:trHeight w:val="168"/>
        </w:trPr>
        <w:tc>
          <w:tcPr>
            <w:tcW w:w="1140" w:type="dxa"/>
            <w:vAlign w:val="bottom"/>
            <w:tcBorders>
              <w:bottom w:val="single" w:sz="8" w:color="auto"/>
            </w:tcBorders>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354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27, 2012</w:t>
            </w:r>
          </w:p>
        </w:tc>
        <w:tc>
          <w:tcPr>
            <w:tcW w:w="2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December 29, 2011</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30, 2010</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27, 2012 and December 29, 2011</w:t>
      </w:r>
    </w:p>
    <w:p>
      <w:pPr>
        <w:spacing w:after="0" w:line="9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for the year ended December 27, 2012 increased $13.4 million, or 3.1% to $448.8 million, compared to $435.4 million for the 2011</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increase was driven by an increase in total advertising revenue of $23.3 million, or 6.0%, from $386.2 million for the year ended December 29, 2011 to $409.5 million for the year ended December 27, 2012. The increase is primarily due to a 7.9% increase in national advertising revenue (excluding beverage), a 0.6% increase in local advertising revenue and a 4.5% increase in beverage revenue.</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increase was partially offset by a decrease in Fathom Events revenue of $9.9 million, or 20.1%, from $49.2 million for the year ended December 29, 2011 to $39.3 million for the year ended December 27, 2012. Total advertising revenue (including beverage revenue) per attendee for the year ended December 27, 2012 decreased 2.1% from the year ended December 29, 2011. The following is a summary of revenue by category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5"/>
              </w:rPr>
              <w:t>$ Change</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December 27,</w:t>
            </w: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2011 to 2012</w:t>
            </w: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2011 to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7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w:t>
            </w:r>
            <w:r>
              <w:rPr>
                <w:rFonts w:ascii="Arial" w:cs="Arial" w:eastAsia="Arial" w:hAnsi="Arial"/>
                <w:sz w:val="18"/>
                <w:szCs w:val="18"/>
                <w:u w:val="single" w:color="auto"/>
                <w:color w:val="auto"/>
              </w:rPr>
              <w:t>8</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435.</w:t>
            </w:r>
            <w:r>
              <w:rPr>
                <w:rFonts w:ascii="Arial" w:cs="Arial" w:eastAsia="Arial" w:hAnsi="Arial"/>
                <w:sz w:val="18"/>
                <w:szCs w:val="18"/>
                <w:u w:val="single" w:color="auto"/>
                <w:color w:val="auto"/>
              </w:rPr>
              <w:t>4</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4</w:t>
            </w:r>
          </w:p>
        </w:tc>
        <w:tc>
          <w:tcPr>
            <w:tcW w:w="7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National advertising revenue (including beverage revenue from NCM LLC’s founding members) of $328.4 million for the year ended December 27, 2012 increased $22.8 million, or 7.5%, from $305.6 million for the 2011 period. Excluding beverage revenue from NCM LLC’s founding members, national advertising revenue increased $21.1 million, or 7.9% to $288.7 million compared to $267.6 million for the 2011 period. Below is a discussion of the primary drivers of the growth in national advertising revenue.</w:t>
      </w:r>
    </w:p>
    <w:p>
      <w:pPr>
        <w:spacing w:after="0" w:line="62" w:lineRule="exact"/>
        <w:rPr>
          <w:sz w:val="20"/>
          <w:szCs w:val="20"/>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attendance increased 8.4% for the year ended December 27, 2012, with NCM LLC’s founding members increasing 4.4% and network affiliates increasing 35.2%, which includes 15 new network affiliates added to our network in 2011 and 2012.</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NCM LLC’s founding members’ advertising revenue from beverage concessionaire agreements increased 4.5% due to a 4.4% increase in NCM LLC’s founding members’ attendance.</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Online and mobile revenue increased 52.4% during 2012 compared to 2011 as the company continues to place more focus on the online and mobile market, including selling advertising that combines on-screen, lobby and online and mobile marketing components.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Branded content revenue increased 44.7% during 2012 compared to 2011, due to more branded content contracts sold.</w:t>
      </w:r>
    </w:p>
    <w:p>
      <w:pPr>
        <w:spacing w:after="0" w:line="90"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National inventory utilization decreased to 98.8% for the year ended December 27, 2012 compared to 100.3% for the 2011 period as a result of a larger impression base in 2012 generated by an 8.4% attendance increase. Inventory utilization is calculated based on eleven 30-second salable national advertising units in our pre-show, which can be expanded should market demand dictate.</w:t>
      </w:r>
    </w:p>
    <w:p>
      <w:pPr>
        <w:spacing w:after="0" w:line="25"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National advertising CPMs (excluding beverage revenue) decreased 2.5% during 2012 due to pricing pressure in the broader advertising marketplace and a higher number of long-form (longer than 30 seconds) advertisements.</w:t>
      </w:r>
    </w:p>
    <w:p>
      <w:pPr>
        <w:spacing w:after="0" w:line="132" w:lineRule="exact"/>
        <w:rPr>
          <w:sz w:val="20"/>
          <w:szCs w:val="20"/>
          <w:color w:val="auto"/>
        </w:rPr>
      </w:pPr>
    </w:p>
    <w:p>
      <w:pPr>
        <w:jc w:val="both"/>
        <w:ind w:left="460" w:right="100"/>
        <w:spacing w:after="0" w:line="298" w:lineRule="auto"/>
        <w:rPr>
          <w:sz w:val="20"/>
          <w:szCs w:val="20"/>
          <w:color w:val="auto"/>
        </w:rPr>
      </w:pPr>
      <w:r>
        <w:rPr>
          <w:rFonts w:ascii="Arial" w:cs="Arial" w:eastAsia="Arial" w:hAnsi="Arial"/>
          <w:sz w:val="16"/>
          <w:szCs w:val="16"/>
          <w:u w:val="single" w:color="auto"/>
          <w:color w:val="auto"/>
        </w:rPr>
        <w:t>Local advertising revenue.</w:t>
      </w:r>
      <w:r>
        <w:rPr>
          <w:rFonts w:ascii="Arial" w:cs="Arial" w:eastAsia="Arial" w:hAnsi="Arial"/>
          <w:sz w:val="16"/>
          <w:szCs w:val="16"/>
          <w:color w:val="auto"/>
        </w:rPr>
        <w:t xml:space="preserve"> Local advertising revenue increased $0.5 million, or 0.6% to $81.1 million for the year ended December 27, 2012 compared to $80.6 million for the 2011 period. The Company’s number of local advertising contracts increased 4.6% as our smaller clients began to spend again with the improving economic climate. The number of our network screens increased 3.7%, and the average contract value increased 1.0% due to an increase in the number of regional contracts. The increase is partially offset by a 7.9% decrease in local revenue per theatre attendee.</w:t>
      </w:r>
    </w:p>
    <w:p>
      <w:pPr>
        <w:spacing w:after="0" w:line="11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decreased $9.9 million, or 20.1% to $39.3 million for the year ended December 27, 2012 compared to $49.2 million for the 2011 period. The decrease was primarily from Fathom Business Events revenue that decreased $9.1 million as this division was wound-down and shifted back to NCM LLC’s founding member circuits during the first quarter of 2012 per the terms of the ESA, and a decrease in Fathom Consumer Events revenue of $0.8 million, or 2.3%, from $34.2 million for the year ended December 27, 2012 to $35.0 million for the year ended December 29, 2011. The decrease in Fathom Consumer revenue was due to a 13.5% decrease in events and 6.8% decrease in average event ticket price, offset by a 5.0% increase in paid event attendance, related to a focus on higher quality events.</w:t>
      </w:r>
    </w:p>
    <w:p>
      <w:pPr>
        <w:spacing w:after="0" w:line="12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27, 2012 were $257.0 million, an increase of 6.3%, from $241.7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2011 period. Below is a discussion of the operating expenses.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$6.7 million, or 27.2%, from $24.6 million for the year ended December 29, 2011 to</w:t>
      </w:r>
    </w:p>
    <w:p>
      <w:pPr>
        <w:spacing w:after="0" w:line="38" w:lineRule="exact"/>
        <w:rPr>
          <w:sz w:val="20"/>
          <w:szCs w:val="20"/>
          <w:color w:val="auto"/>
        </w:rPr>
      </w:pPr>
    </w:p>
    <w:p>
      <w:pPr>
        <w:jc w:val="both"/>
        <w:ind w:left="460"/>
        <w:spacing w:after="0" w:line="302" w:lineRule="auto"/>
        <w:rPr>
          <w:sz w:val="20"/>
          <w:szCs w:val="20"/>
          <w:color w:val="auto"/>
        </w:rPr>
      </w:pPr>
      <w:r>
        <w:rPr>
          <w:rFonts w:ascii="Arial" w:cs="Arial" w:eastAsia="Arial" w:hAnsi="Arial"/>
          <w:sz w:val="16"/>
          <w:szCs w:val="16"/>
          <w:color w:val="auto"/>
        </w:rPr>
        <w:t>$31.3 million for the year ended December 27, 2012. This increase was primarily the result of a $6.5 million increase in payments made to our advertising affiliates primarily due to a 3.7% increase in network affiliate screens, as well as the increase in national advertising revenue (excluding beverage revenue). As a percentage of total network screens, affiliate screens increased from 18.2% as of December 29, 2011 to 19.7% as of December 27, 2012.</w:t>
      </w:r>
    </w:p>
    <w:p>
      <w:pPr>
        <w:spacing w:after="0" w:line="109" w:lineRule="exact"/>
        <w:rPr>
          <w:sz w:val="20"/>
          <w:szCs w:val="20"/>
          <w:color w:val="auto"/>
        </w:rPr>
      </w:pPr>
    </w:p>
    <w:p>
      <w:pPr>
        <w:jc w:val="both"/>
        <w:ind w:left="460" w:right="60"/>
        <w:spacing w:after="0" w:line="298"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decreased $5.1 million, or 15%, from $34.1 million for the year ended December 29, 2011 to $29.0 million for the year ended December 27, 2012. The decrease was primarily due to a decrease in costs associated with the Fathom Business Events division which declined $5.0 million as this division was wound-down in the first quarter of 2012. The Fathom Consumer Events division operating costs were approximately the same as 2011, consistent with the relatively flat year to year revenue.</w:t>
      </w:r>
    </w:p>
    <w:p>
      <w:pPr>
        <w:spacing w:after="0" w:line="113" w:lineRule="exact"/>
        <w:rPr>
          <w:sz w:val="20"/>
          <w:szCs w:val="20"/>
          <w:color w:val="auto"/>
        </w:rPr>
      </w:pPr>
    </w:p>
    <w:p>
      <w:pPr>
        <w:jc w:val="both"/>
        <w:ind w:left="460" w:right="300"/>
        <w:spacing w:after="0" w:line="30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increased $1.2 million, or 6.5%, from $18.6 million for the year ended December 29, 2011 to $19.8 million for the year ended December 27, 2012. The increase was primarily due to an increase in year-end performance bonuses due to a better performance against internal goals and an increase in the average number of total network screens during 2012 compared to 2011.</w:t>
      </w:r>
    </w:p>
    <w:p>
      <w:pPr>
        <w:spacing w:after="0" w:line="107" w:lineRule="exact"/>
        <w:rPr>
          <w:sz w:val="20"/>
          <w:szCs w:val="20"/>
          <w:color w:val="auto"/>
        </w:rPr>
      </w:pPr>
    </w:p>
    <w:p>
      <w:pPr>
        <w:jc w:val="both"/>
        <w:ind w:left="460" w:right="200"/>
        <w:spacing w:after="0" w:line="259"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increased $9.1 million, or 16.4%, from $55.4 million for the year ended December 29, 2011 to $64.5 million for the year ended December 27, 2012. The increase was due in part to contractual rate increases specified in the ESA, including an annual 5% rate increase per digital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screen and an 8% increase in the payment per patron fee which occurs every five years with the first such increase taking effect in 2012. Theatre access fees also increased due to NCM LLC’s founding member attendance increasing by 8.4% for 2012, compared to 2011. In addition, payments to NCM LLC’s founding members to obtain access to higher quality digital cinema equipment increased due to a higher number of NCM LLC’s founding member theatres equipped with this technology.</w:t>
      </w:r>
    </w:p>
    <w:p>
      <w:pPr>
        <w:spacing w:after="0" w:line="143"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$0.7 million, or 1.2%, from $59.8 million for the year ended December 29, 2011 to $60.5 million for the year ended December 27, 2012. This increase was primarily due to an increase in advertising related selling and marketing costs of $5.1 million, offset by a decrease in selling and marketing costs associated with the Fathom Events of $3.6 million, and a decrease in stock-based compensation expense of $0.6 million. Advertising related selling and marketing costs increased due to an increase in online publisher expense (related to the increase in online revenue), increase in commission expense related to higher online and mobile revenue (related to the increase in online revenue), and an increase in promotional and merchandising expense. The $3.6 million decrease in Fathom Events selling and marketing costs was due primarily to the wind-down of the Fathom Business Events division during the first quarter of 2012.</w:t>
      </w:r>
    </w:p>
    <w:p>
      <w:pPr>
        <w:spacing w:after="0" w:line="118"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$1.1 million, or 3.6%, from $30.4 million for the year ended December 29, 2011 to $31.5 million for the year ended December 27, 2012. The increase was primarily due to $1.6 million increase in performance bonus expense associated with the better performance against internal goals, $1.0 million increase in professional service fees primarily related to a one-time fee paid to consultants assisting us with the restructuring of the Fathom business, a $1.1 million increase in salary and related employee expenses primarily related to software developers working on our new advertising proposal and inventory management systems, partially offset by a decline of $2.2 million in stock-based compensation expense.</w:t>
      </w:r>
    </w:p>
    <w:p>
      <w:pPr>
        <w:spacing w:after="0" w:line="144"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$1.6 million to $20.4 million for the year ended December 27, 2012, compared to $18.8 million for the year ended December 29, 2011 primarily from increased amortization expense recognized on intangible assets for new network affiliate agreements added during late 2011 and 2012.</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i w:val="1"/>
          <w:iCs w:val="1"/>
          <w:color w:val="auto"/>
        </w:rPr>
        <w:t>Net income</w:t>
      </w:r>
      <w:r>
        <w:rPr>
          <w:rFonts w:ascii="Arial" w:cs="Arial" w:eastAsia="Arial" w:hAnsi="Arial"/>
          <w:sz w:val="15"/>
          <w:szCs w:val="15"/>
          <w:color w:val="auto"/>
        </w:rPr>
        <w:t>. Net income decreased $18.1 million, or 57.5%, from $31.5 million for the year ended December 29, 2011 to $13.4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27, 2012. The decrease was due primarily to a $26.7 million loss on the termination of our interest rate swap agreement associated with the portion of our term loan that was paid down during the second quarter of 2012 with the proceeds from the issuance of our Senior Secured Notes. Additionally, the decrease in net income was due to a $7.5 million increase in interest on borrowings due primarily to the issuance of Senior Unsecured Notes in July 2011 and to a lesser extent the issuance of our Senior Secured Notes in April 2012. Also, our income tax expense increased $7.3 million primarily due an adjustment to the measurement of our deferred tax asset and the long-term payable to our founding member liability’s expected net realized tax benefit which included approximately $9.6 million attributable to prior periods. See Note 6 to the audited consolidated financial statements. These decreases in net income were partially offset by a $17.2 million decrease in net income attributable to noncontrolling interest due to lower NCM LLC net income during the periods. Additionally, during the year ended December 29, 2011, we incurred an impairment charge of $6.7 million that we did not incur during the year ended December 27, 2012.</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29, 2011 and December 30, 2010</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for the year ended December 29, 2011 increased 1.8% to $435.4 million compared to $427.5 million for the 2010 period.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total revenue was the result of a 1.8% increase in total advertising revenue (including revenue from NCM LLC’s founding member beverage concessionaire agreements, or “beverage revenue”) and a 2.5% increase in Fathom Events revenue. Total advertising revenue (including beverage revenue) per attendee for the year ended December 29, 2011 increased 1.8%. Total advertising revenue per attendee (excluding beverage revenue) increased 1.9% to $0.547 from $0.537 for the 2010 period. The increase in the advertising revenue per attendee is due to the impact of a 1.8% increase in total advertising revenue (including beverage revenue), combined with the 0.1% decrease in theatre attendance.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5"/>
              </w:rPr>
              <w:t>$ Change</w:t>
            </w: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December 29,</w:t>
            </w: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2010 to 2011</w:t>
            </w: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2010 to 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70.3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435.</w:t>
            </w:r>
            <w:r>
              <w:rPr>
                <w:rFonts w:ascii="Arial" w:cs="Arial" w:eastAsia="Arial" w:hAnsi="Arial"/>
                <w:sz w:val="18"/>
                <w:szCs w:val="18"/>
                <w:u w:val="single" w:color="auto"/>
                <w:color w:val="auto"/>
              </w:rPr>
              <w:t>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427.</w:t>
            </w:r>
            <w:r>
              <w:rPr>
                <w:rFonts w:ascii="Arial" w:cs="Arial" w:eastAsia="Arial" w:hAnsi="Arial"/>
                <w:sz w:val="18"/>
                <w:szCs w:val="18"/>
                <w:u w:val="single" w:color="auto"/>
                <w:color w:val="auto"/>
              </w:rPr>
              <w:t>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4</w:t>
            </w:r>
          </w:p>
        </w:tc>
        <w:tc>
          <w:tcPr>
            <w:tcW w:w="7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National advertising revenues of $305.6 million (including $38.0 million of beverage revenue) for the year ended December 29, 2011 decreased 1.2% from $309.2 million (including $37.2 million of beverage revenue) for the 2010 period. National advertising revenue (excluding beverage revenue) for the year ended December 29, 2011 decreased $4.4 million, or 1.6% to $267.6 million compared to $272.0 million for the 2010 period. Below is a discussion of the national advertising revenue.</w:t>
      </w:r>
    </w:p>
    <w:p>
      <w:pPr>
        <w:spacing w:after="0" w:line="62" w:lineRule="exact"/>
        <w:rPr>
          <w:sz w:val="20"/>
          <w:szCs w:val="20"/>
          <w:color w:val="auto"/>
        </w:rPr>
      </w:pPr>
    </w:p>
    <w:p>
      <w:pPr>
        <w:ind w:left="900" w:right="140" w:hanging="325"/>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very strong TV upfront during May and June followed by a weakening of the economy in July through October when a large percentage of our fourth quarter national advertising commitments are secured. These factors combined with a reduction in the spending of one significant military client in the first quarter contributed to a decrease in inventory utilization (excluding beverage revenue) to 100.3% for the year ended December 29, 2011 as compared to 101.5% for the year ended December 30, 2010.</w:t>
      </w:r>
    </w:p>
    <w:p>
      <w:pPr>
        <w:spacing w:after="0" w:line="6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utilization is calculated based on eleven 30-second salable national advertising units in our pre-show, which can be expanded. The decrease in client budgets available to us and our lower utilization also contributed to a 0.4% decrease in national advertising CPMs (excluding beverage revenue).</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2.2% increase in payments from NCM LLC’s founding members for their beverage concessionaire agreements was due primarily to the impact of the annual contractual 6% beverage revenue CPM increase.</w:t>
      </w:r>
    </w:p>
    <w:p>
      <w:pPr>
        <w:spacing w:after="0" w:line="5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decrease in NCM LLC’s founding member attendance for 2011 as compared to 2010. The decrease in NCM LLC’s founding member attendance reflects lower overall industry attendance, offset by the acquisition of certain Kerasotes theatres (previously a network affiliate) by AMC in mid-2010.</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make-good reserve balance of $2.7 million as of December 29, 2011 decreased slightly from a balance of $2.8 million as of December 30, 2010. The Company expects to recognize the majority of this make-good reserve balance in the first quarter of 2012.</w:t>
      </w:r>
    </w:p>
    <w:p>
      <w:pPr>
        <w:spacing w:after="0" w:line="132"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Local advertising revenue increased $10.3 million, or 14.7%, to $80.6 million for the year ended December 29, 2011 compared to $70.3 million for the 2010 period. The increase was due to the continued expansion of our network that resulted in better geographic coverage allowing us to sell more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spacing w:after="0" w:line="255" w:lineRule="auto"/>
        <w:rPr>
          <w:sz w:val="20"/>
          <w:szCs w:val="20"/>
          <w:color w:val="auto"/>
        </w:rPr>
      </w:pPr>
      <w:r>
        <w:rPr>
          <w:rFonts w:ascii="Arial" w:cs="Arial" w:eastAsia="Arial" w:hAnsi="Arial"/>
          <w:sz w:val="18"/>
          <w:szCs w:val="18"/>
          <w:color w:val="auto"/>
        </w:rPr>
        <w:t>effectively to larger regional clients and nationally recognized clients that placed ads regionally. The Company’s number of local advertising contracts decreased 7.5% due to the continued impact of the weak economy on smaller businesses, while the average contract value increased 23.4% due to increased sales to larger regional clients or nationally recognized clients placing ads regionally. Local revenue per theatre attendee increased 15.5% to $0.127 per attendee for the full year of 2011 compared to $0.110 for the 2010 period, due to the increase in revenue combined with a 0.1% decrease in theatre attendance.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increased 2.5%, or $1.2 million, to $49.2 million for the year ended December 29, 2011 compared to</w:t>
      </w:r>
    </w:p>
    <w:p>
      <w:pPr>
        <w:spacing w:after="0" w:line="38" w:lineRule="exact"/>
        <w:rPr>
          <w:sz w:val="20"/>
          <w:szCs w:val="20"/>
          <w:color w:val="auto"/>
        </w:rPr>
      </w:pPr>
    </w:p>
    <w:p>
      <w:pPr>
        <w:ind w:left="460" w:right="180"/>
        <w:spacing w:after="0" w:line="295" w:lineRule="auto"/>
        <w:rPr>
          <w:sz w:val="20"/>
          <w:szCs w:val="20"/>
          <w:color w:val="auto"/>
        </w:rPr>
      </w:pPr>
      <w:r>
        <w:rPr>
          <w:rFonts w:ascii="Arial" w:cs="Arial" w:eastAsia="Arial" w:hAnsi="Arial"/>
          <w:sz w:val="16"/>
          <w:szCs w:val="16"/>
          <w:color w:val="auto"/>
        </w:rPr>
        <w:t>$48.0 million for the 2010 period. Our Fathom Consumer events revenue increased $3.5 million or 11.1% due to a 40.5% increase in the number of event nights offset by a 25.0% decrease in revenue per event related to the testing of several new event genres. This increase was offset by a $2.3 million, or 13.9% decrease in Fathom Business events revenue due to continued negative impact from the slow economic recovery and the competitive impact of better meeting facilities being built in hotels and more robust meeting services being offered on the internet.</w:t>
      </w:r>
    </w:p>
    <w:p>
      <w:pPr>
        <w:spacing w:after="0" w:line="115"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29, 2011 were $241.7 million, an increase of 2.0% from $236.9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2010 period. Set forth below is a discussion of the more significant operating expenses.</w:t>
      </w:r>
    </w:p>
    <w:p>
      <w:pPr>
        <w:spacing w:after="0" w:line="13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of $24.6 million for the year ended December 29, 2011 increased 13.4% from the $21.7 million for the 2010 period. This increase was primarily the result of the 14.7% increase in local advertising revenue combined with the increase in the percentage of affiliate attendance in 2011 versus 2010, which resulted in a $4.2 million, or 29.2% increase in the network affiliate theatre circuits expense. This increase was partially offset by a $1.0 decrease in advertising supply costs.</w:t>
      </w:r>
    </w:p>
    <w:p>
      <w:pPr>
        <w:spacing w:after="0" w:line="143" w:lineRule="exact"/>
        <w:rPr>
          <w:sz w:val="20"/>
          <w:szCs w:val="20"/>
          <w:color w:val="auto"/>
        </w:rPr>
      </w:pPr>
    </w:p>
    <w:p>
      <w:pPr>
        <w:jc w:val="both"/>
        <w:ind w:left="460" w:right="80"/>
        <w:spacing w:after="0" w:line="335" w:lineRule="auto"/>
        <w:rPr>
          <w:sz w:val="20"/>
          <w:szCs w:val="20"/>
          <w:color w:val="auto"/>
        </w:rPr>
      </w:pPr>
      <w:r>
        <w:rPr>
          <w:rFonts w:ascii="Arial" w:cs="Arial" w:eastAsia="Arial" w:hAnsi="Arial"/>
          <w:sz w:val="15"/>
          <w:szCs w:val="15"/>
          <w:u w:val="single" w:color="auto"/>
          <w:color w:val="auto"/>
        </w:rPr>
        <w:t>Fathom Events operating costs.</w:t>
      </w:r>
      <w:r>
        <w:rPr>
          <w:rFonts w:ascii="Arial" w:cs="Arial" w:eastAsia="Arial" w:hAnsi="Arial"/>
          <w:sz w:val="15"/>
          <w:szCs w:val="15"/>
          <w:color w:val="auto"/>
        </w:rPr>
        <w:t xml:space="preserve"> Fathom Events operating costs of $34.1 million for the year ended December 29, 2011 increased 5.2% compared to $32.4 million during the 2010 period. The increase was primarily the result of the increased revenue generated by the Fathom Consumer division, which resulted in an increase in payments to content producers, as well as the increase in the revenue share payments to NCM LLC’s founding members and affiliates.</w:t>
      </w:r>
    </w:p>
    <w:p>
      <w:pPr>
        <w:spacing w:after="0" w:line="88"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$18.6 million for the year ended December 29, 2011 decreased 7.0% compared to $20.0 million for the 2010 period due primarily to a decrease in personnel costs, resulting from lower cash incentive compensation related to not reaching internal financial targets, as well as decreases in maintenance costs related to the transition to digital cinema projectors at NCM LLC’s founding member theatres. The number of screens in our network that utilized digital cinema projectors increased to 10,371 as of December 29, 2011 versus 2,487 as of December 30, 2010, an increase of over 300%. Total digital network screens operated increased to 17,698, or 10.6%, from 16,003 in 2010. This increase is due primarily to the addition of network affiliates and the conversion of non-digital NCM LLC’s founding members’ screens to the digital cinema technology.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$55.4 million for the year ended December 29, 2011 compared to $52.6 million for the 2010 period. The</w:t>
      </w:r>
    </w:p>
    <w:p>
      <w:pPr>
        <w:spacing w:after="0" w:line="38"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5.3% increase for 2011 versus the 2010 period was the result of the annual 5% rate increase per digital screen specified in the ESA and payments to NCM LLC’s founding members associated with our access to the higher quality digital cinema equipment, partially offset by a 2.0% decrease in NCM LLC’s founding member attendance.</w:t>
      </w:r>
    </w:p>
    <w:p>
      <w:pPr>
        <w:spacing w:after="0" w:line="144"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3.3% to $59.8 million for the year ended December 29, 2011 from $57.9 million for the 2010 period. This increase was primarily due to $1.5 million of increased salaries and benefits from an increase in local and regional sales commissions (related to higher sales levels) and the addition of national and regional sales people to support the growth of our advertising network and expansion of our client base, slightly offset by a decrease in national sales personnel cash incentive compensation due to not reaching internal national sales targets. We also increased our marketing expense by $0.5 million to support our sales efforts and expanding client base.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18" w:lineRule="auto"/>
        <w:rPr>
          <w:sz w:val="20"/>
          <w:szCs w:val="20"/>
          <w:color w:val="auto"/>
        </w:rPr>
      </w:pPr>
      <w:r>
        <w:rPr>
          <w:rFonts w:ascii="Arial" w:cs="Arial" w:eastAsia="Arial" w:hAnsi="Arial"/>
          <w:sz w:val="15"/>
          <w:szCs w:val="15"/>
          <w:u w:val="single" w:color="auto"/>
          <w:color w:val="auto"/>
        </w:rPr>
        <w:t>Administrative and other costs.</w:t>
      </w:r>
      <w:r>
        <w:rPr>
          <w:rFonts w:ascii="Arial" w:cs="Arial" w:eastAsia="Arial" w:hAnsi="Arial"/>
          <w:sz w:val="15"/>
          <w:szCs w:val="15"/>
          <w:color w:val="auto"/>
        </w:rPr>
        <w:t xml:space="preserve"> Administrative and other costs for the year ended December 29, 2011 was $30.4 million compared to $34.5 million for the 2010 period, a decrease of 11.9%. This decrease was primarily due to reduced non-cash share based compensation expense as well as lower cash incentive payments to reflect not reaching internal annual financial targets. The 2010 incentive compensation reflected over-achievement of internal targets. This decrease was partially offset by increases in salaries and benefits in human resources and information systems areas to support the growth of our company and to support development of more robust inventory management systems to enhance delivery, reporting and management of sales data.</w:t>
      </w:r>
    </w:p>
    <w:p>
      <w:pPr>
        <w:spacing w:after="0" w:line="10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5.6%, or $1.0 million, to $18.8 million for the year ended December 29, 2011, compared to $17.8 million for the 2010 period. This increase relates to higher amortization expense recognized on additional intangible assets recorded in 2010 related to the annual and special Common Unit Adjustments. The increased amortization expense was offset by decreases in depreciation expense on internally developed software added in 2007 and prior that is fully depreciated, offset by the addition of network equipment installed within network affiliate theatres.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year ended December 29, 2011 was $31.5 million, an increase of 7.9% over the $29.2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30, 2010. The increase was due primarily to the $3.1 million, or 1.6% increase in operating income and the $10.8 million, or 13.5% decrease in net income attributable to noncontrolling interests. The decrease in net income attributable to noncontrolling interests is related to lower NCM LLC net income partially offset by the impact of the redemption of common membership units during the third quarter of 2010 and a $6.7 million non-operating impairment charge which related to our investment in RMG as discussed in Note 13 to the consolidated financial statements included elsewhere in this document. Net interest expense increased $6.8 million due to the third quarter 2011 amendment of our credit facility and completion of the issuance of $200.0 million in 7.875% Senior Notes due in 2021 (see Note 9 to the audited consolidated financial statements included elsewhere in this document), including the $1.5 million non-cash charge for deferred loan fees associated with the portion of the existing credit facility that was prepaid with the proceeds from the Senior Notes. The increase in interest expense is offset by $4.0 million non-cash decrease in the charge related to the change in derivative fair value related to an interest rate hedge associated with our senior secured credit facility from decreases in market interest rates. The increase in the provision for income taxes of $2.6 million to $19.4 million for the year ended December 29, 2011 is due primarily to a $1.5 million change in the valuation allowance on our investment in RMG as well as higher taxable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5"/>
          <w:szCs w:val="15"/>
          <w:color w:val="auto"/>
        </w:rPr>
        <w:t>The current macro-economic environment and its impact on the national television scatter advertising market in general, present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the effectiveness of cinema advertising relative to other advertising mediums, the effectiveness and increasing scale of our national network and the related increase in salable advertising impressions and Fathom live broadcast locations. During 2012, we added several new affiliate theatres to our national network including: Cinema Supply, Incorporated, Dickinson Theatres, Inc., Far Away Entertainment, King Theatres Circuit LLC, Star Cinema Grill, Texas Cinemas, Corp., O’Neil Entertainment Group, United Entertainment Corp, Fairchild Cinemas, Inc., Loeks Theatres, Inc. (Celebration! Cinema), Kerasotes ICON Theatres and Rocky Mountain Cinemas, Inc. d.b.a. Aurora Cinema Grill, and during the fourth quarter of 2012 and first quarter of 2013 we have contracted to add HM Theaters, Inc. and Marquee Cinemas, Inc. which will join our advertising network in the first and second quarter, respectively, of 2013. In total, these contracted new affiliate theatres that have joined our network during 2012 and early 2013 are expected to add approximately 25 million new attendees on a full-year pro-forma basis, which we expect will result in approximately 350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to expand our revenue, operating income and cash flow in 2013 and beyond. We believe that the continued growth of our network will expand our national reach and geographic coverage to strengthen our selling proposition and competitive positioning versus other national and regional advertising platforms.</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NCM LLC’s founding members to satisfy their on-screen advertising commitments under their beverage concessionaire agreements. During 2012 and in 2011, we sold 60 seconds to NCM LLC’s founding members. We expect to continue to sell 60 seconds of time to NCM LLC’s founding members in 2013.</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In consideration for NCM LLC’s access to NCM LLC’s founding members’ theatre attendees for on-screen advertising and use of off-screen locations within NCM LLC’s founding members’ theatres for the LEN and lobby promotions, NCM LLC’s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in 2012, and the payment per digital screen increases annually by 5%. The theatre access fee paid in the aggregate to all NCM LLC founding members cannot be less than 12% of NCM LLC’s aggregate advertising revenue (as defined in the ESA), or it will be adjusted upward to reach this minimum payment. Pursuant to 2010 ESA Amendments, beginning on October 1, 2010 the theatre access fee paid to the members of NCM LLC included an additional fee for access to the higher quality digital cinema systems for our advertising and Fathom business; this additional fee increased in 2012 and will continue to increase in 2013 as additional screens are equipped with the new digital cinema equipment and the fee increases annually by 5%. As of December 27, 2012, 96% of our network screens were showing advertising on digital cinema projectors versus 95% as of December 29, 2011.</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2012, the Company restructured Fathom Events by winding down its Fathom Business Events division, to place more focus on the Fathom Consumer Events division. The Company continued to operate the Fathom Business Events division for a portion of the first quarter of 2012 to satisfy contractual obligations for events and will continue to execute business events on a periodic basis for existing long-term Fathom clients, or if requested by NCM LLC’s founding members or to support events staged for NCM’s major advertising clients.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2012 and 2011, we amended our senior secured credit facility and issued new Senior Unsecured Notes and Senior Secured Notes. These transactions are described in Note 9 to the audited consolidated financial statements. As a result of these transactions we have extended the average maturities of our debt by 6.3 years to 8.4 years as of December 27, 2012 and our cash interest expense on borrowings is projected to decrease approximately $3.5 million for 2013 compared to 2012, before the amortization of Other Comprehensive Income (“OCI”).</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discussed in Notes 6 and 12 to the audited consolidated financial statements included elsewhere in this document, NCM LLC’s fiscal year 2007 and 2008 tax returns are currently under examination by the IRS and in September 2011, NCM LLC received a Notice of Proposed Adjustment (“NOPA”) for the calendar year 2007 examination primarily related to characterization of the cash received by NCM LLC’s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NCM, Inc., in its capacity as tax matters partner for NCM LLC, received a “60 Day Letter” from the IRS, dated April 25, 2012, in connection with the examination of NCM LLC’s federal tax return for the 2007 and 2008 fiscal years. The 60 Day Letter notified NCM LLC that the IRS intended to adjust partnership items unless a written letter of protest was received by the IRS within 60 days of the date of the letter. Subsequent to the receipt of the 60 Day Letter, NCM, Inc. received from the IRS an additional 30 day extension to respond. The adjustments proposed by the IRS in the 60 Day Letter are materially similar to the adjustments proposed in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NOPA received in September 2011.The Company submitted its written letter of protest to the IRS in July 2012 and believes the IRS’ position lacks merit and is disputing the adjustments through the administrative appeals process. In December 2012, NCM LLC was notified by the IRS that its case had formally been transferred from examination to administrative appeals. There has not been a formal appeals conference scheduled as of February 21, 2013.</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It is reasonably possible that, should the IRS prevail, the Company may be required to pay additional amounts to NCM LLC’s founding members under the tax receivable agreement which would be offset by refunds from various state and federal taxing authorities thus it would not have a material adverse impact on our cash flow or financial condition. However, at this time the amount of any such payments to NCM LLC’s founding members or refunds from the various taxing authorities cannot be reasonably estimated.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effective tax rate for the years ended December 27, 2012, December 29, 2011 and December 30, 2010 was 67.2%, 38.2% and 36.7%, respectively. Our tax rate is affected by recurring items and the relative amount of income that NCM, Inc. earns in various state and local jurisdictions. Our tax rate is also impacted by discrete items that may occur in any year. The increase in tax rate for the year ended December 27, 2012 is primarily due an adjustment to the measurement of our long-term payable to our founding member liability’s expected net realized tax benefit which included approximately $9.6 million attributable to prior periods. See Note 6 to the audited consolidated financial statements included elsewhere in this document.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net income and earnings per share could fluctuate significantly with interest rate fluctuations related to our borrowings. We believe these fluctuations may continue. See Note 9 to the audited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of December 27, 2012, our cash, cash equivalents and short-term and long-term marketable securities balance was $106.6 million, an increase of $8.5 million compared to the balance of $98.1 million as of December 29, 2011. This increase in cash, cash equivalents and marketable securities as of December 27, 2012, combined with a $110.0 million of borrowing availability on our revolving credit facility, results in total liquidity availability of $216.6 million or a $43.5 million increase versus the availability as of December 29, 2011. Our cash balances can fluctuate due to the seasonality of our business and related timing of collections of accounts receivable balances and operating expenditure payments, as well as available cash payments (as defined) to NCM LLC’s founding members, interest payments on our term loan, the Senior Secured Notes and Senior Unsecured Notes, and principal payments on debt, income tax payments, tax sharing payments to NCM LLC’s founding members and quarterly dividends to NCM, Inc.’s common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17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r>
      <w:tr>
        <w:trPr>
          <w:trHeight w:val="161"/>
        </w:trPr>
        <w:tc>
          <w:tcPr>
            <w:tcW w:w="336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Investing cash flow</w:t>
            </w:r>
          </w:p>
        </w:tc>
        <w:tc>
          <w:tcPr>
            <w:tcW w:w="212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(144.8)</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Flows—Years Ended December 27, 2012 and December 29, 2011</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decrease in cash provided by operating activities for the year ended December 27, 2012 versus the 2011 period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$63.4 million paid for the swap terminations and an increase in interest on borrowings.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cash used in investing activities for the year ended December 27, 2012 decreased compared to the year ended December 29, 2011.</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was attributable to lower capital expenditures of $3.3 million and an increase in proceeds from the sale of marketable securities of $30.5 million. Additionally, the purchases of intangible assets decreased by $8.7 million. The decrease was partially offset by an $8.8 million increase in purchases of marketable securities.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cash used for financing activities for the year ended December 27, 2012 versus the 2011 period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cash proceeds from borrowings, net of payments of $67.2 million related to the issuance of the Senior Secured Notes during the period and an increase in our term loan in the fourth quarter. Additionally, the distribution to NCM LLC’s founding members decreased $8.6 million from the period ended December 29, 2011 to the period ended December 27, 2012. The overall increase is partially offset by an increase of $4.9 million in payments of our debt issuance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Flows—Years Ended December 29, 2011 and December 30, 2010</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increase in cash provided by operating activities for the year ended December 29, 2011 versus the 2010 period was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increase in operating income, the timing of the collection of accounts receivable balances, as well as the timing of normal operating expenses offset by the timing of payments for income taxes and taxes due under the tax sharing agreement and the timing of interest payments on our outstanding borrowings.</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The increase in cash used for investing activities for the year ended December 29, 2011 versus the 2010 period was due to the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to purchase intangible assets associated with our advertising affiliate contracts, net cash used to purchase marketable securities, and to a lesser extent the level of capital expenditure investments in our software and other systems during 2011 compared to 2010 and the proceeds from the sale of fixed assets during 2010 related to network equipment in Kerasotes Theatres acquired by AMC.</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cash used for financing activities for the year ended December 29, 2011 versus the 2010 period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2011 amendment of our credit facility agreement and placement and registration of $200.0 million in aggregate principal amount of 7.875% Senior Unsecured Notes due in 2021. A portion of the proceeds from the Senior Unsecured Notes were used to prepay $175.0 million of unhedged outstanding term loan borrowings under our senior secured credit facility, as well as to pay debt issuance costs. The net decrease in financing activities is also due to an increase in our quarterly dividend offset by a decrease in net revolver activity and less available cash distributions to NCM LLC’s founding members compared to 2010.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NCM, Inc.’s primary source of liquidity and capital resources include available cash distributions from NCM LLC, existing cash balances and marketable securities which were $96.2 million at December 27, 2012. NCM LLC’s primary sources of liquidity and capital resources are its operating activities and availability under its senior secured revolving credit facility and cash on hand. Refer to Note 9 to the consolidated financial statements included elsewhere in this document and “Financings” below for a detailed discussion of the debt transactions in 2011 and 2012.</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NCM LLC’s founding members can be impacted by the seasonality in advertising revenues, interest on borrowings under our revolving credit agreement and to a lesser extent theatre attendance. NCM LLC is required pursuant to the terms of its operating agreement to distribute its available cash, as defined in the operating agreement, to its members (NCM LLC’s founding members and NCM, Inc.). The available cash distribution to the members of NCM LLC for the year ended December 27, 2012 was $149.6 million, of which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$72.8 million was distributed to NCM, Inc. NCM, Inc. expects to use cash received from the available cash distributions and its cash balances to fund income taxes, payments associated with the tax sharing agreement with NCM LLC’s founding members and current and future dividends as declared by the Board of Directors, including a dividend declared in February 2013 of $0.22 per share (approximately $12.0 million) which will be paid on March 21, 2013 to stockholders of record on March 7, 2013. Distributions from NCM LLC and NCM, Inc. cash balances should be sufficient to fund the above listed items for the foreseeable future at the discretion of the Board of Directors dependent upon anticipated cash needs, overall financial condition, future prospects for earnings, available cash and cash flows as well as other relevant factors.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Capital expenditures of NCM LLC have typically been capitalized software upgrades for our DCS and advertising proposal and inventory management system being developed primarily by our programmers, equipment required for our NOC and content production and post-production facilities, office leasehold improvements, desktop equipment for use by our employees, and in certain cases, the costs necessary to digitize all or a portion of a network affiliate’s theatres when they are added to our network. Capital expenditures for the year ended December 27, 2012 were $10.4 million (including $3.2 million associated with network affiliate additions) compared to $13.7 million (including $4.4 million associated with network affiliate additions) for the 2011 period. The capital expenditures have typically been satisfied through cash flow from operations. All capital expenditures related to the DCN within NCM LLC’s founding members’ theatres have been made by NCM LLC’s founding members under the ESAs. We expect they will continue to be made by NCM LLC’s founding members in accordance with the ESAs.</w:t>
      </w:r>
    </w:p>
    <w:p>
      <w:pPr>
        <w:spacing w:after="0" w:line="1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expect to make approximately $11.0 million to $13.0 million of capital expenditures in fiscal 2013, primarily for upgrades to our DCS distribution software and our internal management systems, including our advertising inventory optimization, management and reporting systems, our internet site, mobile apps and network equipment related to currently contracted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prepare us for continued growth. Our capital expenditures may be increased should we decide to add any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Financings</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NCM LLC’s senior secured credit facility consists of a $124.0 million revolving credit facility and a $265.0 million term loan. The obligations under the senior secured credit facility are secured by a lien on substantially all of the assets of NCM LLC. On July 5, 2011, NCM LLC completed a private placement of $200.0 million in aggregate principal amount of 7.875% Senior Unsecured Notes for which the exchange offer was completed on September 22, 2011. On April 27, 2012, NCM LLC completed a private placement of $400.0 million in aggregate principal amount of 6.00% Senior Secured Notes for which the exchange offer was completed on November 27, 2012. For further information see Note 9 to the audited consolidated financial statements located elsewhere in this document.</w:t>
      </w:r>
    </w:p>
    <w:p>
      <w:pPr>
        <w:spacing w:after="0" w:line="14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with which the NCM LLC was in compliance at December 27, 2012, including maintaining a consolidated net senior secured leverage ratio of 6.5 times on a quarterly basis. NCM LLC is permitted to make quarterly dividend payments and other payments based on leverage ratios for NCM LLC and its subsidiaries so long as no default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event of default has occurred and continues to occur. The quarterly dividend payments and other distributions are made if the consolidated net senior secured leverage ratio is less than or equal to 6.5 times.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subsidiary,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27, 2012, the NCM LLC’s consolidated net senior secured leverage ratio was 3.1 times (versus the covenant of 6.5 times).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significant accounting policies of the Company are described in Note 1 of the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The Company’s Equity Incentive Plan is treated as an equity plan under the provisions of Accounting Standards Codification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(“ASC”) 718—</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and the determination of fair value of options and non-vested stock for accounting purposes requires that management make complex estimates and judgments.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utilize the Black-Scholes option pricing model to estimate the fair value of our options. This model requires that the Company make estimates of various factors used. The following assumptions were used in the valuation of the options:</w:t>
      </w:r>
    </w:p>
    <w:p>
      <w:pPr>
        <w:spacing w:after="0" w:line="51" w:lineRule="exact"/>
        <w:rPr>
          <w:sz w:val="20"/>
          <w:szCs w:val="20"/>
          <w:color w:val="auto"/>
        </w:rPr>
      </w:pPr>
    </w:p>
    <w:p>
      <w:pPr>
        <w:ind w:left="90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Expected life of options—The expected life of the options is determined by using the average of the vesting and contractual terms of the options. Due to the length of time over which our options have been outstanding, the Company has not developed a historical option exercise experience and has determined that the simplified method is a reasonable basis to estimate the expected life of the options.</w:t>
      </w:r>
    </w:p>
    <w:p>
      <w:pPr>
        <w:spacing w:after="0" w:line="25"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 free interest rate—The risk-free interest rate is determined by using the applicable Treasury rates as of the grant dates, commensurate with the expected terms of the options.</w:t>
      </w:r>
    </w:p>
    <w:p>
      <w:pPr>
        <w:spacing w:after="0" w:line="50" w:lineRule="exact"/>
        <w:rPr>
          <w:rFonts w:ascii="Arial" w:cs="Arial" w:eastAsia="Arial" w:hAnsi="Arial"/>
          <w:sz w:val="18"/>
          <w:szCs w:val="18"/>
          <w:color w:val="auto"/>
        </w:rPr>
      </w:pPr>
    </w:p>
    <w:p>
      <w:pPr>
        <w:jc w:val="both"/>
        <w:ind w:left="900" w:right="32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Expected volatility—NCM closed its IPO on February 13, 2007. Since the length of time our shares have been publicly traded is shorter than the contractual terms of our options, we believe historical volatility may not be completely representative of future stock price trends. As a result, we derive a weighted expected volatility based on comparable companies as well as on our historical volatility.</w:t>
      </w:r>
    </w:p>
    <w:p>
      <w:pPr>
        <w:spacing w:after="0" w:line="25"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 yield—The estimated dividend yield was determined using management’s expectations based on estimated cash flow characteristics and expected long-term dividend policy.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Forfeiture rate—Our forfeiture rate is based on management’s expectations of potential separation of employees.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Certain of the non-vested stock awards include performance vesting conditions, which permit vesting to the extent that the Company achieves specified non-GAAP targets at the end of the measurement period. Compensation expense is based on management’s projections and the probability of achievement of those expectations,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account for income taxes in accordance with ASC 740—</w:t>
      </w:r>
      <w:r>
        <w:rPr>
          <w:rFonts w:ascii="Arial" w:cs="Arial" w:eastAsia="Arial" w:hAnsi="Arial"/>
          <w:sz w:val="16"/>
          <w:szCs w:val="16"/>
          <w:i w:val="1"/>
          <w:iCs w:val="1"/>
          <w:color w:val="auto"/>
        </w:rPr>
        <w:t>Income Taxes</w:t>
      </w:r>
      <w:r>
        <w:rPr>
          <w:rFonts w:ascii="Arial" w:cs="Arial" w:eastAsia="Arial" w:hAnsi="Arial"/>
          <w:sz w:val="16"/>
          <w:szCs w:val="16"/>
          <w:color w:val="auto"/>
        </w:rPr>
        <w:t>, which requires an asset and liability approach to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reporting for income taxes. Accordingly, deferred tax assets and liabilities arise from the differences between the tax basis of an asset or liability and its reported amount in the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currently have a $3.3 million valuation allowance against certain of our deferred tax assets as we believe it is more likely than not that we will not realize such assets in future periods as we do not expect offsetting capital gains. In addition, due to the basis differences resulting from our IPO-related transactions (including the tax receivable agreement with NCM LLC’s founding members) and subsequent adjustments pursuant to the common unit adjustment agreement, we are required to make cash payments under the tax receivable agreement to NCM LLC’s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NCM LLC’s founding members. Refer to Note 6 to the audited consolidated financial statements included elsewhere in this document.</w:t>
      </w:r>
    </w:p>
    <w:p>
      <w:pPr>
        <w:spacing w:after="0" w:line="12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we are subject to the examination of our income tax returns by the Internal Revenue Service and other tax authorities. NCM LLC’s calendar years 2007 and 2008 tax returns are currently under examination by tax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audited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8 to the audited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“—Contractual and Other Obligations” for further detail. We do not believe these arrangements are material to our current or future financial condition, results of operations, liquidity, capital resources or capital expenditures.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as of December 27, 2012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52"/>
              <w:spacing w:after="0"/>
              <w:rPr>
                <w:sz w:val="20"/>
                <w:szCs w:val="20"/>
                <w:color w:val="auto"/>
              </w:rPr>
            </w:pPr>
            <w:r>
              <w:rPr>
                <w:rFonts w:ascii="Arial" w:cs="Arial" w:eastAsia="Arial" w:hAnsi="Arial"/>
                <w:sz w:val="14"/>
                <w:szCs w:val="14"/>
                <w:b w:val="1"/>
                <w:bCs w:val="1"/>
                <w:color w:val="auto"/>
                <w:w w:val="86"/>
              </w:rPr>
              <w:t>Payments Due by Period</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9"/>
              </w:rPr>
              <w:t>less than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more than</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1 year</w:t>
            </w:r>
          </w:p>
        </w:tc>
        <w:tc>
          <w:tcPr>
            <w:tcW w:w="3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42"/>
        </w:trPr>
        <w:tc>
          <w:tcPr>
            <w:tcW w:w="11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 xml:space="preserve">Future cash interest on borrowings </w:t>
            </w:r>
            <w:r>
              <w:rPr>
                <w:rFonts w:ascii="Arial" w:cs="Arial" w:eastAsia="Arial" w:hAnsi="Arial"/>
                <w:sz w:val="18"/>
                <w:szCs w:val="18"/>
                <w:i w:val="1"/>
                <w:iCs w:val="1"/>
                <w:color w:val="auto"/>
              </w:rPr>
              <w:t>(2)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leases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 xml:space="preserve">Network affiliate agreements </w:t>
            </w:r>
            <w:r>
              <w:rPr>
                <w:rFonts w:ascii="Arial" w:cs="Arial" w:eastAsia="Arial" w:hAnsi="Arial"/>
                <w:sz w:val="18"/>
                <w:szCs w:val="18"/>
                <w:i w:val="1"/>
                <w:iCs w:val="1"/>
                <w:color w:val="auto"/>
              </w:rPr>
              <w:t>(3)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Payable to founding members under tax sharing agreement </w:t>
            </w:r>
            <w:r>
              <w:rPr>
                <w:rFonts w:ascii="Arial" w:cs="Arial" w:eastAsia="Arial" w:hAnsi="Arial"/>
                <w:sz w:val="18"/>
                <w:szCs w:val="18"/>
                <w:i w:val="1"/>
                <w:iCs w:val="1"/>
                <w:color w:val="auto"/>
              </w:rPr>
              <w:t>(4)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r>
      <w:tr>
        <w:trPr>
          <w:trHeight w:val="208"/>
        </w:trPr>
        <w:tc>
          <w:tcPr>
            <w:tcW w:w="7340" w:type="dxa"/>
            <w:vAlign w:val="bottom"/>
            <w:gridSpan w:val="2"/>
          </w:tcPr>
          <w:p>
            <w:pPr>
              <w:spacing w:after="0"/>
              <w:rPr>
                <w:sz w:val="20"/>
                <w:szCs w:val="20"/>
                <w:color w:val="auto"/>
              </w:rPr>
            </w:pPr>
            <w:r>
              <w:rPr>
                <w:rFonts w:ascii="Arial" w:cs="Arial" w:eastAsia="Arial" w:hAnsi="Arial"/>
                <w:sz w:val="18"/>
                <w:szCs w:val="18"/>
                <w:color w:val="auto"/>
              </w:rPr>
              <w:t>Future interest on payable to founding members under tax</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40" w:type="dxa"/>
            <w:vAlign w:val="bottom"/>
            <w:gridSpan w:val="2"/>
          </w:tcPr>
          <w:p>
            <w:pPr>
              <w:ind w:left="220"/>
              <w:spacing w:after="0"/>
              <w:rPr>
                <w:sz w:val="20"/>
                <w:szCs w:val="20"/>
                <w:color w:val="auto"/>
              </w:rPr>
            </w:pPr>
            <w:r>
              <w:rPr>
                <w:rFonts w:ascii="Arial" w:cs="Arial" w:eastAsia="Arial" w:hAnsi="Arial"/>
                <w:sz w:val="18"/>
                <w:szCs w:val="18"/>
                <w:color w:val="auto"/>
              </w:rPr>
              <w:t xml:space="preserve">sharing agreement </w:t>
            </w:r>
            <w:r>
              <w:rPr>
                <w:rFonts w:ascii="Arial" w:cs="Arial" w:eastAsia="Arial" w:hAnsi="Arial"/>
                <w:sz w:val="18"/>
                <w:szCs w:val="18"/>
                <w:i w:val="1"/>
                <w:iCs w:val="1"/>
                <w:color w:val="auto"/>
              </w:rPr>
              <w:t>(5)</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13.4</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r>
      <w:tr>
        <w:trPr>
          <w:trHeight w:val="216"/>
        </w:trPr>
        <w:tc>
          <w:tcPr>
            <w:tcW w:w="7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1,683.1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1,183.9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303" w:lineRule="auto"/>
        <w:tabs>
          <w:tab w:leader="none" w:pos="460" w:val="left"/>
        </w:tabs>
        <w:numPr>
          <w:ilvl w:val="0"/>
          <w:numId w:val="27"/>
        </w:numPr>
        <w:rPr>
          <w:rFonts w:ascii="Arial" w:cs="Arial" w:eastAsia="Arial" w:hAnsi="Arial"/>
          <w:sz w:val="15"/>
          <w:szCs w:val="15"/>
          <w:i w:val="1"/>
          <w:iCs w:val="1"/>
          <w:color w:val="auto"/>
        </w:rPr>
      </w:pPr>
      <w:r>
        <w:rPr>
          <w:rFonts w:ascii="Arial" w:cs="Arial" w:eastAsia="Arial" w:hAnsi="Arial"/>
          <w:sz w:val="15"/>
          <w:szCs w:val="15"/>
          <w:color w:val="auto"/>
        </w:rPr>
        <w:t>We have a $124.0 million variable rate revolving credit facility of which $14.0 million was outstanding as of December 27, 2012. Debt service requirements under this agreement depend on the amounts borrowed and the level of the base interest rate, in addition to a commitment fee on the unused portion of the revolving credit facility. See further discussion of the secured credit facility under “—Financial Condition and Liquidity-Financings” above.</w:t>
      </w:r>
    </w:p>
    <w:p>
      <w:pPr>
        <w:spacing w:after="0" w:line="1" w:lineRule="exact"/>
        <w:rPr>
          <w:rFonts w:ascii="Arial" w:cs="Arial" w:eastAsia="Arial" w:hAnsi="Arial"/>
          <w:sz w:val="15"/>
          <w:szCs w:val="15"/>
          <w:i w:val="1"/>
          <w:iCs w:val="1"/>
          <w:color w:val="auto"/>
        </w:rPr>
      </w:pPr>
    </w:p>
    <w:p>
      <w:pPr>
        <w:ind w:left="460" w:right="20" w:hanging="452"/>
        <w:spacing w:after="0" w:line="287" w:lineRule="auto"/>
        <w:tabs>
          <w:tab w:leader="none" w:pos="46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 xml:space="preserve">The amounts of future cash interest payments in the table above are based on the amount outstanding on the Senior Secured and Senior Unsecured Notes, term loan and estimated rates of interest over the term of the variable rate revolving credit facility and term loan. The Senior Unsecured Notes due in 2021 are at a fixed rate of 7.875%. The Senior Secured Notes due in 2022 are at a fixed rate of 6.00%. In addition, we have a variable rate term loan and revolving credit facility. Debt service requirements under this agreement depend on the amounts borrowed and the level of the base interest rate, in addition to a commitment fee on the unused portion of the revolving credit facility. See further discussion of the secured credit facility under “—Financial Condition and Liquidity-Financings” above. In addition to the cash interest, we expect to amortize $10.3 million and $10.0 million in 2013 and 2014 respectively, related to our terminated interest rate swap agreements as discussed in Footnote 14- </w:t>
      </w:r>
      <w:r>
        <w:rPr>
          <w:rFonts w:ascii="Arial" w:cs="Arial" w:eastAsia="Arial" w:hAnsi="Arial"/>
          <w:sz w:val="16"/>
          <w:szCs w:val="16"/>
          <w:i w:val="1"/>
          <w:iCs w:val="1"/>
          <w:color w:val="auto"/>
        </w:rPr>
        <w:t>Derivative Instruments and Hedging</w:t>
      </w:r>
      <w:r>
        <w:rPr>
          <w:rFonts w:ascii="Arial" w:cs="Arial" w:eastAsia="Arial" w:hAnsi="Arial"/>
          <w:sz w:val="16"/>
          <w:szCs w:val="16"/>
          <w:color w:val="auto"/>
        </w:rPr>
        <w:t xml:space="preserve"> in the footnotes to the audited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452"/>
        <w:spacing w:after="0" w:line="283" w:lineRule="auto"/>
        <w:tabs>
          <w:tab w:leader="none" w:pos="46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The value in this table represents the maximum potential payout under the revenue guarantees made by NCM LLC to its network affiliates. No revenue guarantee amounts have ever been paid under these agreements as such guarantees have been less than the revenue share calculations specified in the affiliate agreements, and no liabilities were recorded as of December 27, 2012. For additional details see the information provided under Note 12 to the consolidated financial statements included elsewhere in this document.</w:t>
      </w:r>
    </w:p>
    <w:p>
      <w:pPr>
        <w:spacing w:after="0" w:line="2" w:lineRule="exact"/>
        <w:rPr>
          <w:rFonts w:ascii="Arial" w:cs="Arial" w:eastAsia="Arial" w:hAnsi="Arial"/>
          <w:sz w:val="16"/>
          <w:szCs w:val="16"/>
          <w:i w:val="1"/>
          <w:iCs w:val="1"/>
          <w:color w:val="auto"/>
        </w:rPr>
      </w:pPr>
    </w:p>
    <w:p>
      <w:pPr>
        <w:ind w:left="460" w:hanging="452"/>
        <w:spacing w:after="0" w:line="250"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The tax receivable agreement entered into at the completion of our IPO provides for the payment by us to NCM LLC’s founding members of 90% of the amount of cash savings, if any, in U.S. federal, state and local income tax or franchise tax that we actually realize as a result of certain increases in our proportionate share of tax basis in NCM LLC’s tangible and intangible assets. The payments to NCM LLC’s founding members are based, in part, on actual annual income and as such, will vary based on our operating results. The value in the table represents the estimated amounts payable under the tax receivable agreement as of December 27, 2012.</w:t>
      </w:r>
    </w:p>
    <w:p>
      <w:pPr>
        <w:spacing w:after="0" w:line="2"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The tax receivable agreement described in Note 4 above was discounted and recorded at present value. The value in the table represents the estimated accretion of interest on the discounted payable as of December 27, 2012.</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amended and restated ESAs entered into at the completion of our IPO require payments based on a combination of NCM LLC founding member attendance and the number of digital screens of each NCM LLC founding member. The amount relating to the attendance factor will vary from quarter to quarter and year to year as theatre attendance varies, while the amount relating to the screens factor will be more predictable, but will also vary quarter to quarter and year to year as screens are converted to digital screens and other screens are added or removed through acquisition, divestiture or closure activities of NCM LLC’s founding members. The payments made to NCM LLC’s founding members also will vary due to the escalation of the rates paid for each factor pursuant to the amended and restated ESAs. The rate per attendee increases 8% every five years while the rate per digital screen increases 5% annually. The table above does not include amounts payable under the amended and restated ESAs as they are based on variable factors, which are not capable of precise estimation.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2009, 2010, 2011 and 2012.</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First</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Second</w:t>
            </w:r>
          </w:p>
        </w:tc>
        <w:tc>
          <w:tcPr>
            <w:tcW w:w="320" w:type="dxa"/>
            <w:vAlign w:val="bottom"/>
          </w:tcPr>
          <w:p>
            <w:pPr>
              <w:spacing w:after="0"/>
              <w:rPr>
                <w:sz w:val="14"/>
                <w:szCs w:val="14"/>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39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Quarter</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2009</w:t>
            </w:r>
          </w:p>
        </w:tc>
        <w:tc>
          <w:tcPr>
            <w:tcW w:w="27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shd w:val="clear" w:color="auto" w:fill="CCEEFF"/>
          </w:tcPr>
          <w:p>
            <w:pPr>
              <w:spacing w:after="0"/>
              <w:rPr>
                <w:sz w:val="18"/>
                <w:szCs w:val="18"/>
                <w:color w:val="auto"/>
              </w:rPr>
            </w:pPr>
          </w:p>
        </w:tc>
        <w:tc>
          <w:tcPr>
            <w:tcW w:w="270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FY 2010</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19.8%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23.2%</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29.4%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FY 2011</w:t>
            </w:r>
          </w:p>
        </w:tc>
        <w:tc>
          <w:tcPr>
            <w:tcW w:w="3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FY 2012</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17.6%</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24.5%</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32.1%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primary market risk to which we are exposed is interest rate risk. The Senior Unsecured Notes and the Senior Secured Notes bear interest at fixed rates, and therefore are not subject to market risk. As of December 27, 2012, the interest rate risk that we are exposed to is related to our $124.0 million revolving credit facility and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$265.0 million term loan. A 100 basis point fluctuation in market interest rates underlying our term loan and revolving credit facility would have the effect of increasing or decreasing our cash interest expense by approximately $2.8 million for an annual period on the $14.0 million and $265.0 million outstanding as of December 27, 2012 on our revolving credit facility and term loan, respectively.</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u w:val="single" w:color="auto"/>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Financial Statements and Supplemental Information on page F-1.</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i w:val="1"/>
          <w:iCs w:val="1"/>
          <w:color w:val="auto"/>
        </w:rPr>
        <w:t xml:space="preserve">Effectiveness of Disclosure Controls and Procedures. </w:t>
      </w:r>
      <w:r>
        <w:rPr>
          <w:rFonts w:ascii="Arial" w:cs="Arial" w:eastAsia="Arial" w:hAnsi="Arial"/>
          <w:sz w:val="15"/>
          <w:szCs w:val="15"/>
          <w:color w:val="auto"/>
        </w:rPr>
        <w:t>We maintain disclosure controls and procedures that are designed to ensure that information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December 27, 2012,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December 27, 2012 were effective.</w:t>
      </w:r>
    </w:p>
    <w:p>
      <w:pPr>
        <w:spacing w:after="0" w:line="10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Management is responsible for establishing and maintaining,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and maintains, adequate internal control over financial reporting, as such term is defined in Exchange Act Rules 13a-15(f) and 15d-15(f). As of December 27, 2012, our management evaluated, with the participation of the Chief Executive Officer (principal executive officer) and Chief Financial Officer (principal financial and accounting officer), the effectiveness of the Company’s internal control over financial reporting based on the framework in Internal Control—Integrated Framework issued by the Committee of Sponsoring Organizations of the Treadway Commission. Based on that evaluation, the Company’s management concluded that the Company’s internal control over financial reporting as of December 27, 2012 was effective.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27, 2012 has been attested by the Company’s registered public accounting firm, Deloitte &amp; Touche LLP, as stated in its report, which appears herein.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been no changes in the Company’s internal controls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December 27, 2012, that have materially affected, or are reasonably likely to materially affect, the Company’s internal controls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National CineMedia, Inc. and subsidiary (the “Company”) as of December 27,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lnternal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27,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27, 2012 of the Company and our report dated February 21, 2013 expressed an unqualified opinion on those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u w:val="single" w:color="auto"/>
          <w:color w:val="auto"/>
        </w:rPr>
        <w:t>Directors, Executive Officers and Corporate Governance</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Proxy Statement under the heading “Proposal 1—Election of Directors.”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“Executive Officers of the Registrant.”</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chief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Relations—Corporate Governance.” We intend to post on our website any amendments to, or waivers from our Code of Business Conduct and Ethics applicable to senior financial executives.</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 “Compensation of Executive Officers.”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u w:val="single" w:color="auto"/>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information with respect to the security ownership of directors, executive officers and holders of more than 5% of a class of our voting securities, see the Proxy Statement under the heading “Beneficial Ownership,” which information is incorporated herein by reference.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equity incentive plan information, see the Proxy Statement under the heading “Equity Incentive Plan Information,” which information is incorporated herein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information with respect to certain relationships and related transactions, see the Proxy Statement under the heading “Certain Relationships and Related Party Transactions,” which information is incorporated herein by reference.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information with respect to director independence, see the Proxy Statement under the heading “Proposal 1- Election of Directors,” which information is incorporated herein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w:t>
      </w:r>
    </w:p>
    <w:p>
      <w:pPr>
        <w:spacing w:after="0" w:line="96" w:lineRule="exact"/>
        <w:rPr>
          <w:sz w:val="20"/>
          <w:szCs w:val="20"/>
          <w:color w:val="auto"/>
        </w:rPr>
      </w:pPr>
    </w:p>
    <w:p>
      <w:pPr>
        <w:ind w:left="920" w:right="5380" w:hanging="456"/>
        <w:spacing w:after="0" w:line="332" w:lineRule="auto"/>
        <w:tabs>
          <w:tab w:leader="none" w:pos="7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(1) and (a) (2) Financial statements and financial statement schedules See Index to Financial Statements on page F-1.</w:t>
      </w:r>
    </w:p>
    <w:p>
      <w:pPr>
        <w:spacing w:after="0" w:line="4" w:lineRule="exact"/>
        <w:rPr>
          <w:rFonts w:ascii="Arial" w:cs="Arial" w:eastAsia="Arial" w:hAnsi="Arial"/>
          <w:sz w:val="16"/>
          <w:szCs w:val="16"/>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beginning on page 63.</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Financial Statement Schedules</w:t>
      </w:r>
    </w:p>
    <w:p>
      <w:pPr>
        <w:spacing w:after="0" w:line="15" w:lineRule="exact"/>
        <w:rPr>
          <w:sz w:val="20"/>
          <w:szCs w:val="20"/>
          <w:color w:val="auto"/>
        </w:rPr>
      </w:pPr>
    </w:p>
    <w:p>
      <w:pPr>
        <w:ind w:left="920"/>
        <w:spacing w:after="0" w:line="261"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240" w:top="459" w:right="6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900" w:type="dxa"/>
            <w:vAlign w:val="bottom"/>
            <w:gridSpan w:val="3"/>
          </w:tcPr>
          <w:p>
            <w:pPr>
              <w:ind w:left="3520"/>
              <w:spacing w:after="0"/>
              <w:rPr>
                <w:sz w:val="20"/>
                <w:szCs w:val="20"/>
                <w:color w:val="auto"/>
              </w:rPr>
            </w:pPr>
            <w:r>
              <w:rPr>
                <w:rFonts w:ascii="Arial" w:cs="Arial" w:eastAsia="Arial" w:hAnsi="Arial"/>
                <w:sz w:val="18"/>
                <w:szCs w:val="18"/>
                <w:b w:val="1"/>
                <w:bCs w:val="1"/>
                <w:color w:val="auto"/>
              </w:rPr>
              <w:t>NATIONAL CINEMEDIA, INC.</w:t>
            </w:r>
          </w:p>
        </w:tc>
      </w:tr>
      <w:tr>
        <w:trPr>
          <w:trHeight w:val="222"/>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900" w:type="dxa"/>
            <w:vAlign w:val="bottom"/>
            <w:gridSpan w:val="3"/>
          </w:tcPr>
          <w:p>
            <w:pPr>
              <w:ind w:left="3520"/>
              <w:spacing w:after="0"/>
              <w:rPr>
                <w:sz w:val="20"/>
                <w:szCs w:val="20"/>
                <w:color w:val="auto"/>
              </w:rPr>
            </w:pPr>
            <w:r>
              <w:rPr>
                <w:rFonts w:ascii="Arial" w:cs="Arial" w:eastAsia="Arial" w:hAnsi="Arial"/>
                <w:sz w:val="18"/>
                <w:szCs w:val="18"/>
                <w:color w:val="auto"/>
              </w:rPr>
              <w:t>(Registrant)</w:t>
            </w:r>
          </w:p>
        </w:tc>
      </w:tr>
      <w:tr>
        <w:trPr>
          <w:trHeight w:val="407"/>
        </w:trPr>
        <w:tc>
          <w:tcPr>
            <w:tcW w:w="2520" w:type="dxa"/>
            <w:vAlign w:val="bottom"/>
            <w:gridSpan w:val="2"/>
          </w:tcPr>
          <w:p>
            <w:pPr>
              <w:spacing w:after="0"/>
              <w:rPr>
                <w:sz w:val="20"/>
                <w:szCs w:val="20"/>
                <w:color w:val="auto"/>
              </w:rPr>
            </w:pPr>
            <w:r>
              <w:rPr>
                <w:rFonts w:ascii="Arial" w:cs="Arial" w:eastAsia="Arial" w:hAnsi="Arial"/>
                <w:sz w:val="18"/>
                <w:szCs w:val="18"/>
                <w:color w:val="auto"/>
              </w:rPr>
              <w:t>Dated: February 22, 2013</w:t>
            </w:r>
          </w:p>
        </w:tc>
        <w:tc>
          <w:tcPr>
            <w:tcW w:w="35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Kurt C. Hall</w:t>
            </w:r>
          </w:p>
        </w:tc>
      </w:tr>
      <w:tr>
        <w:trPr>
          <w:trHeight w:val="21"/>
        </w:trPr>
        <w:tc>
          <w:tcPr>
            <w:tcW w:w="5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r>
      <w:tr>
        <w:trPr>
          <w:trHeight w:val="201"/>
        </w:trPr>
        <w:tc>
          <w:tcPr>
            <w:tcW w:w="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3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Kurt C. Hall</w:t>
            </w:r>
          </w:p>
        </w:tc>
      </w:tr>
      <w:tr>
        <w:trPr>
          <w:trHeight w:val="216"/>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610"/>
        </w:trPr>
        <w:tc>
          <w:tcPr>
            <w:tcW w:w="2520" w:type="dxa"/>
            <w:vAlign w:val="bottom"/>
            <w:gridSpan w:val="2"/>
          </w:tcPr>
          <w:p>
            <w:pPr>
              <w:spacing w:after="0"/>
              <w:rPr>
                <w:sz w:val="20"/>
                <w:szCs w:val="20"/>
                <w:color w:val="auto"/>
              </w:rPr>
            </w:pPr>
            <w:r>
              <w:rPr>
                <w:rFonts w:ascii="Arial" w:cs="Arial" w:eastAsia="Arial" w:hAnsi="Arial"/>
                <w:sz w:val="18"/>
                <w:szCs w:val="18"/>
                <w:color w:val="auto"/>
              </w:rPr>
              <w:t>Dated: February 22, 2013</w:t>
            </w:r>
          </w:p>
        </w:tc>
        <w:tc>
          <w:tcPr>
            <w:tcW w:w="35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Gary W. Ferrera</w:t>
            </w:r>
          </w:p>
        </w:tc>
      </w:tr>
      <w:tr>
        <w:trPr>
          <w:trHeight w:val="21"/>
        </w:trPr>
        <w:tc>
          <w:tcPr>
            <w:tcW w:w="5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Gary W. Ferrera</w:t>
            </w:r>
          </w:p>
        </w:tc>
      </w:tr>
    </w:tbl>
    <w:p>
      <w:pPr>
        <w:ind w:left="6180"/>
        <w:spacing w:after="0"/>
        <w:rPr>
          <w:sz w:val="20"/>
          <w:szCs w:val="20"/>
          <w:color w:val="auto"/>
        </w:rPr>
      </w:pPr>
      <w:r>
        <w:rPr>
          <w:rFonts w:ascii="Arial" w:cs="Arial" w:eastAsia="Arial" w:hAnsi="Arial"/>
          <w:sz w:val="18"/>
          <w:szCs w:val="18"/>
          <w:i w:val="1"/>
          <w:iCs w:val="1"/>
          <w:color w:val="auto"/>
        </w:rPr>
        <w:t>Executive Vice President and Chief Financial Officer (Principal</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Accounting and Financial Officer)</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14"/>
                <w:szCs w:val="14"/>
                <w:color w:val="auto"/>
              </w:rPr>
            </w:pPr>
          </w:p>
        </w:tc>
        <w:tc>
          <w:tcPr>
            <w:tcW w:w="4480" w:type="dxa"/>
            <w:vAlign w:val="bottom"/>
            <w:gridSpan w:val="3"/>
          </w:tcPr>
          <w:p>
            <w:pPr>
              <w:ind w:left="252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Kurt C. Hall</w:t>
            </w: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8"/>
        </w:trPr>
        <w:tc>
          <w:tcPr>
            <w:tcW w:w="2380" w:type="dxa"/>
            <w:vAlign w:val="bottom"/>
            <w:gridSpan w:val="3"/>
          </w:tcPr>
          <w:p>
            <w:pPr>
              <w:spacing w:after="0"/>
              <w:rPr>
                <w:sz w:val="20"/>
                <w:szCs w:val="20"/>
                <w:color w:val="auto"/>
              </w:rPr>
            </w:pPr>
            <w:r>
              <w:rPr>
                <w:rFonts w:ascii="Arial" w:cs="Arial" w:eastAsia="Arial" w:hAnsi="Arial"/>
                <w:sz w:val="18"/>
                <w:szCs w:val="18"/>
                <w:color w:val="auto"/>
              </w:rPr>
              <w:t>Kurt C. Hall</w:t>
            </w:r>
          </w:p>
        </w:tc>
        <w:tc>
          <w:tcPr>
            <w:tcW w:w="1780" w:type="dxa"/>
            <w:vAlign w:val="bottom"/>
          </w:tcPr>
          <w:p>
            <w:pPr>
              <w:spacing w:after="0"/>
              <w:rPr>
                <w:sz w:val="18"/>
                <w:szCs w:val="18"/>
                <w:color w:val="auto"/>
              </w:rPr>
            </w:pPr>
          </w:p>
        </w:tc>
        <w:tc>
          <w:tcPr>
            <w:tcW w:w="44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Gary W. Ferrera</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190"/>
        </w:trPr>
        <w:tc>
          <w:tcPr>
            <w:tcW w:w="2380" w:type="dxa"/>
            <w:vAlign w:val="bottom"/>
            <w:gridSpan w:val="3"/>
          </w:tcPr>
          <w:p>
            <w:pPr>
              <w:spacing w:after="0" w:line="190" w:lineRule="exact"/>
              <w:rPr>
                <w:sz w:val="20"/>
                <w:szCs w:val="20"/>
                <w:color w:val="auto"/>
              </w:rPr>
            </w:pPr>
            <w:r>
              <w:rPr>
                <w:rFonts w:ascii="Arial" w:cs="Arial" w:eastAsia="Arial" w:hAnsi="Arial"/>
                <w:sz w:val="18"/>
                <w:szCs w:val="18"/>
                <w:color w:val="auto"/>
              </w:rPr>
              <w:t>Gary W. Ferrera</w:t>
            </w:r>
          </w:p>
        </w:tc>
        <w:tc>
          <w:tcPr>
            <w:tcW w:w="1780" w:type="dxa"/>
            <w:vAlign w:val="bottom"/>
          </w:tcPr>
          <w:p>
            <w:pPr>
              <w:spacing w:after="0"/>
              <w:rPr>
                <w:sz w:val="16"/>
                <w:szCs w:val="16"/>
                <w:color w:val="auto"/>
              </w:rPr>
            </w:pPr>
          </w:p>
        </w:tc>
        <w:tc>
          <w:tcPr>
            <w:tcW w:w="448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2"/>
        </w:trPr>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(Principal Accounting and Financial Officer)</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9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Lawrence A. Goodman</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Lawrence A. Goodman</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David R. Haas</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David R. Haas</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James R. Holland, Jr.</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James R. Holland, Jr.</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Stephen L. Lanning</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Stephen L. Lanning</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Gerardo I. Lopez</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Gerardo I. Lopez</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Edward H. Meyer</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Edward H. Meyer</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Amy E. Miles</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Amy E. Miles</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Lee Roy Mitchell</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Lee Roy Mitchell</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Scott N. Schneider</w:t>
            </w:r>
          </w:p>
        </w:tc>
        <w:tc>
          <w:tcPr>
            <w:tcW w:w="1780" w:type="dxa"/>
            <w:vAlign w:val="bottom"/>
            <w:tcBorders>
              <w:bottom w:val="single" w:sz="8" w:color="auto"/>
            </w:tcBorders>
          </w:tcPr>
          <w:p>
            <w:pPr>
              <w:spacing w:after="0"/>
              <w:rPr>
                <w:sz w:val="24"/>
                <w:szCs w:val="24"/>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Scott N. Schneider</w:t>
            </w:r>
          </w:p>
        </w:tc>
        <w:tc>
          <w:tcPr>
            <w:tcW w:w="1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gridSpan w:val="2"/>
          </w:tcPr>
          <w:p>
            <w:pPr>
              <w:jc w:val="right"/>
              <w:ind w:right="794"/>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60" w:type="dxa"/>
            <w:vAlign w:val="bottom"/>
          </w:tcPr>
          <w:p>
            <w:pPr>
              <w:jc w:val="center"/>
              <w:ind w:right="2172"/>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8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18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Reference</w:t>
            </w:r>
          </w:p>
        </w:tc>
        <w:tc>
          <w:tcPr>
            <w:tcW w:w="3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060" w:type="dxa"/>
            <w:vAlign w:val="bottom"/>
          </w:tcPr>
          <w:p>
            <w:pPr>
              <w:spacing w:after="0"/>
              <w:rPr>
                <w:sz w:val="24"/>
                <w:szCs w:val="24"/>
                <w:color w:val="auto"/>
              </w:rPr>
            </w:pPr>
          </w:p>
        </w:tc>
      </w:tr>
      <w:tr>
        <w:trPr>
          <w:trHeight w:val="316"/>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Indenture, dated as of July 5, 2011, by and between National CineMedia, LLC and Wells Fargo Bank, National Association, as trustee.</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7.875% Senior Notes due 2021 (included in Exhibit 10.13.2).</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4.3</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Registration Rights Agreement, dated as of July 5, 2011, by and between National CineMedia, LLC and J.P. Morgan Securities LLC, as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representative of the Initial Purchasers named therein.</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4.4</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Indenture, dated as of April 27, 2012, by and between National CineMedia, LLC and Wells Fargo Bank, National Association, as trustee.</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6.00% Senior Secured Notes due 2022 (included in Exhibit 4.4).</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4.6</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as of April 27, 2012, by and between National CineMedia, LLC and Barclays Capital Inc., as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representative of the Initial Purchasers named therein.</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National CineMedia, LLC Third Amended and Restated Limited Liability Company Operating Agreement dated as of February 13, 2007,</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by and among American Multi-Cinema, Inc., Cinemark Media, Inc., Regal CineMedia Holdings, LLC and National CineMedia, Inc.</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First Amendment to Third Amended and Restated Limited Liability Company Operating Agreement of National CineMedia, LLC dated as</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of March 16, 2009, by and among American Multi-Cinema, Inc., Cinemark Media, Inc., Regal CineMedia Holdings, LLC and National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CineMedia, Inc.</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Second Amendment to Third Amended and Restated Limited Liability Company Operating Agreement of National CineMedia, LLC dated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as of August 6, 2010, by and among American Multi-Cinema, Inc., Cinemark Media, Inc., Regal CineMedia Holdings, LLC and National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CineMedia, Inc.</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Exhibitor Services Agreement dated as of February 13, 2007, by and between National CineMedia, Inc. and American Multi-Cinema,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7"/>
              </w:rPr>
              <w:t>(Confidential treatment granted as to certain portions, which portions were omitted and filed separately with the Commission.)</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10.2.1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Amendment to Exhibitor Services Agreement dated as of November 5, 2008, by and between National CineMedia LLC and American</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Multi-Cinema,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10.2.2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Second Amendment to Exhibitor Services Agreement dated as of October 1, 2010,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American Multi-Cinema, Inc. (Confidential treatment granted as to certain portions, which portions were omitted and filed separately with</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the Commission.)</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10.2.3</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Third Amendment to Exhibitor Services Agreement dated as of April 17, 2012, by and between National CineMedia, LLC and American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Multi-Cinema, Inc.</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10.3</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Exhibitor Services Agreement dated as of February 13, 2007, by and between National CineMedia, Inc. and Cinemark USA,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7"/>
              </w:rPr>
              <w:t>(Confidential treatment granted as to certain portions, which portions were omitted and filed separately with the Commission.)</w:t>
            </w: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60" w:type="dxa"/>
            <w:vAlign w:val="bottom"/>
            <w:gridSpan w:val="3"/>
          </w:tcPr>
          <w:p>
            <w:pPr>
              <w:jc w:val="right"/>
              <w:ind w:right="5492"/>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Reference</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020" w:type="dxa"/>
            <w:vAlign w:val="bottom"/>
          </w:tcPr>
          <w:p>
            <w:pPr>
              <w:spacing w:after="0"/>
              <w:rPr>
                <w:sz w:val="14"/>
                <w:szCs w:val="14"/>
                <w:color w:val="auto"/>
              </w:rPr>
            </w:pPr>
          </w:p>
        </w:tc>
      </w:tr>
      <w:tr>
        <w:trPr>
          <w:trHeight w:val="309"/>
        </w:trPr>
        <w:tc>
          <w:tcPr>
            <w:tcW w:w="540" w:type="dxa"/>
            <w:vAlign w:val="bottom"/>
            <w:gridSpan w:val="2"/>
          </w:tcPr>
          <w:p>
            <w:pPr>
              <w:spacing w:after="0"/>
              <w:rPr>
                <w:sz w:val="20"/>
                <w:szCs w:val="20"/>
                <w:color w:val="auto"/>
              </w:rPr>
            </w:pPr>
            <w:r>
              <w:rPr>
                <w:rFonts w:ascii="Arial" w:cs="Arial" w:eastAsia="Arial" w:hAnsi="Arial"/>
                <w:sz w:val="18"/>
                <w:szCs w:val="18"/>
                <w:color w:val="auto"/>
              </w:rPr>
              <w:t>10.3.1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Amendment to Exhibitor Services Agreement dated as of November 5, 2008, by and between National CineMedia LLC and Cinemark</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0"/>
              </w:rPr>
              <w:t>USA, Inc. (Confidential treatment granted as to certain portions, which portions were omitted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Second Amendment to Exhibitor Services Agreement dated as of October 1, 2010,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2"/>
              </w:rPr>
              <w:t>Cinemark USA,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10.3.3</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0"/>
              </w:rPr>
              <w:t>Third Amendment to Exhibitor Services Agreement dated as of April 17, 2012, by and between National CineMedia, LLC and Cinemark</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USA,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Exhibitor Services Agreement dated as of February 13, 2007, by and between National CineMedia, Inc. and Regal Cinemas,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7"/>
              </w:rPr>
              <w:t>(Confidential treatment granted as to certain portions, which portions were omitted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Amendment to Exhibitor Services Agreement dated as of November 5, 2008, by and between National CineMedia LLC and Regal</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7"/>
              </w:rPr>
              <w:t>Cinemas,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10.4.2</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9"/>
              </w:rPr>
              <w:t>Second Amendment to Exhibitor Services Agreement dated as of October 1, 2010, by and between National CineMedia, LLC and Regal</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7"/>
              </w:rPr>
              <w:t>Cinemas,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10.4.3</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2"/>
              </w:rPr>
              <w:t>Third Amendment to Exhibitor Services Agreement dated as of April 17, 2012, by and between National CineMedia, LLC and Regal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Cinemas,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ESA Payment Letter dated as of February 13, 2007, by and among National CineMedia, Inc., American Multi-Cinema, Inc., Cinemark</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USA, Inc. and Regal Cinemas,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9"/>
              </w:rPr>
              <w:t>Common Unit Adjustment Agreement dated as of February 13, 2007, by and among National CineMedia, Inc., National CineMedia, LLC,</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3"/>
              </w:rPr>
              <w:t>Regal CineMedia Holdings, LLC, American Multi-Cinema, Inc., Cinemark Media, Inc., Regal Cinemas, Inc. and Cinemark USA,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7"/>
              </w:rPr>
              <w:t>(Confidential treatment granted as to certain portions, which portions were omitted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Tax Receivable Agreement dated as of February 13, 2007, by and among National CineMedia, Inc., National CineMedia, LLC, Regal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7"/>
              </w:rPr>
              <w:t>CineMedia Holdings, LLC, Cinemark Media, Inc., Regal Cinemas, Inc., American Multi-Cinema, Inc. and Cinemark USA,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10.7.1</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5"/>
              </w:rPr>
              <w:t>Second Amendment to Tax Receivable Agreement dated as of April 29, 2008, by and among National CineMedia, Inc., National</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5"/>
              </w:rPr>
              <w:t>CineMedia, LLC, Regal CineMedia Holdings, LLC, Cinemark Media, Inc., Regal Cinemas, Inc., American Multi-Cinema, Inc. and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Cinemark USA,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10.8</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3"/>
              </w:rPr>
              <w:t>First Amended and Restated Loews Screen Integration Agreement by and between National CineMedia, LLC and American Multi-</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8"/>
              </w:rPr>
              <w:t>Cinema,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88"/>
              </w:rPr>
              <w:t>Second Amended and Restated Software License Agreement dated as of February 13, 2007, by and among American Multi-Cinema,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Regal CineMedia Corporation, Cinemark USA, Inc., Digital Cinema Implementation Partners, LLC and National CineMedia, LLC.</w:t>
            </w: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20" w:type="dxa"/>
            <w:vAlign w:val="bottom"/>
            <w:gridSpan w:val="3"/>
          </w:tcPr>
          <w:p>
            <w:pPr>
              <w:jc w:val="right"/>
              <w:ind w:right="554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Reference</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98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0"/>
              </w:rPr>
              <w:t>Director Designation Agreement dated as of February 13, 2007, by and among National CineMedia, Inc., American Multi-Cinema, Inc.,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Cinemark Media, Inc. and Regal CineMedia Holdings,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1"/>
              </w:rPr>
              <w:t>Registration Rights Agreement dated as of February 13, 2007, by and among National CineMedia, Inc., American Multi-Cinema, Inc.,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Regal CineMedia Holdings, LLC and Cinemark Media, Inc.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88"/>
              </w:rPr>
              <w:t>Management Services Agreement dated as of February 13, 2007, by and among National CineMedia, Inc. and National CineMedia,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(47)</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3"/>
              </w:rPr>
              <w:t>Amended and Restated Credit Agreement among National CineMedia, LLC and Barclays Bank PLC, as Lead Arranger dated as of</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November 26, 2012.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10.13.1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(48)</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89"/>
              </w:rPr>
              <w:t>Amendment No. 4 to the Credit Agreement dated as of February 13, 2007, as amended, restated, modified or otherwise supplemented,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among National CineMedia LLC and Barclays Bank PLC, as administrative agent dated as of November 26, 2012.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0"/>
              </w:rPr>
              <w:t>Employment Agreement dated as of February 13, 2007, by and among National CineMedia, Inc., National CineMedia, LLC and Kurt 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10.14.1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5"/>
              </w:rPr>
              <w:t>First Amendment to Employment Agreement effective as of January 1, 2009, by and among National CineMedia, Inc., National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CineMedia, LLC and Kurt C. 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0"/>
              </w:rPr>
              <w:t>Employment Agreement dated as of February 13, 2007, by and among National CineMedia, Inc., National CineMedia, LLC and Clifford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10.15.1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5"/>
              </w:rPr>
              <w:t>First Amendment to Employment Agreement effective as of January 1, 2009, by and among National CineMedia, Inc., National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CineMedia, LLC and Clifford 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89"/>
              </w:rPr>
              <w:t>Employment Agreement dated as of February 13, 2007, by and among National CineMedia, Inc., National CineMedia, LLC and Gary W.</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Ferrera.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10.16.1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5"/>
              </w:rPr>
              <w:t>First Amendment to Employment Agreement effective as of January 1, 2009, by and among National CineMedia, Inc., National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CineMedia, LLC and Gary W. Ferrera.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(22)</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89"/>
              </w:rPr>
              <w:t>Separation Agreement and Release and Consulting Agreement dated as of December 2, 2009 by and among National CineMedia, Inc.,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National CineMedia, LLC and Thomas C. Galley.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89"/>
              </w:rPr>
              <w:t>Employment Agreement dated as of February 13, 2007, by and among National CineMedia, Inc., National CineMedia, LLC and Ralph 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Hardy.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10.18.1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w w:val="95"/>
              </w:rPr>
              <w:t>First Amendment to Employment Agreement effective as of January 1, 2009, by and among National CineMedia, Inc., National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CineMedia, LLC and Ralph E. Hardy.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National CineMedia, Inc. 2007 Equity Incentive Plan, as amended.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Form of Option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(6)</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Form of 2009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10.22.2</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(29)</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Form of 2010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10.22.3</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(36)</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Form of 2011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10.22.4</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(49)</w:t>
            </w:r>
          </w:p>
        </w:tc>
        <w:tc>
          <w:tcPr>
            <w:tcW w:w="9980" w:type="dxa"/>
            <w:vAlign w:val="bottom"/>
            <w:gridSpan w:val="3"/>
          </w:tcPr>
          <w:p>
            <w:pPr>
              <w:ind w:left="300"/>
              <w:spacing w:after="0"/>
              <w:rPr>
                <w:sz w:val="20"/>
                <w:szCs w:val="20"/>
                <w:color w:val="auto"/>
              </w:rPr>
            </w:pPr>
            <w:r>
              <w:rPr>
                <w:rFonts w:ascii="Arial" w:cs="Arial" w:eastAsia="Arial" w:hAnsi="Arial"/>
                <w:sz w:val="18"/>
                <w:szCs w:val="18"/>
                <w:color w:val="auto"/>
              </w:rPr>
              <w:t>Form of 2012 Stock Option Agreement. +</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80" w:type="dxa"/>
            <w:vAlign w:val="bottom"/>
            <w:gridSpan w:val="3"/>
          </w:tcPr>
          <w:p>
            <w:pPr>
              <w:jc w:val="right"/>
              <w:ind w:right="560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Reference</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900" w:type="dxa"/>
            <w:vAlign w:val="bottom"/>
          </w:tcPr>
          <w:p>
            <w:pPr>
              <w:spacing w:after="0"/>
              <w:rPr>
                <w:sz w:val="14"/>
                <w:szCs w:val="14"/>
                <w:color w:val="auto"/>
              </w:rPr>
            </w:pPr>
          </w:p>
        </w:tc>
      </w:tr>
      <w:tr>
        <w:trPr>
          <w:trHeight w:val="316"/>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(7)</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2009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10.23.2</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(29)</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2010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10.23.3</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(36)</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2011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10.23.4</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(49)</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2012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10.23.5</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2013 Restricted Stock Agreement (Time Based).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10.23.6</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2013 Restricted Stock Agreement (Performance Based).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(8)</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4"/>
              </w:rPr>
              <w:t>Confirmation of Swap, dated as of June 12, 2007, between National CineMedia, LLC and Morgan Stanley Capital Services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10.24.1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(43)</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3"/>
              </w:rPr>
              <w:t>Confirmation of Partial Termination of Swap, dated May 21, 2012, between National CineMedia, LLC and Morgan Stanley Capital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Services LLC.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10.24.2</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4"/>
              </w:rPr>
              <w:t>Cancellation of Swap, dated November 26, 2012, between National CineMedia, LLC and Morgan Stanley Capital Services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(9)</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3"/>
              </w:rPr>
              <w:t>ISDA Master Agreement dated as of March 2, 2007, between National CineMedia, LLC and Morgan Stanley Capital Services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Schedule.</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10.26</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(10)</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National CineMedia, Inc. Executive Officer 2007 Performance Bonus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(11)</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Confirmation of Swap, dated as of July 25, 2007, between National CineMedia, LLC and Credit Suisse International.</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10.27.1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(44)</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0"/>
              </w:rPr>
              <w:t>Confirmation of Partial Termination of Swap, dated May 22, 2012, between National CineMedia, LLC and Credit Suisse International.</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10.27.2</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Cancellation of Swap, dated December 13, 2012, between National CineMedia, LLC and Credit Suisse International.</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10.28</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(12)</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0"/>
              </w:rPr>
              <w:t>ISDA Master Agreement dated as of March 2, 2007, between National CineMedia, LLC and Credit Suisse International and Schedule.</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(13)</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Confirmation of Swap, dated as of August 6, 2007, between National CineMedia, LLC and JPMorgan Chase 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10.29.1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(45)</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89"/>
              </w:rPr>
              <w:t>Confirmation of Partial Termination of Swap, dated May 31, 2012, between National CineMedia, LLC and JPMorgan Chase 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10.29.2</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Cancellation of Swap, dated January 9, 2013, between National CineMedia, LLC and JPMorgan Chase 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(14)</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8"/>
              </w:rPr>
              <w:t>ISDA Master Agreement dated as of August 6, 2007, between National CineMedia, LLC and JPMorgan Chase 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Unit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(21)</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National CineMedia, Inc. 2009 Performance Bonus Plan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(29)</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0"/>
              </w:rPr>
              <w:t>ISDA Novation Agreement dated as of February 4, 2010, between National CineMedia, LLC, Lehman Brothers Special Financing Inc.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and Barclays Bank PLC.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10.37</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(29)</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rPr>
              <w:t>Confirmation of Swap, dated as of February 16, 2010, between National CineMedia, LLC and Barclays Bank PLC.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10.37.1</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(46)</w:t>
            </w:r>
          </w:p>
        </w:tc>
        <w:tc>
          <w:tcPr>
            <w:tcW w:w="9900" w:type="dxa"/>
            <w:vAlign w:val="bottom"/>
            <w:gridSpan w:val="3"/>
          </w:tcPr>
          <w:p>
            <w:pPr>
              <w:ind w:left="300"/>
              <w:spacing w:after="0"/>
              <w:rPr>
                <w:sz w:val="20"/>
                <w:szCs w:val="20"/>
                <w:color w:val="auto"/>
              </w:rPr>
            </w:pPr>
            <w:r>
              <w:rPr>
                <w:rFonts w:ascii="Arial" w:cs="Arial" w:eastAsia="Arial" w:hAnsi="Arial"/>
                <w:sz w:val="18"/>
                <w:szCs w:val="18"/>
                <w:color w:val="auto"/>
                <w:w w:val="95"/>
              </w:rPr>
              <w:t>Confirmation of Partial Termination of Swap, dated May 31, 2012, between National CineMedia, LLC and Barclays Bank PLC.</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00" w:type="dxa"/>
            <w:vAlign w:val="bottom"/>
            <w:gridSpan w:val="3"/>
          </w:tcPr>
          <w:p>
            <w:pPr>
              <w:jc w:val="right"/>
              <w:ind w:right="552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Reference</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720" w:type="dxa"/>
            <w:vAlign w:val="bottom"/>
          </w:tcPr>
          <w:p>
            <w:pPr>
              <w:spacing w:after="0"/>
              <w:rPr>
                <w:sz w:val="14"/>
                <w:szCs w:val="14"/>
                <w:color w:val="auto"/>
              </w:rPr>
            </w:pPr>
          </w:p>
        </w:tc>
      </w:tr>
      <w:tr>
        <w:trPr>
          <w:trHeight w:val="316"/>
        </w:trPr>
        <w:tc>
          <w:tcPr>
            <w:tcW w:w="700" w:type="dxa"/>
            <w:vAlign w:val="bottom"/>
            <w:gridSpan w:val="2"/>
          </w:tcPr>
          <w:p>
            <w:pPr>
              <w:spacing w:after="0"/>
              <w:rPr>
                <w:sz w:val="20"/>
                <w:szCs w:val="20"/>
                <w:color w:val="auto"/>
              </w:rPr>
            </w:pPr>
            <w:r>
              <w:rPr>
                <w:rFonts w:ascii="Arial" w:cs="Arial" w:eastAsia="Arial" w:hAnsi="Arial"/>
                <w:sz w:val="18"/>
                <w:szCs w:val="18"/>
                <w:color w:val="auto"/>
              </w:rPr>
              <w:t>10.37.2</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Cancellation of Swap, dated December 13, 2012, between National CineMedia, LLC and Barclays Bank PLC.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10.38</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ISDA Master Agreement dated as of February 4, 2010 between National CineMedia, LLC and Barclays Bank PLC.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10.39</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National CineMedia, Inc. 2010 Performance Bonus Plan. +</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National CineMedia, Inc. 2011 Performance Bonus Plan. +</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10.41</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w w:val="89"/>
              </w:rPr>
              <w:t>Employment Agreement dated as of August 24, 2011, by and among National CineMedia, Inc., National CineMedia, LLC and Earl B.</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Weihe. +</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10.42</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National CineMedia, Inc. 2012 Performance Bonus Plan. +</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21.1</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List of Subsidiaries.</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31.2</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32.2</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580" w:right="36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interactive data files shall not be deemed filed for purposes of Section 11 or 12 of the Securities Act of 1933, as amended, or Section 18 of the Securities Exchange Act of 1934, as amended, or otherwise subject to liability under those sections.</w:t>
      </w:r>
    </w:p>
    <w:p>
      <w:pPr>
        <w:spacing w:after="0" w:line="1"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9"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Exhibit 3.1 from the Registrant’s Quarterly Report on Form 10-Q (File No. 001-33296) filed on May 6, 2011.</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Current Report on Form 8-K (File No. 001-33296) filed on February 16, 2007.</w:t>
      </w: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Exhibit 4.4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Exhibit 4.5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Exhibit 4.6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Exhibit 4.7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August 10, 2007.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August 10, 2007.</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30,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10.4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May 5,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November 6,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Current Report on Form 8-K (File No. 001-33296) filed on November 6,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Current Report on Form 8-K (File No. 001-33296) filed on November 6, 2008.</w:t>
      </w:r>
    </w:p>
    <w:p>
      <w:pPr>
        <w:spacing w:after="0" w:line="32" w:lineRule="exact"/>
        <w:rPr>
          <w:rFonts w:ascii="Arial" w:cs="Arial" w:eastAsia="Arial" w:hAnsi="Arial"/>
          <w:sz w:val="16"/>
          <w:szCs w:val="16"/>
          <w:color w:val="auto"/>
        </w:rPr>
      </w:pPr>
    </w:p>
    <w:p>
      <w:pPr>
        <w:ind w:left="580" w:right="120" w:hanging="572"/>
        <w:spacing w:after="0" w:line="250"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March 6, 2009.</w:t>
      </w: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10.1.1 from the Registrant’s Quarterly Report on Form 10-Q (File No. 001-33296) filed on August 7, 2009.</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A from the Registrant’s Definitive Proxy Statement on Form Def 14-A (File No. 001-33296) filed on March 19, 2009.</w:t>
      </w: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December 21,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April 14,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10,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October 6,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Current Report on Form 8-K (File No. 001-33296) filed on October 6,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Current Report on Form 8-K (File No. 001-33296) filed on October 6, 2010.</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A from the Registrant’s Definitive Proxy Statement on Form Def 14-A (File No. 001-33296) filed on March 18, 2010.</w:t>
      </w:r>
    </w:p>
    <w:p>
      <w:pPr>
        <w:ind w:left="580" w:right="120" w:hanging="572"/>
        <w:spacing w:after="0" w:line="250"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March 9, 2010.</w:t>
      </w: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May 2,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 No. 001-33296) filed on May 2,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100 from the Registrant’s Quarterly Report on Form 10-Q (File No. 001-33296) filed on May 6, 2011.</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4.1 to the Registrant’s Current Report on Form 8-K (File No. 001-33296) filed on July 7,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 4.3 to the Registrant’s Current Report on Form 8-K (File No. 001-33296) filed on July 7, 2011.</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 No. 001-33296) filed on August 26, 2011.</w:t>
      </w:r>
    </w:p>
    <w:p>
      <w:pPr>
        <w:spacing w:after="0" w:line="38"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February 25, 2011.</w:t>
      </w: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April 18,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 No. 001-33296) filed on April 18,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10.3 to the Registrant’s Current Report on Form 8-K (File No. 001-33296) filed on April 18,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4.1 from the Registrant’s Current Report on Form 8-K (File No. 001-33296) filed on April 30,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4.3 from the Registrant’s Current Report on Form 8-K (File No. 001-33296) filed on April 30,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May 4,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10.7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10.8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10.9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10.10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 No. 001-33296) filed on November 28,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10.2 to the Registrant’s Current Report on Form 8-K (File No. 001-33296) filed on November 28, 2012.</w:t>
      </w:r>
    </w:p>
    <w:p>
      <w:pPr>
        <w:spacing w:after="0" w:line="32" w:lineRule="exact"/>
        <w:rPr>
          <w:rFonts w:ascii="Arial" w:cs="Arial" w:eastAsia="Arial" w:hAnsi="Arial"/>
          <w:sz w:val="16"/>
          <w:szCs w:val="16"/>
          <w:color w:val="auto"/>
        </w:rPr>
      </w:pPr>
    </w:p>
    <w:p>
      <w:pPr>
        <w:ind w:left="580" w:hanging="572"/>
        <w:spacing w:after="0" w:line="261"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February 24, 2012.</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r>
      <w:tr>
        <w:trPr>
          <w:trHeight w:val="296"/>
        </w:trPr>
        <w:tc>
          <w:tcPr>
            <w:tcW w:w="11020" w:type="dxa"/>
            <w:vAlign w:val="bottom"/>
            <w:gridSpan w:val="9"/>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30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2"/>
          </w:tcPr>
          <w:p>
            <w:pPr>
              <w:spacing w:after="0" w:line="184"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Report of Independent Registered Public Accounting Firm</w:t>
              </w:r>
            </w:hyperlink>
          </w:p>
        </w:tc>
        <w:tc>
          <w:tcPr>
            <w:tcW w:w="6460" w:type="dxa"/>
            <w:vAlign w:val="bottom"/>
            <w:gridSpan w:val="6"/>
          </w:tcPr>
          <w:p>
            <w:pPr>
              <w:spacing w:after="0"/>
              <w:rPr>
                <w:sz w:val="15"/>
                <w:szCs w:val="15"/>
                <w:color w:val="auto"/>
              </w:rPr>
            </w:pPr>
          </w:p>
        </w:tc>
        <w:tc>
          <w:tcPr>
            <w:tcW w:w="300" w:type="dxa"/>
            <w:vAlign w:val="bottom"/>
          </w:tcPr>
          <w:p>
            <w:pPr>
              <w:ind w:left="60"/>
              <w:spacing w:after="0" w:line="184" w:lineRule="exact"/>
              <w:rPr>
                <w:sz w:val="20"/>
                <w:szCs w:val="20"/>
                <w:color w:val="auto"/>
              </w:rPr>
            </w:pPr>
            <w:r>
              <w:rPr>
                <w:rFonts w:ascii="Arial" w:cs="Arial" w:eastAsia="Arial" w:hAnsi="Arial"/>
                <w:sz w:val="18"/>
                <w:szCs w:val="18"/>
                <w:color w:val="auto"/>
                <w:w w:val="81"/>
              </w:rPr>
              <w:t>F-2</w:t>
            </w:r>
          </w:p>
        </w:tc>
      </w:tr>
      <w:tr>
        <w:trPr>
          <w:trHeight w:val="196"/>
        </w:trPr>
        <w:tc>
          <w:tcPr>
            <w:tcW w:w="440" w:type="dxa"/>
            <w:vAlign w:val="bottom"/>
          </w:tcPr>
          <w:p>
            <w:pPr>
              <w:spacing w:after="0"/>
              <w:rPr>
                <w:sz w:val="17"/>
                <w:szCs w:val="17"/>
                <w:color w:val="auto"/>
              </w:rPr>
            </w:pPr>
          </w:p>
        </w:tc>
        <w:tc>
          <w:tcPr>
            <w:tcW w:w="556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Consolidated Balance Sheets as of December 27, 2012 and December 29, 2011</w:t>
              </w:r>
            </w:hyperlink>
          </w:p>
        </w:tc>
        <w:tc>
          <w:tcPr>
            <w:tcW w:w="5020" w:type="dxa"/>
            <w:vAlign w:val="bottom"/>
            <w:gridSpan w:val="5"/>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440" w:type="dxa"/>
            <w:vAlign w:val="bottom"/>
          </w:tcPr>
          <w:p>
            <w:pPr>
              <w:spacing w:after="0"/>
              <w:rPr>
                <w:sz w:val="17"/>
                <w:szCs w:val="17"/>
                <w:color w:val="auto"/>
              </w:rPr>
            </w:pPr>
          </w:p>
        </w:tc>
        <w:tc>
          <w:tcPr>
            <w:tcW w:w="8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Consolidated Statements of Income for the years ended December 27, 2012, December 29, 2011 and December 30, 2010</w:t>
              </w:r>
            </w:hyperlink>
          </w:p>
        </w:tc>
        <w:tc>
          <w:tcPr>
            <w:tcW w:w="2040" w:type="dxa"/>
            <w:vAlign w:val="bottom"/>
            <w:gridSpan w:val="4"/>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440" w:type="dxa"/>
            <w:vAlign w:val="bottom"/>
          </w:tcPr>
          <w:p>
            <w:pPr>
              <w:spacing w:after="0"/>
              <w:rPr>
                <w:sz w:val="17"/>
                <w:szCs w:val="17"/>
                <w:color w:val="auto"/>
              </w:rPr>
            </w:pPr>
          </w:p>
        </w:tc>
        <w:tc>
          <w:tcPr>
            <w:tcW w:w="10580" w:type="dxa"/>
            <w:vAlign w:val="bottom"/>
            <w:gridSpan w:val="8"/>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Consolidated Statements of Comprehensive Income for the years ended December 27, 2012, December 29, 2011 and December 30, 2010</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44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Statements of Equity/(Deficit) for the years ended December 27, 2012, December 29, 2011 and December 30, 2010</w:t>
              </w:r>
            </w:hyperlink>
          </w:p>
        </w:tc>
        <w:tc>
          <w:tcPr>
            <w:tcW w:w="5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440" w:type="dxa"/>
            <w:vAlign w:val="bottom"/>
          </w:tcPr>
          <w:p>
            <w:pPr>
              <w:spacing w:after="0"/>
              <w:rPr>
                <w:sz w:val="17"/>
                <w:szCs w:val="17"/>
                <w:color w:val="auto"/>
              </w:rPr>
            </w:pPr>
          </w:p>
        </w:tc>
        <w:tc>
          <w:tcPr>
            <w:tcW w:w="88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Cash Flows for the years ended December 27, 2012, December 29, 2011 and December 30, 2010</w:t>
              </w:r>
            </w:hyperlink>
          </w:p>
        </w:tc>
        <w:tc>
          <w:tcPr>
            <w:tcW w:w="1740" w:type="dxa"/>
            <w:vAlign w:val="bottom"/>
            <w:gridSpan w:val="3"/>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440" w:type="dxa"/>
            <w:vAlign w:val="bottom"/>
          </w:tcPr>
          <w:p>
            <w:pPr>
              <w:spacing w:after="0"/>
              <w:rPr>
                <w:sz w:val="17"/>
                <w:szCs w:val="17"/>
                <w:color w:val="auto"/>
              </w:rPr>
            </w:pPr>
          </w:p>
        </w:tc>
        <w:tc>
          <w:tcPr>
            <w:tcW w:w="10580" w:type="dxa"/>
            <w:vAlign w:val="bottom"/>
            <w:gridSpan w:val="8"/>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F-8</w:t>
            </w:r>
          </w:p>
        </w:tc>
      </w:tr>
      <w:tr>
        <w:trPr>
          <w:trHeight w:val="383"/>
        </w:trPr>
        <w:tc>
          <w:tcPr>
            <w:tcW w:w="44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6460" w:type="dxa"/>
            <w:vAlign w:val="bottom"/>
            <w:gridSpan w:val="6"/>
          </w:tcPr>
          <w:p>
            <w:pPr>
              <w:ind w:left="104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have audited the accompanying consolidated balance sheets of National CineMedia, Inc. and subsidiary as of December 27, 2012 and December 29, 2011, and the related consolidated statements of income, comprehensive income, equity/deficit, and cash flows for the years ended December 27, 2012, December 29, 2011 and December 30, 2010. Our responsibility is to express an opinion on the financial statements based on our audits.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National CineMedia, Inc. and subsidiary as of December 27, 2012 and December 29, 2011, and the results of their operations and their cash flows for the years ended December 27, 2012, December 29, 2011 and December 30, 2010, in conformity with accounting principles generally accepted in the United States of America.</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27,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21, 2013,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Short-term marketable securities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 of allowance of $4.5 and $4.3, respectively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receivable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line="149" w:lineRule="exact"/>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and equipment, net of accumulated depreciation of $63.1 and $54.8, respectively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Intangible assets, net of accumulated amortization of $32.5 and $20.8, respectively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280.3</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 net of valuation allowance of $3.3 and $3.2, respectively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264.3</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Debt issuance costs, net of accumulated amortization of $12.2 and $9.8, respectively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investment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Long-term marketable securities</w:t>
            </w:r>
          </w:p>
        </w:tc>
        <w:tc>
          <w:tcPr>
            <w:tcW w:w="1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7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ind w:left="860"/>
              <w:spacing w:after="0" w:line="155" w:lineRule="exact"/>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589.8</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810.5</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820.2</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EQUITY/(DEFICIT)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Amounts due to founding members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founding members under tax sharing agreement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interest rate swap agreements</w:t>
            </w:r>
          </w:p>
        </w:tc>
        <w:tc>
          <w:tcPr>
            <w:tcW w:w="1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payroll and related expenses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(including $0.9 and $0.9 to related party affiliates, respectively)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0.2</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line="149" w:lineRule="exact"/>
              <w:rPr>
                <w:sz w:val="20"/>
                <w:szCs w:val="20"/>
                <w:color w:val="auto"/>
              </w:rPr>
            </w:pPr>
            <w:r>
              <w:rPr>
                <w:rFonts w:ascii="Arial" w:cs="Arial" w:eastAsia="Arial" w:hAnsi="Arial"/>
                <w:sz w:val="14"/>
                <w:szCs w:val="14"/>
                <w:color w:val="auto"/>
              </w:rPr>
              <w:t>NON-CURRENT LIABILITIES: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879.0</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founding members under tax sharing agreement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Interest rate swap agreements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non-current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1,075.8</w:t>
            </w:r>
          </w:p>
        </w:tc>
        <w:tc>
          <w:tcPr>
            <w:tcW w:w="7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2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1,166.9</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12)</w:t>
            </w: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line="149" w:lineRule="exact"/>
              <w:rPr>
                <w:sz w:val="20"/>
                <w:szCs w:val="20"/>
                <w:color w:val="auto"/>
              </w:rPr>
            </w:pPr>
            <w:r>
              <w:rPr>
                <w:rFonts w:ascii="Arial" w:cs="Arial" w:eastAsia="Arial" w:hAnsi="Arial"/>
                <w:sz w:val="14"/>
                <w:szCs w:val="14"/>
                <w:color w:val="auto"/>
              </w:rPr>
              <w:t>EQUITY/(DEFICIT):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NCM, Inc. Stockholders’ Equity (Deficit):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$0.01 par value; 10,000,000 shares authorized, none issued and outstanding, respectively</w:t>
            </w:r>
          </w:p>
        </w:tc>
        <w:tc>
          <w:tcPr>
            <w:tcW w:w="1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$0.01 par value; 175,000,000 shares authorized, 54,486,259 and 53,934,605 issued and outstanding, respectively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 in capital (deficit)</w:t>
            </w:r>
          </w:p>
        </w:tc>
        <w:tc>
          <w:tcPr>
            <w:tcW w:w="16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(362.4)</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 (distributions in excess of earnings)</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(70.5)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NCM, Inc. stockholders’ equity/(deficit)</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(439.1)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2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82.7</w:t>
            </w:r>
          </w:p>
        </w:tc>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equity/(deficit)</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(356.4)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(346.8)</w:t>
            </w:r>
          </w:p>
        </w:tc>
        <w:tc>
          <w:tcPr>
            <w:tcW w:w="0" w:type="dxa"/>
            <w:vAlign w:val="bottom"/>
          </w:tcPr>
          <w:p>
            <w:pPr>
              <w:spacing w:after="0"/>
              <w:rPr>
                <w:sz w:val="1"/>
                <w:szCs w:val="1"/>
                <w:color w:val="auto"/>
              </w:rPr>
            </w:pPr>
          </w:p>
        </w:tc>
      </w:tr>
      <w:tr>
        <w:trPr>
          <w:trHeight w:val="156"/>
        </w:trPr>
        <w:tc>
          <w:tcPr>
            <w:tcW w:w="904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EQUITY</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810.5</w:t>
            </w:r>
          </w:p>
        </w:tc>
        <w:tc>
          <w:tcPr>
            <w:tcW w:w="7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820"/>
              <w:spacing w:after="0"/>
              <w:rPr>
                <w:sz w:val="20"/>
                <w:szCs w:val="20"/>
                <w:color w:val="auto"/>
              </w:rPr>
            </w:pPr>
            <w:r>
              <w:rPr>
                <w:rFonts w:ascii="Arial" w:cs="Arial" w:eastAsia="Arial" w:hAnsi="Arial"/>
                <w:sz w:val="14"/>
                <w:szCs w:val="14"/>
                <w:b w:val="1"/>
                <w:bCs w:val="1"/>
                <w:color w:val="auto"/>
                <w:w w:val="87"/>
              </w:rPr>
              <w:t>Years Ended</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7"/>
              </w:rPr>
              <w:t>December 27,</w:t>
            </w:r>
          </w:p>
        </w:tc>
        <w:tc>
          <w:tcPr>
            <w:tcW w:w="380" w:type="dxa"/>
            <w:vAlign w:val="bottom"/>
          </w:tcPr>
          <w:p>
            <w:pPr>
              <w:spacing w:after="0"/>
              <w:rPr>
                <w:sz w:val="11"/>
                <w:szCs w:val="11"/>
                <w:color w:val="auto"/>
              </w:rPr>
            </w:pPr>
          </w:p>
        </w:tc>
        <w:tc>
          <w:tcPr>
            <w:tcW w:w="1720" w:type="dxa"/>
            <w:vAlign w:val="bottom"/>
            <w:gridSpan w:val="3"/>
          </w:tcPr>
          <w:p>
            <w:pPr>
              <w:jc w:val="center"/>
              <w:ind w:right="820"/>
              <w:spacing w:after="0" w:line="129" w:lineRule="exact"/>
              <w:rPr>
                <w:sz w:val="20"/>
                <w:szCs w:val="20"/>
                <w:color w:val="auto"/>
              </w:rPr>
            </w:pPr>
            <w:r>
              <w:rPr>
                <w:rFonts w:ascii="Arial" w:cs="Arial" w:eastAsia="Arial" w:hAnsi="Arial"/>
                <w:sz w:val="14"/>
                <w:szCs w:val="14"/>
                <w:b w:val="1"/>
                <w:bCs w:val="1"/>
                <w:color w:val="auto"/>
                <w:w w:val="85"/>
              </w:rPr>
              <w:t>December 29,</w:t>
            </w: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2011</w:t>
            </w: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 members of $39.9, $38.2 and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$38.5, respectively)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409.5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386.2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172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448.8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Advertising operating costs (including $4.2, $3.4 and $0.1 to related party</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affiliates, respectively)</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 operating costs (including $5.9, $9.3 and $8.6 to founding</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members, respectively)</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fees—founding members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w w:val="95"/>
              </w:rPr>
              <w:t>Selling and marketing costs (including $1.1, $1.1 and $1.2 to founding members,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60.5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1720"/>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Interest on borrowings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w w:val="97"/>
              </w:rPr>
              <w:t>Accretion of interest on the discounted payable to founding members under tax</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sharing agreement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derivative fair value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Impairment on investment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swap terminations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Other non-operating expense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280"/>
              <w:spacing w:after="0"/>
              <w:rPr>
                <w:sz w:val="20"/>
                <w:szCs w:val="20"/>
                <w:color w:val="auto"/>
              </w:rPr>
            </w:pPr>
            <w:r>
              <w:rPr>
                <w:rFonts w:ascii="Arial" w:cs="Arial" w:eastAsia="Arial" w:hAnsi="Arial"/>
                <w:sz w:val="18"/>
                <w:szCs w:val="18"/>
                <w:color w:val="auto"/>
              </w:rPr>
              <w:t>Equity loss from investment, net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128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54,377,135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53,864,243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46,369,411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55,026,771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6"/>
              </w:rPr>
              <w:t>54,634,697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46,959,992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p>
      <w:pPr>
        <w:jc w:val="right"/>
        <w:ind w:right="1800"/>
        <w:spacing w:after="0"/>
        <w:rPr>
          <w:sz w:val="20"/>
          <w:szCs w:val="20"/>
          <w:color w:val="auto"/>
        </w:rPr>
      </w:pPr>
      <w:r>
        <w:rPr>
          <w:rFonts w:ascii="Arial" w:cs="Arial" w:eastAsia="Arial" w:hAnsi="Arial"/>
          <w:sz w:val="14"/>
          <w:szCs w:val="14"/>
          <w:b w:val="1"/>
          <w:bCs w:val="1"/>
          <w:color w:val="auto"/>
        </w:rPr>
        <w:t>Years Ended</w:t>
      </w:r>
    </w:p>
    <w:p>
      <w:pPr>
        <w:sectPr>
          <w:pgSz w:w="11900" w:h="16838" w:orient="portrait"/>
          <w:cols w:equalWidth="0" w:num="1">
            <w:col w:w="11420"/>
          </w:cols>
          <w:pgMar w:left="240" w:top="459" w:right="239" w:bottom="1440" w:gutter="0" w:footer="0" w:header="0"/>
        </w:sect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INCOME, NET OF TAX OF $26.7, $19.4 and $16.8,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NET OF TAX:</w:t>
      </w:r>
    </w:p>
    <w:p>
      <w:pPr>
        <w:spacing w:after="0" w:line="15" w:lineRule="exact"/>
        <w:rPr>
          <w:sz w:val="20"/>
          <w:szCs w:val="20"/>
          <w:color w:val="auto"/>
        </w:rPr>
      </w:pPr>
    </w:p>
    <w:p>
      <w:pPr>
        <w:ind w:left="220" w:right="820" w:hanging="215"/>
        <w:spacing w:after="0" w:line="261" w:lineRule="auto"/>
        <w:rPr>
          <w:sz w:val="20"/>
          <w:szCs w:val="20"/>
          <w:color w:val="auto"/>
        </w:rPr>
      </w:pPr>
      <w:r>
        <w:rPr>
          <w:rFonts w:ascii="Arial" w:cs="Arial" w:eastAsia="Arial" w:hAnsi="Arial"/>
          <w:sz w:val="18"/>
          <w:szCs w:val="18"/>
          <w:color w:val="auto"/>
        </w:rPr>
        <w:t>Net unrealized gain (loss) on cash flow hedges, net of tax of $6.7, $0.3 and $2.0,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640" w:type="dxa"/>
            <w:vAlign w:val="bottom"/>
            <w:tcBorders>
              <w:top w:val="single" w:sz="8" w:color="auto"/>
            </w:tcBorders>
            <w:gridSpan w:val="3"/>
          </w:tcPr>
          <w:p>
            <w:pPr>
              <w:jc w:val="right"/>
              <w:ind w:right="880"/>
              <w:spacing w:after="0" w:line="129" w:lineRule="exact"/>
              <w:rPr>
                <w:sz w:val="20"/>
                <w:szCs w:val="20"/>
                <w:color w:val="auto"/>
              </w:rPr>
            </w:pPr>
            <w:r>
              <w:rPr>
                <w:rFonts w:ascii="Arial" w:cs="Arial" w:eastAsia="Arial" w:hAnsi="Arial"/>
                <w:sz w:val="14"/>
                <w:szCs w:val="14"/>
                <w:b w:val="1"/>
                <w:bCs w:val="1"/>
                <w:color w:val="auto"/>
                <w:w w:val="81"/>
              </w:rPr>
              <w:t>December 27,</w:t>
            </w:r>
          </w:p>
        </w:tc>
        <w:tc>
          <w:tcPr>
            <w:tcW w:w="16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8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64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(8.9)</w:t>
            </w:r>
          </w:p>
        </w:tc>
      </w:tr>
    </w:tbl>
    <w:p>
      <w:pPr>
        <w:spacing w:after="0" w:line="19" w:lineRule="exact"/>
        <w:rPr>
          <w:sz w:val="20"/>
          <w:szCs w:val="20"/>
          <w:color w:val="auto"/>
        </w:rPr>
      </w:pPr>
    </w:p>
    <w:p>
      <w:pPr>
        <w:sectPr>
          <w:pgSz w:w="11900" w:h="16838" w:orient="portrait"/>
          <w:cols w:equalWidth="0" w:num="2">
            <w:col w:w="6480" w:space="720"/>
            <w:col w:w="42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7200" w:type="dxa"/>
            <w:vAlign w:val="bottom"/>
          </w:tcPr>
          <w:p>
            <w:pPr>
              <w:spacing w:after="0"/>
              <w:rPr>
                <w:sz w:val="20"/>
                <w:szCs w:val="20"/>
                <w:color w:val="auto"/>
              </w:rPr>
            </w:pPr>
            <w:r>
              <w:rPr>
                <w:rFonts w:ascii="Arial" w:cs="Arial" w:eastAsia="Arial" w:hAnsi="Arial"/>
                <w:sz w:val="18"/>
                <w:szCs w:val="18"/>
                <w:color w:val="auto"/>
              </w:rPr>
              <w:t>CONSOLIDATED COMPREHENSIVE INCOME</w:t>
            </w:r>
          </w:p>
        </w:tc>
        <w:tc>
          <w:tcPr>
            <w:tcW w:w="2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8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8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COMPREHENSIVE INCOME ATTRIBUTABLE TO NCM, INC.</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31.9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0"/>
        </w:trPr>
        <w:tc>
          <w:tcPr>
            <w:tcW w:w="7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NCM, Inc.</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w w:val="98"/>
              </w:rPr>
              <w:t>Class A Common Stock</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0" w:type="dxa"/>
            <w:vAlign w:val="bottom"/>
            <w:tcBorders>
              <w:bottom w:val="single" w:sz="8" w:color="auto"/>
            </w:tcBorders>
            <w:gridSpan w:val="5"/>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Paid in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(Distribution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in Excess of</w:t>
            </w:r>
          </w:p>
        </w:tc>
        <w:tc>
          <w:tcPr>
            <w:tcW w:w="1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Issued</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(Deficit)</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Earnings)</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Loss</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6"/>
              </w:rPr>
              <w:t>Interest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Balance—December 31, 2009</w:t>
            </w: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(493.1)</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42,121,747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ind w:left="480"/>
              <w:spacing w:after="0" w:line="142" w:lineRule="exact"/>
              <w:rPr>
                <w:sz w:val="20"/>
                <w:szCs w:val="20"/>
                <w:color w:val="auto"/>
              </w:rPr>
            </w:pPr>
            <w:r>
              <w:rPr>
                <w:rFonts w:ascii="Arial" w:cs="Arial" w:eastAsia="Arial" w:hAnsi="Arial"/>
                <w:sz w:val="14"/>
                <w:szCs w:val="14"/>
                <w:color w:val="auto"/>
                <w:w w:val="71"/>
              </w:rPr>
              <w:t>0.4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(490.2)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(14.5)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Distributions to founding members</w:t>
            </w:r>
          </w:p>
        </w:tc>
        <w:tc>
          <w:tcPr>
            <w:tcW w:w="2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(85.1)</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Subsidiary equity issued for purchase of intangible asset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151.3</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w w:val="95"/>
              </w:rPr>
              <w:t>Income tax and other impacts of subsidiary ownership changes</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24.9</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174.6</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10,955,471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71"/>
              </w:rPr>
              <w:t>0.1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NCM, Inc. investment in subsidiary</w:t>
            </w:r>
          </w:p>
        </w:tc>
        <w:tc>
          <w:tcPr>
            <w:tcW w:w="2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(174.9)</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(174.9)</w:t>
            </w: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net of tax</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100.2</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Share-based compensation issued</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4.7</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472,259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expense/capitalized</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14.2</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Cash dividends declared $0.72 per share</w:t>
            </w:r>
          </w:p>
        </w:tc>
        <w:tc>
          <w:tcPr>
            <w:tcW w:w="2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(35.2)</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30, 2010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(318.4)</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53,549,477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71"/>
              </w:rPr>
              <w:t>0.5</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(373.3)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Distributions to members</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(83.0)</w:t>
            </w:r>
          </w:p>
        </w:tc>
        <w:tc>
          <w:tcPr>
            <w:tcW w:w="86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4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Subsidiary equity returned for purchase of intangible asset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w w:val="95"/>
              </w:rPr>
              <w:t>Income tax and other impacts of subsidiary ownership changes</w:t>
            </w:r>
          </w:p>
        </w:tc>
        <w:tc>
          <w:tcPr>
            <w:tcW w:w="2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(11.7)</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(13.7)</w:t>
            </w: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net of tax</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101.7</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Share-based compensation issued</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3.9</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385,128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expense/capitalized</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11.9</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Excess tax benefit from share-based compensation</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0.2</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$0.84 per share</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(45.9)</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Balance—December 29, 2011</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(346.8)</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53,934,605</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49" w:lineRule="exact"/>
              <w:rPr>
                <w:sz w:val="20"/>
                <w:szCs w:val="20"/>
                <w:color w:val="auto"/>
              </w:rPr>
            </w:pPr>
            <w:r>
              <w:rPr>
                <w:rFonts w:ascii="Arial" w:cs="Arial" w:eastAsia="Arial" w:hAnsi="Arial"/>
                <w:sz w:val="14"/>
                <w:szCs w:val="14"/>
                <w:color w:val="auto"/>
                <w:w w:val="71"/>
              </w:rPr>
              <w:t>0.5</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(376.2)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(34.9)</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members</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(76.8)</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Subsidiary equity issued for purchase of intangible asset</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10.1</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Income tax and other impacts of subsidiary ownership changes</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Comprehensive income, net of tax</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94.0</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issued</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551,654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expense/capitalized</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9.2</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$0.88 per share</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(49.0)</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Balance—December 27, 2012</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(356.4)</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1"/>
              </w:rPr>
              <w:t>54,486,259</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55" w:lineRule="exact"/>
              <w:rPr>
                <w:sz w:val="20"/>
                <w:szCs w:val="20"/>
                <w:color w:val="auto"/>
              </w:rPr>
            </w:pPr>
            <w:r>
              <w:rPr>
                <w:rFonts w:ascii="Arial" w:cs="Arial" w:eastAsia="Arial" w:hAnsi="Arial"/>
                <w:sz w:val="14"/>
                <w:szCs w:val="14"/>
                <w:color w:val="auto"/>
                <w:w w:val="71"/>
              </w:rPr>
              <w:t>0.5</w:t>
            </w:r>
          </w:p>
        </w:tc>
        <w:tc>
          <w:tcPr>
            <w:tcW w:w="480" w:type="dxa"/>
            <w:vAlign w:val="bottom"/>
            <w:gridSpan w:val="2"/>
          </w:tcPr>
          <w:p>
            <w:pPr>
              <w:ind w:left="400"/>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(362.4)</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(70.5)</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(6.7)</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w w:val="87"/>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30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Consolidated net income</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100.6</w:t>
            </w:r>
          </w:p>
        </w:tc>
        <w:tc>
          <w:tcPr>
            <w:tcW w:w="6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Deferred income tax expense</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Non-cash share-based compensation</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Excess tax benefit from share-based compensation</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Accretion of interest on the discounted payable to founding members under tax sharing agreement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unrealized loss on hedging transactions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Impairment on investment</w:t>
            </w:r>
          </w:p>
        </w:tc>
        <w:tc>
          <w:tcPr>
            <w:tcW w:w="1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Equity loss from investment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Write-off of debt issuance costs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Loss on swap terminations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Other non-cash operating activities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for swap terminations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(63.4)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Amounts due to/from founding members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(0.8)</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Payment to founding members under tax sharing agreement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Income taxes and other</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Other, net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40" w:type="dxa"/>
            <w:vAlign w:val="bottom"/>
          </w:tcPr>
          <w:p>
            <w:pPr>
              <w:ind w:left="17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161.8</w:t>
            </w:r>
          </w:p>
        </w:tc>
        <w:tc>
          <w:tcPr>
            <w:tcW w:w="6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sale of property and equipment to founding member</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Purchases of marketable securities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(51.2)</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sale and maturities of marketable securities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from NCM LLC’s founding members for intangible assets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Purchases of intangible assets from an affiliate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172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(19.4)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(53.1)</w:t>
            </w:r>
          </w:p>
        </w:tc>
        <w:tc>
          <w:tcPr>
            <w:tcW w:w="160" w:type="dxa"/>
            <w:vAlign w:val="bottom"/>
          </w:tcPr>
          <w:p>
            <w:pPr>
              <w:spacing w:after="0"/>
              <w:rPr>
                <w:sz w:val="14"/>
                <w:szCs w:val="14"/>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of dividends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(45.3)</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borrowings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Repayments of borrowings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(461.0)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(317.2)</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 of debt issuance costs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Founding member integration payments</w:t>
            </w:r>
          </w:p>
        </w:tc>
        <w:tc>
          <w:tcPr>
            <w:tcW w:w="1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founding members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(86.6)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of offering costs and fees</w:t>
            </w:r>
          </w:p>
        </w:tc>
        <w:tc>
          <w:tcPr>
            <w:tcW w:w="1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 from share-based compensation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stock option exercises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Repurchase of stock for restricted stock tax withholding</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172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(55.7)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(117.2)</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CASH AND CASH EQUIVALENTS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860"/>
              <w:spacing w:after="0" w:line="155" w:lineRule="exact"/>
              <w:rPr>
                <w:sz w:val="20"/>
                <w:szCs w:val="20"/>
                <w:color w:val="auto"/>
              </w:rPr>
            </w:pPr>
            <w:r>
              <w:rPr>
                <w:rFonts w:ascii="Arial" w:cs="Arial" w:eastAsia="Arial" w:hAnsi="Arial"/>
                <w:sz w:val="14"/>
                <w:szCs w:val="14"/>
                <w:color w:val="auto"/>
              </w:rPr>
              <w:t>End of period</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72.4</w:t>
            </w:r>
          </w:p>
        </w:tc>
        <w:tc>
          <w:tcPr>
            <w:tcW w:w="360" w:type="dxa"/>
            <w:vAlign w:val="bottom"/>
          </w:tcPr>
          <w:p>
            <w:pPr>
              <w:spacing w:after="0"/>
              <w:rPr>
                <w:sz w:val="13"/>
                <w:szCs w:val="13"/>
                <w:color w:val="auto"/>
              </w:rPr>
            </w:pPr>
          </w:p>
        </w:tc>
        <w:tc>
          <w:tcPr>
            <w:tcW w:w="4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65.9</w:t>
            </w:r>
          </w:p>
        </w:tc>
        <w:tc>
          <w:tcPr>
            <w:tcW w:w="64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6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non-cash financing and investing activity: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Purchase of an intangible asset with subsidiary equity (equity returned)</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(5.5)</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founding members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Purchase of subsidiary equity with NCM, Inc. equity</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cost method investment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Increase in dividends not requiring cash in the period</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6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6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paid for income taxes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National CineMedia, Inc. (“NCM, Inc.”) was incorporated in Delaware as a holding company with the sole purpose of becoming a member and sole manager of National CineMedia, LLC (“NCM LLC”), an LLC owned by NCM, Inc., American Multi-Cinema, Inc. (“AMC”), a wholly owned subsidiary of AMC Entertainment, Inc. (“AMCE”), Regal Cinemas, Inc., a wholly owned subsidiary of Regal Entertainment Group (“Regal”) and Cinemark USA, Inc. (“Cinemark USA”), a wholly owned subsidiary of Cinemark Holdings, Inc. (“Cinemark”). The terms “NCM”, “the Company” or “we” shall, unless the context otherwise requires, be deemed to include the consolidated entity. The Company operates the largest digital in-theatre network in North America, allowing NCM to sell advertising and Fathom Events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which expire at various dates.</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December 27, 2012, NCM LLC had 112,017,835 common membership units outstanding, of which 54,486,259 (48.6%) were owned by NCM, Inc., 22,113,150 (19.7%) were owned by Regal, 18,094,644 (16.2%) were owned by Cinemark, and 17,323,782 (15.5%) were owned by AMC. The membership units held by the founding members are exchangeable into NCM, Inc. common stock on a one-for-one basis.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2012, the Company restructured Fathom Events by winding down its Fathom Business Events division, to place more focus on the Fathom Consumer Events division. The Company continued to operate the Fathom Business Events division for a portion of the first quarter of 2012 to satisfy contractual obligations for events and will continue to execute business events on a periodic basis for existing long-term Fathom clients, or if requested by the founding members or to support events staged for NCM’s major advertising clients.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 Certain reclassifications have been made to the prior years’ financial statements to conform to the current presentation. These reclassifications had no effect on previously reported results of operations or retained earnings.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the various related-party agreements discussed in Note 8—</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1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interest rate swaps and income taxes. Actual results could differ from those estimates.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—The Company operates on a 52-week fiscal year, with the fiscal year ending on the first Thursday after December 25, which,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years, results in a 53-week year.</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b w:val="1"/>
          <w:bCs w:val="1"/>
          <w:i w:val="1"/>
          <w:iCs w:val="1"/>
          <w:color w:val="auto"/>
        </w:rPr>
        <w:t>Segment Reporting</w:t>
      </w:r>
      <w:r>
        <w:rPr>
          <w:rFonts w:ascii="Arial" w:cs="Arial" w:eastAsia="Arial" w:hAnsi="Arial"/>
          <w:sz w:val="16"/>
          <w:szCs w:val="16"/>
          <w:color w:val="auto"/>
        </w:rPr>
        <w:t>—Advertising is the principal business activity of the Company and is the Company’s reportable segment under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280—S</w:t>
      </w:r>
      <w:r>
        <w:rPr>
          <w:rFonts w:ascii="Arial" w:cs="Arial" w:eastAsia="Arial" w:hAnsi="Arial"/>
          <w:sz w:val="16"/>
          <w:szCs w:val="16"/>
          <w:i w:val="1"/>
          <w:iCs w:val="1"/>
          <w:color w:val="auto"/>
        </w:rPr>
        <w:t>egment Reporting</w:t>
      </w:r>
      <w:r>
        <w:rPr>
          <w:rFonts w:ascii="Arial" w:cs="Arial" w:eastAsia="Arial" w:hAnsi="Arial"/>
          <w:sz w:val="16"/>
          <w:szCs w:val="16"/>
          <w:color w:val="auto"/>
        </w:rPr>
        <w:t>. Fathom Events is an operating segment under ASC 280. The Company does not evaluate its segments on a fully allocated cost basis, nor does the Company track segment assets separately. As such, the results are not indicative of what segment results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15—</w:t>
      </w:r>
      <w:r>
        <w:rPr>
          <w:rFonts w:ascii="Arial" w:cs="Arial" w:eastAsia="Arial" w:hAnsi="Arial"/>
          <w:sz w:val="16"/>
          <w:szCs w:val="16"/>
          <w:i w:val="1"/>
          <w:iCs w:val="1"/>
          <w:color w:val="auto"/>
        </w:rPr>
        <w:t>Segment Reporting.</w:t>
      </w:r>
    </w:p>
    <w:p>
      <w:pPr>
        <w:spacing w:after="0" w:line="85"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Make-good provisions are made to defer contracted revenue to future periods when attendance is delivered and is included in accrued expenses. Deferred revenue refers to the unearned portion of advertising contracts. All deferred revenue is classified as a current liability. Fathom Events revenue is recognized in the period in which the event is held.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The Company limits the use of such barter transactions to items and services for which it would otherwise have paid cash. Any timing differences between the delivery of the bartered revenue and the use of the bartered expense products and services are recorded through deferred revenue. Revenue and expense from barter transactions for the year ended December 27, 2012 was $3.0 million and $1.3 million, respectively, were $1.6 million and $1.1 million for the year ended December 29, 2011 and were $1.5 million and $1.1 million for the year ended December 30, 2010.</w:t>
      </w:r>
    </w:p>
    <w:p>
      <w:pPr>
        <w:spacing w:after="0" w:line="11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 related operating costs primarily include personnel and other costs related to advertising fulfillment, payments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unaffiliated theatre circuits under the network affiliate agreements, and to a lesser extent, production costs of non-digital advertising.</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Fathom Events operating costs include revenue share under the amended and restated ESAs to the founding members and revenue share to affiliate theatres under separate agreements, payments to event content producers and other direct costs of the meeting or event, including equipment rental, catering and movie tickets acquired primarily from the founding members.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Payment to the founding members of a theatre access fee is comprised of a payment per theatre attendee, a payment per digital screen and a payment per digital cinema projector equipped in the theatres, all of which escalate over time.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are not specifically allocated between the advertising business and the Fathom Events business.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and are considered available-for-sale securities. There are cash balances in a bank in excess of the federally insured limits or in the form of a money market demand account with a major financial institution.</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—Marketable securities are reported at fair value, with unrealized gains and losses recognized in earnings.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prices. The estimated fair value of securities for which there are no quoted market prices is based on similar types of securities that are traded in the market.</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The collectability risk is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reduced by dealing with large, national advertising agencies who have strong reputations in the advertising industry and clients with stable financial positions. As of December 27, 2012, there were no customers or advertising agency groups which accounted for more than 10% of the gross receivables balance or advertising revenues. As of December 29, 2011, there was one advertising agency group through which the Company sources national advertising revenues representing approximately 15% of the Company’s outstanding gross receivables balance; however, none of the individual contracts related to the advertising agencies were more than 10% of advertising revenues.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consisted of the following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63"/>
              <w:spacing w:after="0"/>
              <w:rPr>
                <w:sz w:val="20"/>
                <w:szCs w:val="20"/>
                <w:color w:val="auto"/>
              </w:rPr>
            </w:pPr>
            <w:r>
              <w:rPr>
                <w:rFonts w:ascii="Arial" w:cs="Arial" w:eastAsia="Arial" w:hAnsi="Arial"/>
                <w:sz w:val="14"/>
                <w:szCs w:val="14"/>
                <w:b w:val="1"/>
                <w:bCs w:val="1"/>
                <w:color w:val="auto"/>
                <w:w w:val="89"/>
              </w:rPr>
              <w:t>Years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27,</w:t>
            </w:r>
          </w:p>
        </w:tc>
        <w:tc>
          <w:tcPr>
            <w:tcW w:w="17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11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network of the founding member theatres is owned by the founding members, while the equipment associated with network affiliate theatres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4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4-10 years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420" w:type="dxa"/>
            <w:vAlign w:val="bottom"/>
          </w:tcPr>
          <w:p>
            <w:pPr>
              <w:ind w:left="1000"/>
              <w:spacing w:after="0"/>
              <w:rPr>
                <w:sz w:val="20"/>
                <w:szCs w:val="20"/>
                <w:color w:val="auto"/>
              </w:rPr>
            </w:pPr>
            <w:r>
              <w:rPr>
                <w:rFonts w:ascii="Arial" w:cs="Arial" w:eastAsia="Arial" w:hAnsi="Arial"/>
                <w:sz w:val="18"/>
                <w:szCs w:val="18"/>
                <w:color w:val="auto"/>
              </w:rPr>
              <w:t>3-5 years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Lesser of lease term or asset life</w:t>
            </w:r>
          </w:p>
        </w:tc>
      </w:tr>
    </w:tbl>
    <w:p>
      <w:pPr>
        <w:spacing w:after="0" w:line="154"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 xml:space="preserve">Software and web site development costs developed or obtained for internal use are accounted for in accordance with ASC Subtopic 350-40 </w:t>
      </w:r>
      <w:r>
        <w:rPr>
          <w:rFonts w:ascii="Arial" w:cs="Arial" w:eastAsia="Arial" w:hAnsi="Arial"/>
          <w:sz w:val="16"/>
          <w:szCs w:val="16"/>
          <w:i w:val="1"/>
          <w:iCs w:val="1"/>
          <w:color w:val="auto"/>
        </w:rPr>
        <w:t>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and ASC Subtopic 350-50—We</w:t>
      </w:r>
      <w:r>
        <w:rPr>
          <w:rFonts w:ascii="Arial" w:cs="Arial" w:eastAsia="Arial" w:hAnsi="Arial"/>
          <w:sz w:val="16"/>
          <w:szCs w:val="16"/>
          <w:i w:val="1"/>
          <w:iCs w:val="1"/>
          <w:color w:val="auto"/>
        </w:rPr>
        <w:t>bsite Development Costs</w:t>
      </w:r>
      <w:r>
        <w:rPr>
          <w:rFonts w:ascii="Arial" w:cs="Arial" w:eastAsia="Arial" w:hAnsi="Arial"/>
          <w:sz w:val="16"/>
          <w:szCs w:val="16"/>
          <w:color w:val="auto"/>
        </w:rPr>
        <w:t>. The subtopics require the capitalization of certain costs incurred in developing or obtaining</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for internal use. The majority of software costs and website development costs, which are included in equipment, are depreciated over three to five years. As of December 27, 2012 and December 29, 2011, the Company had a net book value of $10.4 million and $9.3 million, respectively, of capitalized software and website development costs. Approximately $4.1 million, $4.8 million and $6.5 million was recorded for the years ended December 27,</w:t>
      </w:r>
    </w:p>
    <w:p>
      <w:pPr>
        <w:spacing w:after="0" w:line="2"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2012, December 29, 2011 and December 30, 2010, respectively, in depreciation expense. For the years ended December 27, 2012, December 29, 2011 and December 30, 2010, the Company recorded $0.8 million, $0.9 million and $1.2 million in research and development expense, respectively.</w:t>
      </w:r>
    </w:p>
    <w:p>
      <w:pPr>
        <w:spacing w:after="0" w:line="9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assesses impairment of long-lived assets pursuant with ASC 360—P</w:t>
      </w:r>
      <w:r>
        <w:rPr>
          <w:rFonts w:ascii="Arial" w:cs="Arial" w:eastAsia="Arial" w:hAnsi="Arial"/>
          <w:sz w:val="16"/>
          <w:szCs w:val="16"/>
          <w:i w:val="1"/>
          <w:iCs w:val="1"/>
          <w:color w:val="auto"/>
        </w:rPr>
        <w:t>roperty, Plant and Equipment.</w:t>
      </w:r>
      <w:r>
        <w:rPr>
          <w:rFonts w:ascii="Arial" w:cs="Arial" w:eastAsia="Arial" w:hAnsi="Arial"/>
          <w:sz w:val="16"/>
          <w:szCs w:val="16"/>
          <w:color w:val="auto"/>
        </w:rPr>
        <w:t xml:space="preserve"> This includes determining if certain triggering events have occurred that could affect the value of an asset. The Company has not recorded impairment charges related to long-lived assets.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consist of contractual rights and are stated at cost, net of accumulated amortization. The Company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using the straight-line method over the contractual life of the intangibles, corresponding to the term of the ESAs or the term of the contract with the network affiliate. 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theatre access fee, offset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for advertising time purchased by the founding members on behalf of their beverage concessionaire, revenue share earned for Fathom Events plus any amounts outstanding under other contractually obligated payments. Payments to or received from the founding members against outstanding balances are made monthly.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are accounted for under the asset and liability method, which requires recognition of deferred tax assets and liabilities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w:t>
      </w:r>
      <w:r>
        <w:rPr>
          <w:rFonts w:ascii="Arial" w:cs="Arial" w:eastAsia="Arial" w:hAnsi="Arial"/>
          <w:sz w:val="16"/>
          <w:szCs w:val="16"/>
          <w:i w:val="1"/>
          <w:iCs w:val="1"/>
          <w:color w:val="auto"/>
        </w:rPr>
        <w:t>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are immaterial. Refer to Note 6—</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Accumulated Other Comprehensive Loss</w:t>
      </w:r>
      <w:r>
        <w:rPr>
          <w:rFonts w:ascii="Arial" w:cs="Arial" w:eastAsia="Arial" w:hAnsi="Arial"/>
          <w:sz w:val="16"/>
          <w:szCs w:val="16"/>
          <w:color w:val="auto"/>
        </w:rPr>
        <w:t>—Accumulated other comprehensive loss consists of the fair value of derivative instruments, net of tax, and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$6.7 million, $17.3 million and $17.5 million as of December 27, 2012, December, 29, 2011 and December 30, 2010, respectively.</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9—</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$18.3 million and $12.6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27, 2012 and December 29, 2011, respectively. The debt issuance costs are being amortized on a straight-line basis over the terms of the underlying obligation and are included in interest on borrowings, which approximates the effective interest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6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440" w:type="dxa"/>
            <w:vAlign w:val="bottom"/>
          </w:tcPr>
          <w:p>
            <w:pPr>
              <w:spacing w:after="0"/>
              <w:rPr>
                <w:sz w:val="11"/>
                <w:szCs w:val="11"/>
                <w:color w:val="auto"/>
              </w:rPr>
            </w:pPr>
          </w:p>
        </w:tc>
        <w:tc>
          <w:tcPr>
            <w:tcW w:w="1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r>
      <w:tr>
        <w:trPr>
          <w:trHeight w:val="161"/>
        </w:trPr>
        <w:tc>
          <w:tcPr>
            <w:tcW w:w="5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Debt issuance payments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5160" w:type="dxa"/>
            <w:vAlign w:val="bottom"/>
          </w:tcPr>
          <w:p>
            <w:pPr>
              <w:ind w:left="440"/>
              <w:spacing w:after="0"/>
              <w:rPr>
                <w:sz w:val="20"/>
                <w:szCs w:val="20"/>
                <w:color w:val="auto"/>
              </w:rPr>
            </w:pPr>
            <w:r>
              <w:rPr>
                <w:rFonts w:ascii="Arial" w:cs="Arial" w:eastAsia="Arial" w:hAnsi="Arial"/>
                <w:sz w:val="18"/>
                <w:szCs w:val="18"/>
                <w:color w:val="auto"/>
              </w:rPr>
              <w:t>Write-off of debt issuance costs</w:t>
            </w:r>
          </w:p>
        </w:tc>
        <w:tc>
          <w:tcPr>
            <w:tcW w:w="18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—The Company received equity securities in a privately held company as consideration for an advertising contract. The equity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accounted as a cost method investment. At December 27, 2012 and December 29, 2011, the carrying amount of the investment was $0.8 million and $0.2 million, respectively. There were no identified events or changes in circumstances that had an adverse effect on the fair value of the investment.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Company issues two types of share-based compensation awards: stock options and non-vested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awards are based on the achievement of performance measures or are time-based. Compensation expense of restricted stock is based on management’s projections and the probability of achievement of those expectations, which requires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quarterly on the unvested restricted stock and are only paid when the shares vest.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Compensation cost of stock options is based on the estimated grant date fair value using the Black-Scholes option pricing model, which requires that the Company make estimates of various factors. Under the fair value recognition provisions of ASC 718—</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Company recognizes share-based compensation net of an estimated forfeiture rate, recognizing compensation cost for those shares expected to vest over the requisite service period of the award. Refer to Note 10—</w:t>
      </w:r>
      <w:r>
        <w:rPr>
          <w:rFonts w:ascii="Arial" w:cs="Arial" w:eastAsia="Arial" w:hAnsi="Arial"/>
          <w:sz w:val="16"/>
          <w:szCs w:val="16"/>
          <w:i w:val="1"/>
          <w:iCs w:val="1"/>
          <w:color w:val="auto"/>
        </w:rPr>
        <w:t>Share Based Compensation</w:t>
      </w:r>
      <w:r>
        <w:rPr>
          <w:rFonts w:ascii="Arial" w:cs="Arial" w:eastAsia="Arial" w:hAnsi="Arial"/>
          <w:sz w:val="16"/>
          <w:szCs w:val="16"/>
          <w:color w:val="auto"/>
        </w:rPr>
        <w:t>.</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59"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—NCM LLC is exposed to various financial and market risks including changes in interest rates that exist as part of its ongoing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NCM LLC utilizes certain derivative instruments to enhance its ability to manage these risks. In accordance with ASC 815—</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w:t>
      </w:r>
      <w:r>
        <w:rPr>
          <w:rFonts w:ascii="Arial" w:cs="Arial" w:eastAsia="Arial" w:hAnsi="Arial"/>
          <w:sz w:val="16"/>
          <w:szCs w:val="16"/>
          <w:color w:val="auto"/>
        </w:rPr>
        <w:t>the effective portion of changes in the fair value of a derivative that is designated as a cash flow hedge is recorded in Accumulated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Comprehensive Income (“AOCI”) and reclassified into earnings in the same period or periods during which the hedged transaction affects earnings. Any ineffectiveness associated with designated cash flow hedges, as well as any change in the fair value of a derivative that is not designated as a hedge, is recorded immediately in the Consolidated Statements of Operations. Refer to Note 14-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provisions of ASC 810</w:t>
      </w:r>
      <w:r>
        <w:rPr>
          <w:rFonts w:ascii="Arial" w:cs="Arial" w:eastAsia="Arial" w:hAnsi="Arial"/>
          <w:sz w:val="18"/>
          <w:szCs w:val="18"/>
          <w:i w:val="1"/>
          <w:iCs w:val="1"/>
          <w:color w:val="auto"/>
        </w:rPr>
        <w:t>—Consolidation</w:t>
      </w:r>
      <w:r>
        <w:rPr>
          <w:rFonts w:ascii="Arial" w:cs="Arial" w:eastAsia="Arial" w:hAnsi="Arial"/>
          <w:sz w:val="18"/>
          <w:szCs w:val="18"/>
          <w:color w:val="auto"/>
        </w:rPr>
        <w:t>. Under ASC 810,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Subsidiary equity (returned) issued for purchase of intangible asset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NCM, Inc. investment in subsidiary</w:t>
            </w:r>
          </w:p>
        </w:tc>
        <w:tc>
          <w:tcPr>
            <w:tcW w:w="18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Change from net income attributable to NCM, Inc. and transfers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20"/>
              <w:spacing w:after="0"/>
              <w:rPr>
                <w:sz w:val="20"/>
                <w:szCs w:val="20"/>
                <w:color w:val="auto"/>
              </w:rPr>
            </w:pPr>
            <w:r>
              <w:rPr>
                <w:rFonts w:ascii="Arial" w:cs="Arial" w:eastAsia="Arial" w:hAnsi="Arial"/>
                <w:sz w:val="18"/>
                <w:szCs w:val="18"/>
                <w:color w:val="auto"/>
              </w:rPr>
              <w:t>from noncontrolling interests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620"/>
              <w:spacing w:after="0"/>
              <w:rPr>
                <w:sz w:val="20"/>
                <w:szCs w:val="20"/>
                <w:color w:val="auto"/>
              </w:rPr>
            </w:pPr>
            <w:r>
              <w:rPr>
                <w:rFonts w:ascii="Arial" w:cs="Arial" w:eastAsia="Arial" w:hAnsi="Arial"/>
                <w:sz w:val="18"/>
                <w:szCs w:val="18"/>
                <w:color w:val="auto"/>
              </w:rPr>
              <w:t>F-12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2011, the FASB issued Accounting Standards Update 2011-12—</w:t>
      </w:r>
      <w:r>
        <w:rPr>
          <w:rFonts w:ascii="Arial" w:cs="Arial" w:eastAsia="Arial" w:hAnsi="Arial"/>
          <w:sz w:val="16"/>
          <w:szCs w:val="16"/>
          <w:i w:val="1"/>
          <w:iCs w:val="1"/>
          <w:color w:val="auto"/>
        </w:rPr>
        <w:t>Deferral of the Effective Date for Amendments to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Reclassifications of Items Out of Accumulated Other Comprehensive Income in ASU 2011-05 </w:t>
      </w:r>
      <w:r>
        <w:rPr>
          <w:rFonts w:ascii="Arial" w:cs="Arial" w:eastAsia="Arial" w:hAnsi="Arial"/>
          <w:sz w:val="16"/>
          <w:szCs w:val="16"/>
          <w:color w:val="auto"/>
        </w:rPr>
        <w:t>(“ASU 2011-12”). ASU 2011-12 indefinitely defers the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within ASU 2011-05 to present on the face of the financial statements items that are reclassified from accumulated other comprehensive income to net income separately with their respective components of net income and other comprehensive income. The effective dates for ASU 2011-12 are consistent with the effective dates for ASU 2011-05 and, similar to the Company’s evaluation for the adoption of ASU 2011-05, the adoption of this guidance does not have a material effect on the Company’s consolidated financial statements.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84"/>
              </w:rPr>
              <w:t>Years Ended</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27,</w:t>
            </w:r>
          </w:p>
        </w:tc>
        <w:tc>
          <w:tcPr>
            <w:tcW w:w="980" w:type="dxa"/>
            <w:vAlign w:val="bottom"/>
          </w:tcPr>
          <w:p>
            <w:pPr>
              <w:spacing w:after="0"/>
              <w:rPr>
                <w:sz w:val="11"/>
                <w:szCs w:val="11"/>
                <w:color w:val="auto"/>
              </w:rPr>
            </w:pPr>
          </w:p>
        </w:tc>
        <w:tc>
          <w:tcPr>
            <w:tcW w:w="1860" w:type="dxa"/>
            <w:vAlign w:val="bottom"/>
            <w:gridSpan w:val="3"/>
          </w:tcPr>
          <w:p>
            <w:pPr>
              <w:jc w:val="center"/>
              <w:ind w:right="980"/>
              <w:spacing w:after="0" w:line="129" w:lineRule="exact"/>
              <w:rPr>
                <w:sz w:val="20"/>
                <w:szCs w:val="20"/>
                <w:color w:val="auto"/>
              </w:rPr>
            </w:pPr>
            <w:r>
              <w:rPr>
                <w:rFonts w:ascii="Arial" w:cs="Arial" w:eastAsia="Arial" w:hAnsi="Arial"/>
                <w:sz w:val="14"/>
                <w:szCs w:val="14"/>
                <w:b w:val="1"/>
                <w:bCs w:val="1"/>
                <w:color w:val="auto"/>
                <w:w w:val="87"/>
              </w:rPr>
              <w:t>December 29,</w:t>
            </w: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2011</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 (in millions)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54,377,135</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86"/>
              </w:rPr>
              <w:t>53,864,243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46,369,411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2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60"/>
              <w:spacing w:after="0"/>
              <w:rPr>
                <w:sz w:val="20"/>
                <w:szCs w:val="20"/>
                <w:color w:val="auto"/>
              </w:rPr>
            </w:pPr>
            <w:r>
              <w:rPr>
                <w:rFonts w:ascii="Arial" w:cs="Arial" w:eastAsia="Arial" w:hAnsi="Arial"/>
                <w:sz w:val="18"/>
                <w:szCs w:val="18"/>
                <w:color w:val="auto"/>
              </w:rPr>
              <w:t>restricted stock</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649,636</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770,454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55,026,771</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86"/>
              </w:rPr>
              <w:t>54,634,697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46,959,992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tcPr>
          <w:p>
            <w:pPr>
              <w:ind w:left="44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effect of the 57,393,735, 56,948,238 and 60,720,784, exchangeable NCM LLC common units held by the founding members for the years ended December 27, 2012, December 29, 2011, and December 30, 2010, respectively, have been excluded from the calculation of diluted weighted average shares and earnings per NCM, Inc. share as they were antidilutive. NCM LLC common units do not participate in NCM, Inc. dividends. Additionally, there were 76,956, 68,087 and 179,427 stock options and non-vested (restricted) shares for the years December 27, 2012, December 29, 2011, and December 30, 2010, respectively, excluded from the calculation as they were antidilutive, primarily as exercise prices were above the average market value. The Company’s non-vested (restricted) shares do not meet the definition of a participating security as the dividends will not be paid if the shares do not vest.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88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1440" w:type="dxa"/>
            <w:vAlign w:val="bottom"/>
            <w:gridSpan w:val="4"/>
          </w:tcPr>
          <w:p>
            <w:pPr>
              <w:jc w:val="center"/>
              <w:ind w:left="342"/>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61"/>
        </w:trPr>
        <w:tc>
          <w:tcPr>
            <w:tcW w:w="5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computer hardware and 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r>
      <w:tr>
        <w:trPr>
          <w:trHeight w:val="221"/>
        </w:trPr>
        <w:tc>
          <w:tcPr>
            <w:tcW w:w="5880" w:type="dxa"/>
            <w:vAlign w:val="bottom"/>
          </w:tcPr>
          <w:p>
            <w:pPr>
              <w:ind w:left="44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22"/>
        </w:trPr>
        <w:tc>
          <w:tcPr>
            <w:tcW w:w="588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560" w:type="dxa"/>
            <w:vAlign w:val="bottom"/>
          </w:tcPr>
          <w:p>
            <w:pPr>
              <w:spacing w:after="0"/>
              <w:rPr>
                <w:sz w:val="19"/>
                <w:szCs w:val="19"/>
                <w:color w:val="auto"/>
              </w:rPr>
            </w:pPr>
          </w:p>
        </w:tc>
        <w:tc>
          <w:tcPr>
            <w:tcW w:w="7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years ended December 27, 2012, December 29, 2011, and December 30, 2010, the Company recorded depreciation expense of $8.7 million, $8.8 million, and $11.4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intangible assets consist of contractual rights with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NCM LLC’s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intangible assets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27,</w:t>
            </w:r>
          </w:p>
        </w:tc>
      </w:tr>
      <w:tr>
        <w:trPr>
          <w:trHeight w:val="161"/>
        </w:trPr>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Additions (1)</w:t>
            </w:r>
          </w:p>
        </w:tc>
        <w:tc>
          <w:tcPr>
            <w:tcW w:w="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Other (2)</w:t>
            </w: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carrying amount</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5"/>
              </w:rPr>
              <w:t>17.1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7"/>
        </w:trPr>
        <w:tc>
          <w:tcPr>
            <w:tcW w:w="1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intangible assets, net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17.1</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w:t>
            </w:r>
          </w:p>
        </w:tc>
      </w:tr>
      <w:tr>
        <w:trPr>
          <w:trHeight w:val="20"/>
        </w:trPr>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1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29,</w:t>
            </w:r>
          </w:p>
        </w:tc>
      </w:tr>
      <w:tr>
        <w:trPr>
          <w:trHeight w:val="161"/>
        </w:trPr>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Additions (3)</w:t>
            </w:r>
          </w:p>
        </w:tc>
        <w:tc>
          <w:tcPr>
            <w:tcW w:w="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Other (2)</w:t>
            </w: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carrying amount</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5"/>
              </w:rPr>
              <w:t>10.4</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0"/>
              </w:rPr>
              <w:t>(0.7)</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r>
        <w:trPr>
          <w:trHeight w:val="27"/>
        </w:trPr>
        <w:tc>
          <w:tcPr>
            <w:tcW w:w="1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intangible assets, net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10.4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r>
      <w:tr>
        <w:trPr>
          <w:trHeight w:val="20"/>
        </w:trPr>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59" w:lineRule="auto"/>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2012, NCM LLC issued 651,612 common membership units to its founding members for the rights to exclusive access to net new theatre screens and attendees added by the founding members to NCM LLC’s network during 2011. NCM LLC recorded a net intangible asset of $9.9 million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spacing w:after="0" w:line="254" w:lineRule="auto"/>
        <w:rPr>
          <w:sz w:val="20"/>
          <w:szCs w:val="20"/>
          <w:color w:val="auto"/>
        </w:rPr>
      </w:pPr>
      <w:r>
        <w:rPr>
          <w:rFonts w:ascii="Arial" w:cs="Arial" w:eastAsia="Arial" w:hAnsi="Arial"/>
          <w:sz w:val="18"/>
          <w:szCs w:val="18"/>
          <w:color w:val="auto"/>
        </w:rPr>
        <w:t>the first quarter of 2012 as a result of the common unit adjustment. In lieu of surrendering 16,727 units, AMC paid NCM LLC $0.2 million in the first quarter of 2012.</w:t>
      </w:r>
    </w:p>
    <w:p>
      <w:pPr>
        <w:ind w:left="460" w:right="60"/>
        <w:spacing w:after="0" w:line="250" w:lineRule="auto"/>
        <w:rPr>
          <w:sz w:val="20"/>
          <w:szCs w:val="20"/>
          <w:color w:val="auto"/>
        </w:rPr>
      </w:pPr>
      <w:r>
        <w:rPr>
          <w:rFonts w:ascii="Arial" w:cs="Arial" w:eastAsia="Arial" w:hAnsi="Arial"/>
          <w:sz w:val="18"/>
          <w:szCs w:val="18"/>
          <w:color w:val="auto"/>
        </w:rPr>
        <w:t>During 2012, the Company purchased intangible assets for $7.2 million associated with network affiliate agreements. The assets will be amortized over the term of the respective agreements.</w:t>
      </w:r>
    </w:p>
    <w:p>
      <w:pPr>
        <w:spacing w:after="0" w:line="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See Note 8 for further information on integration payments.</w:t>
      </w:r>
    </w:p>
    <w:p>
      <w:pPr>
        <w:spacing w:after="0" w:line="9" w:lineRule="exact"/>
        <w:rPr>
          <w:rFonts w:ascii="Arial" w:cs="Arial" w:eastAsia="Arial" w:hAnsi="Arial"/>
          <w:sz w:val="18"/>
          <w:szCs w:val="18"/>
          <w:i w:val="1"/>
          <w:iCs w:val="1"/>
          <w:color w:val="auto"/>
        </w:rPr>
      </w:pPr>
    </w:p>
    <w:p>
      <w:pPr>
        <w:ind w:left="460" w:hanging="452"/>
        <w:spacing w:after="0" w:line="292" w:lineRule="auto"/>
        <w:tabs>
          <w:tab w:leader="none" w:pos="460" w:val="left"/>
        </w:tabs>
        <w:numPr>
          <w:ilvl w:val="0"/>
          <w:numId w:val="38"/>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2011, NCM LLC’s founding members returned a net 322,751 common membership units to NCM LLC. This results in an adjustment to the previously issued common membership units issued in exchange for the rights to exclusive access in accordance with the ESA, to net new theatre screens and attendees added by the founding members to NCM LLC’s network. As a result, NCM LLC recorded a reduction to the intangible asset at fair value of the common membership units of $5.5 million. During 2011, the Company purchased intangible assets for $15.9 million associated with network affiliate agreements. The assets will be amortized over the term of the respective agreements.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27, 2012 and December 29, 2011, the Company’s intangible assets associated to the founding members, net of accumulated amortization was $258.7 million and $259.4 million, respectively with weighted average remaining lives of 23.6 years and 25.2 years as of December 27, 2012 and December 29, 2011, respectively.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December 27, 2012 and December 29, 2011, the Company’s intangible assets related to the network affiliates, net of accumulated amortization was $21.6 and $15.5 million, respectively with weighted average remaining lives of 19.7 years and 19.2 years as of December 27, 2012 and December 29, 2011, respectively.</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the years ended December 27, 2012, December 29, 2011 and December 30, 2010 the Company recorded amortization expense of $11.7 million, $10.0 million and $6.4 million, respectively. The estimated aggregate amortization expense for each of the five succeeding years is as follows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260" w:type="dxa"/>
            <w:vAlign w:val="bottom"/>
            <w:gridSpan w:val="3"/>
          </w:tcPr>
          <w:p>
            <w:pPr>
              <w:ind w:left="46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2014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2016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5. ACCRUED EXPENSES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40" w:type="dxa"/>
            <w:vAlign w:val="bottom"/>
            <w:gridSpan w:val="4"/>
          </w:tcPr>
          <w:p>
            <w:pPr>
              <w:ind w:left="460"/>
              <w:spacing w:after="0"/>
              <w:rPr>
                <w:sz w:val="20"/>
                <w:szCs w:val="20"/>
                <w:color w:val="auto"/>
              </w:rPr>
            </w:pPr>
            <w:r>
              <w:rPr>
                <w:rFonts w:ascii="Arial" w:cs="Arial" w:eastAsia="Arial" w:hAnsi="Arial"/>
                <w:sz w:val="18"/>
                <w:szCs w:val="18"/>
                <w:color w:val="auto"/>
              </w:rPr>
              <w:t>The following is a summary of the Company’s accrued expenses (in millions):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98"/>
              <w:spacing w:after="0"/>
              <w:rPr>
                <w:sz w:val="20"/>
                <w:szCs w:val="20"/>
                <w:color w:val="auto"/>
              </w:rPr>
            </w:pPr>
            <w:r>
              <w:rPr>
                <w:rFonts w:ascii="Arial" w:cs="Arial" w:eastAsia="Arial" w:hAnsi="Arial"/>
                <w:sz w:val="14"/>
                <w:szCs w:val="14"/>
                <w:b w:val="1"/>
                <w:bCs w:val="1"/>
                <w:color w:val="auto"/>
                <w:w w:val="85"/>
              </w:rPr>
              <w:t>As of</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gridSpan w:val="3"/>
          </w:tcPr>
          <w:p>
            <w:pPr>
              <w:jc w:val="center"/>
              <w:ind w:left="582"/>
              <w:spacing w:after="0" w:line="149" w:lineRule="exact"/>
              <w:rPr>
                <w:sz w:val="20"/>
                <w:szCs w:val="20"/>
                <w:color w:val="auto"/>
              </w:rPr>
            </w:pPr>
            <w:r>
              <w:rPr>
                <w:rFonts w:ascii="Arial" w:cs="Arial" w:eastAsia="Arial" w:hAnsi="Arial"/>
                <w:sz w:val="14"/>
                <w:szCs w:val="14"/>
                <w:b w:val="1"/>
                <w:bCs w:val="1"/>
                <w:color w:val="auto"/>
                <w:w w:val="85"/>
              </w:rPr>
              <w:t>December 27,</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2012</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Make-good reserve</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Accrued interest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Other accrued expenses</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accrued expenses</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vMerge w:val="restart"/>
          </w:tcPr>
          <w:p>
            <w:pPr>
              <w:ind w:left="3420"/>
              <w:spacing w:after="0"/>
              <w:rPr>
                <w:sz w:val="20"/>
                <w:szCs w:val="20"/>
                <w:color w:val="auto"/>
              </w:rPr>
            </w:pPr>
            <w:r>
              <w:rPr>
                <w:rFonts w:ascii="Arial" w:cs="Arial" w:eastAsia="Arial" w:hAnsi="Arial"/>
                <w:sz w:val="18"/>
                <w:szCs w:val="18"/>
                <w:color w:val="auto"/>
              </w:rPr>
              <w:t>F-15</w:t>
            </w: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above.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applies to NCM, Inc.’s taxable years up to and including the 30</w:t>
      </w:r>
      <w:r>
        <w:rPr>
          <w:rFonts w:ascii="Arial" w:cs="Arial" w:eastAsia="Arial" w:hAnsi="Arial"/>
          <w:sz w:val="10"/>
          <w:szCs w:val="10"/>
          <w:color w:val="auto"/>
        </w:rPr>
        <w:t>th</w:t>
      </w:r>
      <w:r>
        <w:rPr>
          <w:rFonts w:ascii="Arial" w:cs="Arial" w:eastAsia="Arial" w:hAnsi="Arial"/>
          <w:sz w:val="16"/>
          <w:szCs w:val="16"/>
          <w:color w:val="auto"/>
        </w:rPr>
        <w:t xml:space="preserve"> anniversary date of the offering. The Company paid the founding members $16.7 million in 2010, of which $14.0 million was for the 2009 taxable year and $2.7 million was for the 2008 taxable year, $18.0 million in 2011, of which $17.1 million was for the 2010 taxable year and $0.9 million was for the 2009 taxable year and $18.2 million in 2012, of which $0.9 million was for the 2010 tax year and $17.3 million for the 2011 tax year. In 2013 the Company expects to make an additional $0.9 million payment for the 2011 taxable year and $18.7 million payment for the 2012 taxable year. The Company has provided total income taxes, as follows (in millions):</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w w:val="87"/>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Federal</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880"/>
              <w:spacing w:after="0"/>
              <w:rPr>
                <w:sz w:val="20"/>
                <w:szCs w:val="20"/>
                <w:color w:val="auto"/>
              </w:rPr>
            </w:pPr>
            <w:r>
              <w:rPr>
                <w:rFonts w:ascii="Arial" w:cs="Arial" w:eastAsia="Arial" w:hAnsi="Arial"/>
                <w:sz w:val="18"/>
                <w:szCs w:val="18"/>
                <w:color w:val="auto"/>
              </w:rPr>
              <w:t>Total current income tax (benefit)/expense</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vMerge w:val="continue"/>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Federal</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28.8</w:t>
            </w:r>
          </w:p>
        </w:tc>
        <w:tc>
          <w:tcPr>
            <w:tcW w:w="8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880"/>
              <w:spacing w:after="0"/>
              <w:rPr>
                <w:sz w:val="20"/>
                <w:szCs w:val="20"/>
                <w:color w:val="auto"/>
              </w:rPr>
            </w:pPr>
            <w:r>
              <w:rPr>
                <w:rFonts w:ascii="Arial" w:cs="Arial" w:eastAsia="Arial" w:hAnsi="Arial"/>
                <w:sz w:val="18"/>
                <w:szCs w:val="18"/>
                <w:color w:val="auto"/>
              </w:rPr>
              <w:t>Total deferred income tax expense</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8"/>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w w:val="99"/>
              </w:rPr>
              <w:t>Total income tax provision on Consolidated Statements of Income</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vMerge w:val="continue"/>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26.7</w:t>
            </w: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(benefit) tax on Other Comprehensive Income</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4620"/>
              <w:spacing w:after="0"/>
              <w:rPr>
                <w:sz w:val="20"/>
                <w:szCs w:val="20"/>
                <w:color w:val="auto"/>
              </w:rPr>
            </w:pPr>
            <w:r>
              <w:rPr>
                <w:rFonts w:ascii="Arial" w:cs="Arial" w:eastAsia="Arial" w:hAnsi="Arial"/>
                <w:sz w:val="18"/>
                <w:szCs w:val="18"/>
                <w:color w:val="auto"/>
              </w:rPr>
              <w:t>F-16</w:t>
            </w: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35% was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6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440" w:type="dxa"/>
            <w:vAlign w:val="bottom"/>
          </w:tcPr>
          <w:p>
            <w:pPr>
              <w:spacing w:after="0"/>
              <w:rPr>
                <w:sz w:val="11"/>
                <w:szCs w:val="11"/>
                <w:color w:val="auto"/>
              </w:rPr>
            </w:pPr>
          </w:p>
        </w:tc>
        <w:tc>
          <w:tcPr>
            <w:tcW w:w="1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r>
      <w:tr>
        <w:trPr>
          <w:trHeight w:val="161"/>
        </w:trPr>
        <w:tc>
          <w:tcPr>
            <w:tcW w:w="5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Provision calculated at federal statutory income tax rate: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18"/>
                <w:szCs w:val="18"/>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42.0</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Noncontrolling interests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r>
        <w:trPr>
          <w:trHeight w:val="222"/>
        </w:trPr>
        <w:tc>
          <w:tcPr>
            <w:tcW w:w="5160" w:type="dxa"/>
            <w:vAlign w:val="bottom"/>
          </w:tcPr>
          <w:p>
            <w:pPr>
              <w:ind w:left="880"/>
              <w:spacing w:after="0"/>
              <w:rPr>
                <w:sz w:val="20"/>
                <w:szCs w:val="20"/>
                <w:color w:val="auto"/>
              </w:rPr>
            </w:pPr>
            <w:r>
              <w:rPr>
                <w:rFonts w:ascii="Arial" w:cs="Arial" w:eastAsia="Arial" w:hAnsi="Arial"/>
                <w:sz w:val="18"/>
                <w:szCs w:val="18"/>
                <w:color w:val="auto"/>
              </w:rPr>
              <w:t>Income attributable to NCM, Inc.</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17"/>
        </w:trPr>
        <w:tc>
          <w:tcPr>
            <w:tcW w:w="5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 of period correction to enacted state rate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ind w:left="880"/>
              <w:spacing w:after="0"/>
              <w:rPr>
                <w:sz w:val="20"/>
                <w:szCs w:val="20"/>
                <w:color w:val="auto"/>
              </w:rPr>
            </w:pPr>
            <w:r>
              <w:rPr>
                <w:rFonts w:ascii="Arial" w:cs="Arial" w:eastAsia="Arial" w:hAnsi="Arial"/>
                <w:sz w:val="18"/>
                <w:szCs w:val="18"/>
                <w:color w:val="auto"/>
              </w:rPr>
              <w:t>Current year change to enacted state rate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22"/>
        </w:trPr>
        <w:tc>
          <w:tcPr>
            <w:tcW w:w="5160" w:type="dxa"/>
            <w:vAlign w:val="bottom"/>
          </w:tcPr>
          <w:p>
            <w:pPr>
              <w:ind w:left="880"/>
              <w:spacing w:after="0"/>
              <w:rPr>
                <w:sz w:val="20"/>
                <w:szCs w:val="20"/>
                <w:color w:val="auto"/>
              </w:rPr>
            </w:pPr>
            <w:r>
              <w:rPr>
                <w:rFonts w:ascii="Arial" w:cs="Arial" w:eastAsia="Arial" w:hAnsi="Arial"/>
                <w:sz w:val="18"/>
                <w:szCs w:val="18"/>
                <w:color w:val="auto"/>
              </w:rPr>
              <w:t>Total income tax provision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8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 xml:space="preserve">Investment in consolidated subsidiary NCM LLC </w:t>
            </w:r>
            <w:r>
              <w:rPr>
                <w:rFonts w:ascii="Arial" w:cs="Arial" w:eastAsia="Arial" w:hAnsi="Arial"/>
                <w:sz w:val="18"/>
                <w:szCs w:val="18"/>
                <w:i w:val="1"/>
                <w:iCs w:val="1"/>
                <w:color w:val="auto"/>
              </w:rPr>
              <w:t>(1)(2)(4)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252.0</w:t>
            </w: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284.4</w:t>
            </w: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272.5</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r>
      <w:tr>
        <w:trPr>
          <w:trHeight w:val="217"/>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 xml:space="preserve">Discount on liability for income taxes payable to founding members under tax sharing agreement </w:t>
            </w:r>
            <w:r>
              <w:rPr>
                <w:rFonts w:ascii="Arial" w:cs="Arial" w:eastAsia="Arial" w:hAnsi="Arial"/>
                <w:sz w:val="18"/>
                <w:szCs w:val="18"/>
                <w:i w:val="1"/>
                <w:iCs w:val="1"/>
                <w:color w:val="auto"/>
              </w:rPr>
              <w:t>(3)(4)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51.3</w:t>
            </w: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59.5</w:t>
            </w:r>
          </w:p>
        </w:tc>
        <w:tc>
          <w:tcPr>
            <w:tcW w:w="8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NCM LLC made an election under Internal Revenue code (“IRC”) §754 of the Internal Revenue Code to step-up the Company’s outside basis in its share of NCM LLC’s inside basis of assets under IRC §743(b) resulting in a deferred tax asset for the Company’s acquired share of NCM LLC’s assets. The majority of this deferred tax asset is attributable to intangible assets that are amortized over the remainder of the 15-year period for federal income tax purposes and accounted for as distributions under U.S. generally accepted accounting principles. The Company recorded additional step-up in tax basis as a result of subsequent payments made by NCM, Inc. to the founding members under the tax receivable agreement resulting from amortization of the IRC §743(b) adjustment.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For federal income tax purposes, an amortizable intangible asset was created on the tax-basis balance sheet of NCM LLC as a result of the founding members agreeing to modify NCM LLC’s payment obligations under the ESAs and as a result of the common unit adjustments, which are further described in Note 4</w:t>
      </w:r>
      <w:r>
        <w:rPr>
          <w:rFonts w:ascii="Arial" w:cs="Arial" w:eastAsia="Arial" w:hAnsi="Arial"/>
          <w:sz w:val="16"/>
          <w:szCs w:val="16"/>
          <w:i w:val="1"/>
          <w:iCs w:val="1"/>
          <w:color w:val="auto"/>
        </w:rPr>
        <w:t>—Intangible Assets</w:t>
      </w:r>
      <w:r>
        <w:rPr>
          <w:rFonts w:ascii="Arial" w:cs="Arial" w:eastAsia="Arial" w:hAnsi="Arial"/>
          <w:sz w:val="16"/>
          <w:szCs w:val="16"/>
          <w:color w:val="auto"/>
        </w:rPr>
        <w:t>. The tax effect of NCM, Inc.’s share of the intangible asset is amortized over the remainder of the 30-year life for federal income tax purposes. Additionally, units issued under the Common Unit Adjustment (“CUA”) and subsequent payments to the founding members under the tax receivable agreement, create additional layers of tax basis amortized over the remaining period of the ESA. The ESA deferred tax asset was adjusted to reflect the changes in ownership that occurred during the year due to the common unit adjustments.</w:t>
      </w:r>
    </w:p>
    <w:p>
      <w:pPr>
        <w:spacing w:after="0" w:line="1" w:lineRule="exact"/>
        <w:rPr>
          <w:rFonts w:ascii="Arial" w:cs="Arial" w:eastAsia="Arial" w:hAnsi="Arial"/>
          <w:sz w:val="16"/>
          <w:szCs w:val="16"/>
          <w:i w:val="1"/>
          <w:iCs w:val="1"/>
          <w:color w:val="auto"/>
        </w:rPr>
      </w:pPr>
    </w:p>
    <w:p>
      <w:pPr>
        <w:ind w:left="460" w:right="100" w:hanging="452"/>
        <w:spacing w:after="0" w:line="281" w:lineRule="auto"/>
        <w:tabs>
          <w:tab w:leader="none" w:pos="460"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NCM, Inc. recorded a long-term payable to founding members related to the tax receivable agreement, which is recorded at its present value. The discount on this liability is a temporary difference that resulted in a deferred tax liability. The Company recorded accretion of interest on the discounted payable of $10.0 million and $15.1 million for the year ended December 27, 2012 and December 29, 2011, respectively.</w:t>
      </w:r>
    </w:p>
    <w:p>
      <w:pPr>
        <w:spacing w:after="0" w:line="2" w:lineRule="exact"/>
        <w:rPr>
          <w:rFonts w:ascii="Arial" w:cs="Arial" w:eastAsia="Arial" w:hAnsi="Arial"/>
          <w:sz w:val="16"/>
          <w:szCs w:val="16"/>
          <w:i w:val="1"/>
          <w:iCs w:val="1"/>
          <w:color w:val="auto"/>
        </w:rPr>
      </w:pPr>
    </w:p>
    <w:p>
      <w:pPr>
        <w:ind w:left="460" w:right="40" w:hanging="452"/>
        <w:spacing w:after="0" w:line="287" w:lineRule="auto"/>
        <w:tabs>
          <w:tab w:leader="none" w:pos="460"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During 2012, NCM, Inc. corrected errors in the blended state tax rate used to measure the net deferred tax asset “Excess of tax basis over book basis— investment in consolidated subsidiary NCM LLC”. As a result of the correction to the deferred tax asset, the long-term payable to founding members’ liability was also corrected. This is the discounted amount which is payable back to the Founding Members under the TRA and represents 90% of the cash savings to NCM, Inc. from federal, state and local jurisdictions upon realization of amortization and other deductions specified under the TRA. As a result of these out-of-period adjustments, the Company recorded a decrease of $22.7 million to its deferred tax asset for its ownership interest in NCM LLC to reflect the tax effected difference between the tax basis and the book basis of these assets. In addition, the Company recorded a decrease of $17.9 million in its long-term payable to founding members. The impact of these adjustments was a total out of period income statement impact of $5.3 million which consisted of an adjustment to deferred tax expense of $9.6 million offset by a reduction of TRA interest expense of $4.3 million.</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is subject to taxation in the U.S. and various states. NCM LLC’s calendar year 2007 and 2008 tax returns are currently under examination by the Internal Revenue Service (“IRS”). In 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has contested, the IRS’ positions.</w:t>
      </w:r>
    </w:p>
    <w:p>
      <w:pPr>
        <w:spacing w:after="0" w:line="14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NCM, Inc., in its capacity as tax matters partner for NCM LLC, received a “60 Day Letter” from the IRS, dated April 25, 2012, in connection with the examination of NCM LLC’s federal tax return for the 2007 and 2008 fiscal years. The 60 Day Letter notified NCM LLC that the IRS intended to adjust partnership items unless a written letter of protest was received by the IRS within 60 days of the date of the letter. Subsequent to the receipt of the 60 Day Letter, NCM, Inc. received from the IRS an additional 30 day extension to respond. The adjustments proposed by the IRS in the 60 Day Letter are materially similar to the adjustments proposed in the NOPA received in September 2011. The Company submitted its written letter of protest to the IRS in July 2012 and believes the IRS’ position lacks merit and is disputing the adjustments through the administrative appeals process. In December 2012, NCM LLC was notified by the IRS that its case had formally been transferred from examination to administrative appeals. There has not been a formal appeals conference scheduled as of December 27, 2012.</w:t>
      </w:r>
    </w:p>
    <w:p>
      <w:pPr>
        <w:spacing w:after="0" w:line="145"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As of December 27, 2012 and December 29, 2011, there was no material liability or expense for the periods then ended recorded for payment of interest and penalties associated with uncertain tax positions or material unrecognized tax positions and the Company’s unrecognized tax benefits were not material.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STOCK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27, 2012, the Company has authorized capital stock of 175,000,000 shares of common stock, par value of $0.01 per share, and 10,000,000 shares of preferred stock, par value of $0.01 per share. There were no shares of preferred stock issued or outstanding as of December 27, 2012. There were 54,486,259 shares of common stock issued and outstanding as of December 27, 2012.</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holders of common stock are entitled to one vote per share on all matters submitted for action by the stockholders. Holders of common stock are entitled to share equally, share for share, in declared dividends.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27, 2012, the Company had 1,851,975 shares reserved for future issuance under its Equity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Founding Member Transactions</w:t>
      </w:r>
      <w:r>
        <w:rPr>
          <w:rFonts w:ascii="Arial" w:cs="Arial" w:eastAsia="Arial" w:hAnsi="Arial"/>
          <w:sz w:val="16"/>
          <w:szCs w:val="16"/>
          <w:color w:val="auto"/>
        </w:rPr>
        <w:t>—Following is a summary of the transactions between the Company and the founding members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Years Ended</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122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December 29,</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100" w:type="dxa"/>
            <w:vAlign w:val="bottom"/>
          </w:tcPr>
          <w:p>
            <w:pPr>
              <w:spacing w:after="0"/>
              <w:rPr>
                <w:sz w:val="11"/>
                <w:szCs w:val="11"/>
                <w:color w:val="auto"/>
              </w:rPr>
            </w:pPr>
          </w:p>
        </w:tc>
      </w:tr>
      <w:tr>
        <w:trPr>
          <w:trHeight w:val="161"/>
        </w:trPr>
        <w:tc>
          <w:tcPr>
            <w:tcW w:w="7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72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Consolidated Statements of Income: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7240" w:type="dxa"/>
            <w:vAlign w:val="bottom"/>
            <w:gridSpan w:val="3"/>
          </w:tcPr>
          <w:p>
            <w:pPr>
              <w:spacing w:after="0" w:line="176" w:lineRule="exact"/>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3"/>
          </w:tcPr>
          <w:p>
            <w:pPr>
              <w:ind w:left="44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160" w:type="dxa"/>
            <w:vAlign w:val="bottom"/>
          </w:tcPr>
          <w:p>
            <w:pPr>
              <w:spacing w:after="0"/>
              <w:rPr>
                <w:sz w:val="18"/>
                <w:szCs w:val="18"/>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196"/>
        </w:trPr>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Operating expenses:</w:t>
            </w:r>
          </w:p>
        </w:tc>
        <w:tc>
          <w:tcPr>
            <w:tcW w:w="5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240" w:type="dxa"/>
            <w:vAlign w:val="bottom"/>
            <w:gridSpan w:val="3"/>
          </w:tcPr>
          <w:p>
            <w:pPr>
              <w:ind w:left="4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160" w:type="dxa"/>
            <w:vAlign w:val="bottom"/>
          </w:tcPr>
          <w:p>
            <w:pPr>
              <w:spacing w:after="0"/>
              <w:rPr>
                <w:sz w:val="18"/>
                <w:szCs w:val="18"/>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55.4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r>
      <w:tr>
        <w:trPr>
          <w:trHeight w:val="216"/>
        </w:trPr>
        <w:tc>
          <w:tcPr>
            <w:tcW w:w="7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xml:space="preserve">Revenue share from Fathom Events (included in Fathom Events operating costs) </w:t>
            </w:r>
            <w:r>
              <w:rPr>
                <w:rFonts w:ascii="Arial" w:cs="Arial" w:eastAsia="Arial" w:hAnsi="Arial"/>
                <w:sz w:val="18"/>
                <w:szCs w:val="18"/>
                <w:i w:val="1"/>
                <w:iCs w:val="1"/>
                <w:color w:val="auto"/>
              </w:rPr>
              <w:t>(4)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08"/>
        </w:trPr>
        <w:tc>
          <w:tcPr>
            <w:tcW w:w="7240" w:type="dxa"/>
            <w:vAlign w:val="bottom"/>
            <w:gridSpan w:val="3"/>
          </w:tcPr>
          <w:p>
            <w:pPr>
              <w:ind w:left="440"/>
              <w:spacing w:after="0"/>
              <w:rPr>
                <w:sz w:val="20"/>
                <w:szCs w:val="20"/>
                <w:color w:val="auto"/>
              </w:rPr>
            </w:pPr>
            <w:r>
              <w:rPr>
                <w:rFonts w:ascii="Arial" w:cs="Arial" w:eastAsia="Arial" w:hAnsi="Arial"/>
                <w:sz w:val="18"/>
                <w:szCs w:val="18"/>
                <w:color w:val="auto"/>
              </w:rPr>
              <w:t>Purchase of movie tickets and concession products (included in Fathom Events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240" w:type="dxa"/>
            <w:vAlign w:val="bottom"/>
            <w:gridSpan w:val="3"/>
          </w:tcPr>
          <w:p>
            <w:pPr>
              <w:ind w:left="660"/>
              <w:spacing w:after="0"/>
              <w:rPr>
                <w:sz w:val="20"/>
                <w:szCs w:val="20"/>
                <w:color w:val="auto"/>
              </w:rPr>
            </w:pPr>
            <w:r>
              <w:rPr>
                <w:rFonts w:ascii="Arial" w:cs="Arial" w:eastAsia="Arial" w:hAnsi="Arial"/>
                <w:sz w:val="18"/>
                <w:szCs w:val="18"/>
                <w:color w:val="auto"/>
              </w:rPr>
              <w:t xml:space="preserve">operating costs) </w:t>
            </w:r>
            <w:r>
              <w:rPr>
                <w:rFonts w:ascii="Arial" w:cs="Arial" w:eastAsia="Arial" w:hAnsi="Arial"/>
                <w:sz w:val="18"/>
                <w:szCs w:val="18"/>
                <w:i w:val="1"/>
                <w:iCs w:val="1"/>
                <w:color w:val="auto"/>
              </w:rPr>
              <w:t>(5)</w:t>
            </w:r>
          </w:p>
        </w:tc>
        <w:tc>
          <w:tcPr>
            <w:tcW w:w="160" w:type="dxa"/>
            <w:vAlign w:val="bottom"/>
          </w:tcPr>
          <w:p>
            <w:pPr>
              <w:spacing w:after="0"/>
              <w:rPr>
                <w:sz w:val="19"/>
                <w:szCs w:val="19"/>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09"/>
        </w:trPr>
        <w:tc>
          <w:tcPr>
            <w:tcW w:w="7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Purchase of movie tickets and concession products (included in selling and marketing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2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xml:space="preserve">costs) </w:t>
            </w:r>
            <w:r>
              <w:rPr>
                <w:rFonts w:ascii="Arial" w:cs="Arial" w:eastAsia="Arial" w:hAnsi="Arial"/>
                <w:sz w:val="18"/>
                <w:szCs w:val="18"/>
                <w:i w:val="1"/>
                <w:iCs w:val="1"/>
                <w:color w:val="auto"/>
              </w:rPr>
              <w:t>(5)</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3" w:lineRule="auto"/>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For the years ended December 27, 2012, December 29, 2011 and December 30, 2010, the founding members purchased 60 seconds of on-screen advertising time (with a right to purchase up to 90 seconds) from NCM LLC to satisfy their obligations under their beverage concessionaire agreements at a specified 30 second equivalent CPM.</w:t>
      </w: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80" w:hanging="452"/>
        <w:spacing w:after="0" w:line="250" w:lineRule="auto"/>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These payments are at rates (percentage of event revenue) included in the ESAs based on the nature of the event.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Business customers.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9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8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29,</w:t>
            </w:r>
          </w:p>
        </w:tc>
        <w:tc>
          <w:tcPr>
            <w:tcW w:w="100" w:type="dxa"/>
            <w:vAlign w:val="bottom"/>
          </w:tcPr>
          <w:p>
            <w:pPr>
              <w:spacing w:after="0"/>
              <w:rPr>
                <w:sz w:val="11"/>
                <w:szCs w:val="11"/>
                <w:color w:val="auto"/>
              </w:rPr>
            </w:pPr>
          </w:p>
        </w:tc>
      </w:tr>
      <w:tr>
        <w:trPr>
          <w:trHeight w:val="161"/>
        </w:trPr>
        <w:tc>
          <w:tcPr>
            <w:tcW w:w="8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Consolidated Balance Sheets: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xml:space="preserve">Long-term payable to founding members under tax sharing agreement </w:t>
            </w:r>
            <w:r>
              <w:rPr>
                <w:rFonts w:ascii="Arial" w:cs="Arial" w:eastAsia="Arial" w:hAnsi="Arial"/>
                <w:sz w:val="18"/>
                <w:szCs w:val="18"/>
                <w:i w:val="1"/>
                <w:iCs w:val="1"/>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Current payable to founding members under tax sharing agreement </w:t>
            </w:r>
            <w:r>
              <w:rPr>
                <w:rFonts w:ascii="Arial" w:cs="Arial" w:eastAsia="Arial" w:hAnsi="Arial"/>
                <w:sz w:val="18"/>
                <w:szCs w:val="18"/>
                <w:i w:val="1"/>
                <w:iCs w:val="1"/>
                <w:color w:val="auto"/>
              </w:rPr>
              <w:t>(1)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 xml:space="preserve">Integration payments (included in Intangible assets) </w:t>
            </w:r>
            <w:r>
              <w:rPr>
                <w:rFonts w:ascii="Arial" w:cs="Arial" w:eastAsia="Arial" w:hAnsi="Arial"/>
                <w:sz w:val="18"/>
                <w:szCs w:val="18"/>
                <w:i w:val="1"/>
                <w:iCs w:val="1"/>
                <w:color w:val="auto"/>
              </w:rPr>
              <w:t>(2)</w:t>
            </w:r>
          </w:p>
        </w:tc>
        <w:tc>
          <w:tcPr>
            <w:tcW w:w="1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The Company paid the founding members $18.2 million in the first quarter of 2012, of which $0.9 million was for the 2010 tax year and $17.3 million was for the 2011 tax year. See Note 6—</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information related to the tax sharing agreement.</w:t>
      </w:r>
    </w:p>
    <w:p>
      <w:pPr>
        <w:ind w:left="460" w:right="80" w:hanging="452"/>
        <w:spacing w:after="0" w:line="331" w:lineRule="auto"/>
        <w:tabs>
          <w:tab w:leader="none" w:pos="460" w:val="left"/>
        </w:tabs>
        <w:numPr>
          <w:ilvl w:val="0"/>
          <w:numId w:val="42"/>
        </w:numPr>
        <w:rPr>
          <w:rFonts w:ascii="Arial" w:cs="Arial" w:eastAsia="Arial" w:hAnsi="Arial"/>
          <w:sz w:val="15"/>
          <w:szCs w:val="15"/>
          <w:i w:val="1"/>
          <w:iCs w:val="1"/>
          <w:color w:val="auto"/>
        </w:rPr>
      </w:pPr>
      <w:r>
        <w:rPr>
          <w:rFonts w:ascii="Arial" w:cs="Arial" w:eastAsia="Arial" w:hAnsi="Arial"/>
          <w:sz w:val="15"/>
          <w:szCs w:val="15"/>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made integration payments pursuant to the ESAs on a quarterly basis in arrears through the second quarter of 2011 in accordance with certain run-out provisions.</w:t>
      </w:r>
    </w:p>
    <w:p>
      <w:pPr>
        <w:spacing w:after="0" w:line="90"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years ended December 27, 2012, December 29, 2011 and December 30, 2010 are as follows (in millions):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Years Ended</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1740" w:type="dxa"/>
            <w:vAlign w:val="bottom"/>
            <w:gridSpan w:val="3"/>
          </w:tcPr>
          <w:p>
            <w:pPr>
              <w:ind w:left="940"/>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740" w:type="dxa"/>
            <w:vAlign w:val="bottom"/>
            <w:gridSpan w:val="3"/>
          </w:tcPr>
          <w:p>
            <w:pPr>
              <w:ind w:left="940"/>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r>
      <w:tr>
        <w:trPr>
          <w:trHeight w:val="161"/>
        </w:trPr>
        <w:tc>
          <w:tcPr>
            <w:tcW w:w="20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AMC</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Cinemark</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NCM, Inc.</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r>
      <w:tr>
        <w:trPr>
          <w:trHeight w:val="216"/>
        </w:trPr>
        <w:tc>
          <w:tcPr>
            <w:tcW w:w="2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r>
              <w:rPr>
                <w:rFonts w:ascii="Arial" w:cs="Arial" w:eastAsia="Arial" w:hAnsi="Arial"/>
                <w:sz w:val="18"/>
                <w:szCs w:val="18"/>
                <w:u w:val="single" w:color="auto"/>
                <w:color w:val="auto"/>
              </w:rPr>
              <w:t>6</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r>
              <w:rPr>
                <w:rFonts w:ascii="Arial" w:cs="Arial" w:eastAsia="Arial" w:hAnsi="Arial"/>
                <w:sz w:val="18"/>
                <w:szCs w:val="18"/>
                <w:u w:val="single" w:color="auto"/>
                <w:color w:val="auto"/>
              </w:rPr>
              <w:t>7</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r>
              <w:rPr>
                <w:rFonts w:ascii="Arial" w:cs="Arial" w:eastAsia="Arial" w:hAnsi="Arial"/>
                <w:sz w:val="18"/>
                <w:szCs w:val="18"/>
                <w:u w:val="single" w:color="auto"/>
                <w:color w:val="auto"/>
              </w:rPr>
              <w:t>1</w:t>
            </w:r>
          </w:p>
        </w:tc>
        <w:tc>
          <w:tcPr>
            <w:tcW w:w="100" w:type="dxa"/>
            <w:vAlign w:val="bottom"/>
            <w:shd w:val="clear" w:color="auto" w:fill="CCEEFF"/>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20" w:firstLine="456"/>
        <w:spacing w:after="0" w:line="370" w:lineRule="auto"/>
        <w:rPr>
          <w:sz w:val="20"/>
          <w:szCs w:val="20"/>
          <w:color w:val="auto"/>
        </w:rPr>
      </w:pPr>
      <w:r>
        <w:rPr>
          <w:rFonts w:ascii="Arial" w:cs="Arial" w:eastAsia="Arial" w:hAnsi="Arial"/>
          <w:sz w:val="15"/>
          <w:szCs w:val="15"/>
          <w:color w:val="auto"/>
        </w:rPr>
        <w:t>The mandatory distributions of available cash by NCM LLC to its founding members for the quarter ended December 27, 2012 of $20.9 million, is included in amounts due to founding members in the Consolidated Balance Sheets as of December 27, 2012 and will be made in the first quarter of 2013.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December 27, 2012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AMC</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24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Regal</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366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$ 0.6</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$ 0.9</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4520" w:type="dxa"/>
            <w:vAlign w:val="bottom"/>
            <w:gridSpan w:val="4"/>
          </w:tcPr>
          <w:p>
            <w:pPr>
              <w:jc w:val="right"/>
              <w:ind w:right="4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366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r>
      <w:tr>
        <w:trPr>
          <w:trHeight w:val="222"/>
        </w:trPr>
        <w:tc>
          <w:tcPr>
            <w:tcW w:w="4380" w:type="dxa"/>
            <w:vAlign w:val="bottom"/>
          </w:tcPr>
          <w:p>
            <w:pPr>
              <w:ind w:left="440"/>
              <w:spacing w:after="0"/>
              <w:rPr>
                <w:sz w:val="20"/>
                <w:szCs w:val="20"/>
                <w:color w:val="auto"/>
              </w:rPr>
            </w:pPr>
            <w:r>
              <w:rPr>
                <w:rFonts w:ascii="Arial" w:cs="Arial" w:eastAsia="Arial" w:hAnsi="Arial"/>
                <w:sz w:val="18"/>
                <w:szCs w:val="18"/>
                <w:color w:val="auto"/>
              </w:rPr>
              <w:t>Total</w:t>
            </w:r>
          </w:p>
        </w:tc>
        <w:tc>
          <w:tcPr>
            <w:tcW w:w="4520" w:type="dxa"/>
            <w:vAlign w:val="bottom"/>
            <w:gridSpan w:val="4"/>
          </w:tcPr>
          <w:p>
            <w:pPr>
              <w:jc w:val="right"/>
              <w:ind w:right="500"/>
              <w:spacing w:after="0"/>
              <w:rPr>
                <w:sz w:val="20"/>
                <w:szCs w:val="20"/>
                <w:color w:val="auto"/>
              </w:rPr>
            </w:pPr>
            <w:r>
              <w:rPr>
                <w:rFonts w:ascii="Arial" w:cs="Arial" w:eastAsia="Arial" w:hAnsi="Arial"/>
                <w:sz w:val="18"/>
                <w:szCs w:val="18"/>
                <w:color w:val="auto"/>
              </w:rPr>
              <w:t>$ 5.</w:t>
            </w:r>
            <w:r>
              <w:rPr>
                <w:rFonts w:ascii="Arial" w:cs="Arial" w:eastAsia="Arial" w:hAnsi="Arial"/>
                <w:sz w:val="18"/>
                <w:szCs w:val="18"/>
                <w:u w:val="single" w:color="auto"/>
                <w:color w:val="auto"/>
              </w:rPr>
              <w:t>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$ 7.5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19.8</w:t>
            </w:r>
          </w:p>
        </w:tc>
      </w:tr>
      <w:tr>
        <w:trPr>
          <w:trHeight w:val="20"/>
        </w:trPr>
        <w:tc>
          <w:tcPr>
            <w:tcW w:w="80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8900" w:type="dxa"/>
            <w:vAlign w:val="bottom"/>
            <w:gridSpan w:val="5"/>
          </w:tcPr>
          <w:p>
            <w:pPr>
              <w:ind w:left="460"/>
              <w:spacing w:after="0"/>
              <w:rPr>
                <w:sz w:val="20"/>
                <w:szCs w:val="20"/>
                <w:color w:val="auto"/>
              </w:rPr>
            </w:pPr>
            <w:r>
              <w:rPr>
                <w:rFonts w:ascii="Arial" w:cs="Arial" w:eastAsia="Arial" w:hAnsi="Arial"/>
                <w:sz w:val="18"/>
                <w:szCs w:val="18"/>
                <w:color w:val="auto"/>
                <w:w w:val="99"/>
              </w:rPr>
              <w:t>Amounts due to founding members as of December 29, 2011 were comprised of the following (in millions):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AMC</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240" w:type="dxa"/>
            <w:vAlign w:val="bottom"/>
          </w:tcPr>
          <w:p>
            <w:pPr>
              <w:spacing w:after="0"/>
              <w:rPr>
                <w:sz w:val="24"/>
                <w:szCs w:val="2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Regal</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366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$ 0.5</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4520" w:type="dxa"/>
            <w:vAlign w:val="bottom"/>
            <w:gridSpan w:val="4"/>
          </w:tcPr>
          <w:p>
            <w:pPr>
              <w:jc w:val="right"/>
              <w:ind w:right="44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(0.7)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66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r>
      <w:tr>
        <w:trPr>
          <w:trHeight w:val="222"/>
        </w:trPr>
        <w:tc>
          <w:tcPr>
            <w:tcW w:w="4380" w:type="dxa"/>
            <w:vAlign w:val="bottom"/>
          </w:tcPr>
          <w:p>
            <w:pPr>
              <w:ind w:left="440"/>
              <w:spacing w:after="0"/>
              <w:rPr>
                <w:sz w:val="20"/>
                <w:szCs w:val="20"/>
                <w:color w:val="auto"/>
              </w:rPr>
            </w:pPr>
            <w:r>
              <w:rPr>
                <w:rFonts w:ascii="Arial" w:cs="Arial" w:eastAsia="Arial" w:hAnsi="Arial"/>
                <w:sz w:val="18"/>
                <w:szCs w:val="18"/>
                <w:color w:val="auto"/>
              </w:rPr>
              <w:t>Total</w:t>
            </w:r>
          </w:p>
        </w:tc>
        <w:tc>
          <w:tcPr>
            <w:tcW w:w="4520" w:type="dxa"/>
            <w:vAlign w:val="bottom"/>
            <w:gridSpan w:val="4"/>
          </w:tcPr>
          <w:p>
            <w:pPr>
              <w:jc w:val="right"/>
              <w:ind w:right="500"/>
              <w:spacing w:after="0"/>
              <w:rPr>
                <w:sz w:val="20"/>
                <w:szCs w:val="20"/>
                <w:color w:val="auto"/>
              </w:rPr>
            </w:pPr>
            <w:r>
              <w:rPr>
                <w:rFonts w:ascii="Arial" w:cs="Arial" w:eastAsia="Arial" w:hAnsi="Arial"/>
                <w:sz w:val="18"/>
                <w:szCs w:val="18"/>
                <w:color w:val="auto"/>
              </w:rPr>
              <w:t>$ 6.7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$ 8.5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22.0</w:t>
            </w:r>
          </w:p>
        </w:tc>
      </w:tr>
      <w:tr>
        <w:trPr>
          <w:trHeight w:val="20"/>
        </w:trPr>
        <w:tc>
          <w:tcPr>
            <w:tcW w:w="43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4520" w:type="dxa"/>
            <w:vAlign w:val="bottom"/>
            <w:gridSpan w:val="4"/>
          </w:tcPr>
          <w:p>
            <w:pPr>
              <w:jc w:val="right"/>
              <w:ind w:right="3020"/>
              <w:spacing w:after="0"/>
              <w:rPr>
                <w:sz w:val="20"/>
                <w:szCs w:val="20"/>
                <w:color w:val="auto"/>
              </w:rPr>
            </w:pPr>
            <w:r>
              <w:rPr>
                <w:rFonts w:ascii="Arial" w:cs="Arial" w:eastAsia="Arial" w:hAnsi="Arial"/>
                <w:sz w:val="18"/>
                <w:szCs w:val="18"/>
                <w:color w:val="auto"/>
              </w:rPr>
              <w:t>F-20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Related Party Affiliates</w:t>
      </w:r>
      <w:r>
        <w:rPr>
          <w:rFonts w:ascii="Arial" w:cs="Arial" w:eastAsia="Arial" w:hAnsi="Arial"/>
          <w:sz w:val="16"/>
          <w:szCs w:val="16"/>
          <w:color w:val="auto"/>
        </w:rPr>
        <w:t>—NCM LLC enters into network affiliate agreements and Fathom agreements with network affiliates for NCM LLC to provide in-theatre advertising and Fathom Events 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is a summary of advertising operating costs in the Consolidated Statements of Income between the Company and its related party affiliates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Years Ended</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3"/>
              </w:rPr>
              <w:t>Related Party Affiliate</w:t>
            </w: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December 27,</w:t>
            </w:r>
          </w:p>
        </w:tc>
        <w:tc>
          <w:tcPr>
            <w:tcW w:w="1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29,</w:t>
            </w:r>
          </w:p>
        </w:tc>
        <w:tc>
          <w:tcPr>
            <w:tcW w:w="1760" w:type="dxa"/>
            <w:vAlign w:val="bottom"/>
            <w:gridSpan w:val="3"/>
          </w:tcPr>
          <w:p>
            <w:pPr>
              <w:ind w:left="960"/>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80" w:type="dxa"/>
            <w:vAlign w:val="bottom"/>
            <w:tcBorders>
              <w:bottom w:val="single" w:sz="8" w:color="auto"/>
            </w:tcBorders>
            <w:vMerge w:val="continue"/>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96"/>
              <w:spacing w:after="0" w:line="148" w:lineRule="exact"/>
              <w:rPr>
                <w:sz w:val="20"/>
                <w:szCs w:val="20"/>
                <w:color w:val="auto"/>
              </w:rPr>
            </w:pPr>
            <w:r>
              <w:rPr>
                <w:rFonts w:ascii="Arial" w:cs="Arial" w:eastAsia="Arial" w:hAnsi="Arial"/>
                <w:sz w:val="14"/>
                <w:szCs w:val="14"/>
                <w:b w:val="1"/>
                <w:bCs w:val="1"/>
                <w:color w:val="auto"/>
              </w:rPr>
              <w:t>2012</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line="148" w:lineRule="exact"/>
              <w:rPr>
                <w:sz w:val="20"/>
                <w:szCs w:val="20"/>
                <w:color w:val="auto"/>
              </w:rPr>
            </w:pPr>
            <w:r>
              <w:rPr>
                <w:rFonts w:ascii="Arial" w:cs="Arial" w:eastAsia="Arial" w:hAnsi="Arial"/>
                <w:sz w:val="14"/>
                <w:szCs w:val="14"/>
                <w:b w:val="1"/>
                <w:bCs w:val="1"/>
                <w:color w:val="auto"/>
              </w:rPr>
              <w:t>2011</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29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 xml:space="preserve">Showplex </w:t>
            </w:r>
            <w:r>
              <w:rPr>
                <w:rFonts w:ascii="Arial" w:cs="Arial" w:eastAsia="Arial" w:hAnsi="Arial"/>
                <w:sz w:val="18"/>
                <w:szCs w:val="18"/>
                <w:i w:val="1"/>
                <w:iCs w:val="1"/>
                <w:color w:val="auto"/>
              </w:rPr>
              <w:t>(2)</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(3)</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rPr>
              <w:t>Total</w:t>
            </w:r>
          </w:p>
        </w:tc>
        <w:tc>
          <w:tcPr>
            <w:tcW w:w="304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Following is a summary of the accounts payable balance between the Company and its related party affiliates included in the Consolidated Balance Sheets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3"/>
              </w:rPr>
              <w:t>Related Party Affiliate</w:t>
            </w:r>
          </w:p>
        </w:tc>
        <w:tc>
          <w:tcPr>
            <w:tcW w:w="450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5"/>
              </w:rPr>
              <w:t>December 27,</w:t>
            </w:r>
          </w:p>
        </w:tc>
        <w:tc>
          <w:tcPr>
            <w:tcW w:w="198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68"/>
        </w:trPr>
        <w:tc>
          <w:tcPr>
            <w:tcW w:w="1380" w:type="dxa"/>
            <w:vAlign w:val="bottom"/>
            <w:tcBorders>
              <w:bottom w:val="single" w:sz="8" w:color="auto"/>
            </w:tcBorders>
            <w:vMerge w:val="continue"/>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2012</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45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 xml:space="preserve">Showplex </w:t>
            </w:r>
            <w:r>
              <w:rPr>
                <w:rFonts w:ascii="Arial" w:cs="Arial" w:eastAsia="Arial" w:hAnsi="Arial"/>
                <w:sz w:val="18"/>
                <w:szCs w:val="18"/>
                <w:i w:val="1"/>
                <w:iCs w:val="1"/>
                <w:color w:val="auto"/>
              </w:rPr>
              <w:t>(2)</w:t>
            </w: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(3)</w:t>
            </w:r>
          </w:p>
        </w:tc>
        <w:tc>
          <w:tcPr>
            <w:tcW w:w="4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ind w:left="440"/>
              <w:spacing w:after="0"/>
              <w:rPr>
                <w:sz w:val="20"/>
                <w:szCs w:val="20"/>
                <w:color w:val="auto"/>
              </w:rPr>
            </w:pPr>
            <w:r>
              <w:rPr>
                <w:rFonts w:ascii="Arial" w:cs="Arial" w:eastAsia="Arial" w:hAnsi="Arial"/>
                <w:sz w:val="18"/>
                <w:szCs w:val="18"/>
                <w:color w:val="auto"/>
              </w:rPr>
              <w:t>Total</w:t>
            </w:r>
          </w:p>
        </w:tc>
        <w:tc>
          <w:tcPr>
            <w:tcW w:w="468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color w:val="auto"/>
        </w:rPr>
        <w:t>The Company entered into a network affiliate agreement in 2009 with Starplex Operating L.P. (“Starplex”), an affiliate of Cinemark.</w:t>
      </w:r>
    </w:p>
    <w:p>
      <w:pPr>
        <w:spacing w:after="0" w:line="15" w:lineRule="exact"/>
        <w:rPr>
          <w:rFonts w:ascii="Arial" w:cs="Arial" w:eastAsia="Arial" w:hAnsi="Arial"/>
          <w:sz w:val="18"/>
          <w:szCs w:val="18"/>
          <w:i w:val="1"/>
          <w:iCs w:val="1"/>
          <w:color w:val="auto"/>
        </w:rPr>
      </w:pPr>
    </w:p>
    <w:p>
      <w:pPr>
        <w:ind w:left="460" w:right="140" w:hanging="452"/>
        <w:spacing w:after="0" w:line="250" w:lineRule="auto"/>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color w:val="auto"/>
        </w:rPr>
        <w:t>The Company entered into a digital content agreement and a Fathom agreement in 2011 with Showplex Cinemas, Inc. (“Showplex”), an affiliate of one of NCM, Inc.’s directors.</w:t>
      </w:r>
    </w:p>
    <w:p>
      <w:pPr>
        <w:ind w:left="460" w:hanging="452"/>
        <w:spacing w:after="0"/>
        <w:tabs>
          <w:tab w:leader="none" w:pos="460" w:val="left"/>
        </w:tabs>
        <w:numPr>
          <w:ilvl w:val="0"/>
          <w:numId w:val="43"/>
        </w:numPr>
        <w:rPr>
          <w:rFonts w:ascii="Arial" w:cs="Arial" w:eastAsia="Arial" w:hAnsi="Arial"/>
          <w:sz w:val="16"/>
          <w:szCs w:val="16"/>
          <w:i w:val="1"/>
          <w:iCs w:val="1"/>
          <w:color w:val="auto"/>
        </w:rPr>
      </w:pPr>
      <w:r>
        <w:rPr>
          <w:rFonts w:ascii="Arial" w:cs="Arial" w:eastAsia="Arial" w:hAnsi="Arial"/>
          <w:sz w:val="16"/>
          <w:szCs w:val="16"/>
          <w:color w:val="auto"/>
        </w:rPr>
        <w:t>Other affiliates include LA Live Cinemas LLC (“LA Live”), an affiliate of Regal, and Texas Cinemas, Corp., an affiliate of one of NCM, Inc.’s directors.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summarizes NCM LLC’s total outstanding debt as of December 27, 2012 and December 29, 2011 and the significant terms of its borrowing arrangements: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5"/>
              </w:rPr>
              <w:t>Outstanding Balance as of</w:t>
            </w:r>
          </w:p>
        </w:tc>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Borrowings ($ in millions)</w:t>
            </w:r>
          </w:p>
        </w:tc>
        <w:tc>
          <w:tcPr>
            <w:tcW w:w="3420" w:type="dxa"/>
            <w:vAlign w:val="bottom"/>
            <w:vMerge w:val="restart"/>
          </w:tcPr>
          <w:p>
            <w:pPr>
              <w:spacing w:after="0"/>
              <w:rPr>
                <w:sz w:val="11"/>
                <w:szCs w:val="11"/>
                <w:color w:val="auto"/>
              </w:rPr>
            </w:pPr>
          </w:p>
        </w:tc>
        <w:tc>
          <w:tcPr>
            <w:tcW w:w="14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660" w:type="dxa"/>
            <w:vAlign w:val="bottom"/>
          </w:tcPr>
          <w:p>
            <w:pPr>
              <w:spacing w:after="0"/>
              <w:rPr>
                <w:sz w:val="11"/>
                <w:szCs w:val="11"/>
                <w:color w:val="auto"/>
              </w:rPr>
            </w:pPr>
          </w:p>
        </w:tc>
        <w:tc>
          <w:tcPr>
            <w:tcW w:w="27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Maturity Date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80" w:type="dxa"/>
            <w:vAlign w:val="bottom"/>
            <w:tcBorders>
              <w:bottom w:val="single" w:sz="8" w:color="auto"/>
            </w:tcBorders>
            <w:gridSpan w:val="2"/>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w:t>
            </w:r>
          </w:p>
        </w:tc>
        <w:tc>
          <w:tcPr>
            <w:tcW w:w="6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xml:space="preserve">November 26, 2017 </w:t>
            </w:r>
            <w:r>
              <w:rPr>
                <w:rFonts w:ascii="Arial" w:cs="Arial" w:eastAsia="Arial" w:hAnsi="Arial"/>
                <w:sz w:val="18"/>
                <w:szCs w:val="18"/>
                <w:i w:val="1"/>
                <w:iCs w:val="1"/>
                <w:color w:val="auto"/>
                <w:w w:val="89"/>
              </w:rPr>
              <w:t>(a)</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i w:val="1"/>
                <w:iCs w:val="1"/>
                <w:color w:val="auto"/>
                <w:w w:val="90"/>
              </w:rPr>
              <w:t>(b)</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265.0</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550.0</w:t>
            </w:r>
          </w:p>
        </w:tc>
        <w:tc>
          <w:tcPr>
            <w:tcW w:w="274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November 26, 2019</w:t>
            </w:r>
          </w:p>
        </w:tc>
        <w:tc>
          <w:tcPr>
            <w:tcW w:w="760" w:type="dxa"/>
            <w:vAlign w:val="bottom"/>
          </w:tcPr>
          <w:p>
            <w:pPr>
              <w:jc w:val="center"/>
              <w:spacing w:after="0"/>
              <w:rPr>
                <w:sz w:val="20"/>
                <w:szCs w:val="20"/>
                <w:color w:val="auto"/>
              </w:rPr>
            </w:pPr>
            <w:r>
              <w:rPr>
                <w:rFonts w:ascii="Arial" w:cs="Arial" w:eastAsia="Arial" w:hAnsi="Arial"/>
                <w:sz w:val="18"/>
                <w:szCs w:val="18"/>
                <w:i w:val="1"/>
                <w:iCs w:val="1"/>
                <w:color w:val="auto"/>
                <w:w w:val="90"/>
              </w:rPr>
              <w:t>(b)</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w:t>
            </w:r>
          </w:p>
        </w:tc>
        <w:tc>
          <w:tcPr>
            <w:tcW w:w="27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July 15, 2021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7.875%</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74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April 15, 2022</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879.</w:t>
            </w:r>
            <w:r>
              <w:rPr>
                <w:rFonts w:ascii="Arial" w:cs="Arial" w:eastAsia="Arial" w:hAnsi="Arial"/>
                <w:sz w:val="18"/>
                <w:szCs w:val="18"/>
                <w:u w:val="single" w:color="auto"/>
                <w:color w:val="auto"/>
              </w:rPr>
              <w:t>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794.</w:t>
            </w:r>
            <w:r>
              <w:rPr>
                <w:rFonts w:ascii="Arial" w:cs="Arial" w:eastAsia="Arial" w:hAnsi="Arial"/>
                <w:sz w:val="18"/>
                <w:szCs w:val="18"/>
                <w:u w:val="single" w:color="auto"/>
                <w:color w:val="auto"/>
              </w:rPr>
              <w:t>0</w:t>
            </w:r>
          </w:p>
        </w:tc>
        <w:tc>
          <w:tcPr>
            <w:tcW w:w="2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A portion of the revolving credit facility has a maturity date of December 31, 2014, as described in further detail below.</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Senior Secured Credit Facility</w:t>
      </w:r>
      <w:r>
        <w:rPr>
          <w:rFonts w:ascii="Arial" w:cs="Arial" w:eastAsia="Arial" w:hAnsi="Arial"/>
          <w:sz w:val="16"/>
          <w:szCs w:val="16"/>
          <w:color w:val="auto"/>
        </w:rPr>
        <w:t>—NCM LLC’s senior secured credit facility consists of a $124.0 million revolving credit facility and a $265.0 million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 The obligations under the senior secured credit facility are secured by a lien on substantially all of the assets of NCM LLC.</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—The revolving credit facility portion is available, subject to certain terms and conditions, for general corporate purposes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the ordinary course of business and for other transactions permitted under the senior secured credit facility, and a portion is available for letters of credit. NCM LLC entered into two amendments to the senior secured credit facility during 2012. As a result, NCM LLC’s total availability under the revolving credit facility is $124.0 million. On April 27, 2012, the NCM LLC entered into an amendment (the “Amendment”) to its senior secured credit facility which resulted in the maturity of the remaining $105.0 million available under the revolving credit facility to be extended to April 27, 2017, subject to acceleration if the term loan under the senior secured credit facility is not repaid, refinanced or extended by December 31, 2014. The Amendment became effective upon the completion of the private placement of the Senior Secured Notes (defined and discussed below) on April 27, 2012.</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November 26, 2012, NCM LLC entered into an amendment and restatement of its senior secured credit facility, by and among NCM LLC, Barclays Bank PLC, as administrative agent, and certain lenders party thereto (the “Amended Credit Facility”). Under the Amended Credit Facility, the amount available under NCM LLC’s revolving credit facility was increased from $119.0 million to $124.0 million. The maturity date applicable to the $14.0 million outstanding principal formerly held by Lehman remained December 31, 2014. The maturity date applicable to the remaining outstanding principal was extended to November 26, 2017. The unused line fee is 0.50% per annum.</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 the total available, $14.0 million outstanding principal of the revolving credit facility formerly held by Lehman Brothers Holdings, Inc. (“Lehman”) will not be repaid in connection with any future prepayments of the revolving credit facility amounts, but rather Lehman’s share of the revolving credit facility will be paid in full by NCM LLC to the successor lenders, along with any accrued and unpaid fees and interest, on the termination date of December 31, 2014.</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credit agreement). As part of the July 2011 amendment, the applicable margins on the $110.0 million portion of the revolving credit facility increased by 75 basis points based upon the then current senior secured leverage ratio to the LIBOR index plus 2.25% or the base rate plus 1.25%. The margin on the $14.0 million portion of the revolving credit facility remained unchanged at the LIBOR index plus 1.50% or the base rate plus 0.50%. The weighted-average interest rate on the outstanding balance on the revolving credit facility as of December 27, 2012 was 1.74%.</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Term Loan</w:t>
      </w:r>
      <w:r>
        <w:rPr>
          <w:rFonts w:ascii="Arial" w:cs="Arial" w:eastAsia="Arial" w:hAnsi="Arial"/>
          <w:sz w:val="16"/>
          <w:szCs w:val="16"/>
          <w:color w:val="auto"/>
        </w:rPr>
        <w:t>—As a result of the Amended Credit Facility, the aggregate principal amount under the term loan increased from $225 million to $265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maturity date was extended from February 13, 2015 to November 26, 2019. The interest rate was increased from the LIBOR index plus 1.50% or the base rate (Prime Rate or the Federal Funds Effective Rate, as defined in the Credit Facility) plus 0.50%, at the Company’s option, to the LIBOR index plus 3.25% or the base rate (Prime Rate or the Federal Funds Effective Rate, as defined in the Credit Facility) plus 2.25%, at the Company’s option. The loan was entered into with an original issue discount of 0.75%. The amendment resulted in a $3.4 million non-cash charge for the write-off of net deferred issuance costs.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amendment to the senior secured credit facility on April 27, 2012 and the private placement of $400.0 million of Senior Secured Notes (defined below), the Company paid down the term loan by $325.0 million, reducing the balance from $550.0 million to $225.0 million resulting in a non-cash charge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$2.5 million for the write-off of net deferred issuance costs associated with the payment on the term loan. Prior to the Amended Credit Facility, interest rate swaps resulted in the entire $225.0 million term loan having a fixed annual interest rate of 6.484% (both those accounted for as hedges and those that are not). The interest rate swaps were terminated as part of the Amended Credit Facility. See Note 14—</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xml:space="preserve"> for further discussion of the interest rate swaps.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NCM LLC was in compliance at December 27, 2012, including maintaining a consolidated net senior secured leverage ratio of 6.5 times on a quarterly basis. NCM LLC is permitted to make quarterly dividend payments and other payments based on leverage ratios for NCM LLC and its subsidiaries so long as no default or event of default has occurred and continues to occur. The quarterly dividend payments and other distributions are made if the consolidated net senior secured leverage ratio is less than or equal to 6.5 times.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subsidiary,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27, 2012, the NCM LLC’s consolidated net senior secured leverage ratio was 3.1 times (versus the covenant of 6.5 times).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Senior Unsecured Notes due 2021</w:t>
      </w:r>
      <w:r>
        <w:rPr>
          <w:rFonts w:ascii="Arial" w:cs="Arial" w:eastAsia="Arial" w:hAnsi="Arial"/>
          <w:sz w:val="16"/>
          <w:szCs w:val="16"/>
          <w:color w:val="auto"/>
        </w:rPr>
        <w:t>—On July 5, 2011, NCM LLC completed a private placement of $200.0 million in aggregate principal amount of 7.875%</w:t>
      </w:r>
      <w:r>
        <w:rPr>
          <w:rFonts w:ascii="Arial" w:cs="Arial" w:eastAsia="Arial" w:hAnsi="Arial"/>
          <w:sz w:val="16"/>
          <w:szCs w:val="16"/>
          <w:i w:val="1"/>
          <w:iCs w:val="1"/>
          <w:color w:val="auto"/>
        </w:rPr>
        <w:t xml:space="preserve"> </w:t>
      </w:r>
      <w:r>
        <w:rPr>
          <w:rFonts w:ascii="Arial" w:cs="Arial" w:eastAsia="Arial" w:hAnsi="Arial"/>
          <w:sz w:val="16"/>
          <w:szCs w:val="16"/>
          <w:color w:val="auto"/>
        </w:rPr>
        <w:t>Senior Unsecured Notes (“Senior Unsecured Notes”) for which the exchange offering was completed on September 22, 2011. The Senior Unsecured Notes have a maturity date of July 15, 2021 and pay interest semi-annually in arrears on January 15 and July 15 of each year, commencing January 15, 2012. The notes are subordinated to all existing and future secured debt, including indebtedness under the Company’s existing senior secured credit facility and the Senior Secured Notes defined below. The Senior Unsecured Notes contain certain covenants with which the Company was in compliance as of December 27, 2012.</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Senior Secured Notes due 2022</w:t>
      </w:r>
      <w:r>
        <w:rPr>
          <w:rFonts w:ascii="Arial" w:cs="Arial" w:eastAsia="Arial" w:hAnsi="Arial"/>
          <w:sz w:val="16"/>
          <w:szCs w:val="16"/>
          <w:color w:val="auto"/>
        </w:rPr>
        <w:t>—On April 27, 2012, NCM LLC completed a private placement of $400.0 million in aggregate principal amount of 6.00%</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Secured Notes (the “Senior Secured Notes”). The Senior Secured Notes have a maturity date of April 15, 2022 and pay interest semi-annually in arrears on April 15 and October 15 of each year, which commenced October 15, 2012. The Senior Secured Notes are senior secured obligations of NCM LLC, rank the same as NCM LLC’s senior secured credit facility, subject to certain exceptions, and share in the same collateral that secures NCM LLC’s obligations under the senior secured credit facility. The Senior Secured Notes contain certain covenants with which the Company was in compliance as of December 27,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Future Maturities of Borrowings</w:t>
      </w:r>
      <w:r>
        <w:rPr>
          <w:rFonts w:ascii="Arial" w:cs="Arial" w:eastAsia="Arial" w:hAnsi="Arial"/>
          <w:sz w:val="18"/>
          <w:szCs w:val="18"/>
          <w:color w:val="auto"/>
        </w:rPr>
        <w:t>—The scheduled annual maturities on the senior secured credit facility and Senior Secured and Senior Unsecured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27, 2012 are as follows (in millions):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37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2014</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2016</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865.0</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ind w:left="318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879.0</w:t>
            </w:r>
          </w:p>
        </w:tc>
        <w:tc>
          <w:tcPr>
            <w:tcW w:w="10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the date of the IPO, the Company adopted the NCM, Inc. 2007 Equity Incentive Plan (the “Equity Incentive Plan”). As of December 27, 2012, there were 10,076,000 shares of common stock available for issuance or delivery under the Equity Incentive Plan of which 1,851,975 remain available for grants as of December 27, 2012. Options awarded under the Equity Incentive Plan are granted with an exercise price equal to the closing market price of NCM, Inc. common stock on the date the Company’s board of directors approves the grant. Upon vesting of the restricted stock awards or exercise of options, NCM LLC will issue common membership units to the Company equal to the number of shares of the Company’s common stock represented by such awards. Options and non-vested restricted stock vest annually over a three or five-year period and options have either 10-year or 15-year contractual terms. A forfeiture rate of 5% was estimated to reflect the potential separation of employees. Certain option and share awards provide for accelerated vesting if there is a change in control, as defined in the Equity Incentive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The Company recognized $4.7 million, $7.5 million and $7.0 million for the years ended December 27, 2012, December 29, 2011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30, 2010, respectively, of share-based compensation expense and $0.1 million were capitalized during each of the years ended December 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December 29, 2011 and December 30, 2010, respectively. The income tax benefit recognized in the income statement for share-based compensation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$1.3 million, $2.1 million, and $2.1 million for the years ended December 27, 2012, December 29, 2011 and December 30, 2010, respectively.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27, 2012, unrecognized compensation cost related to unvested options was approximately $3.7 million, which will be recognized over a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remaining period of 1.5 years.</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weighted average grant date fair value of granted options was $4.08, $3.81 and $4.84 for the years ended December 27, 2012, December 29, 2011 and December 30, 2010, respectively. The intrinsic value of options exercised during the year was $1.4 million, $1.5 million and $2.2 million for the years ended December 27, 2012, December 29, 2011 and December 30, 2010, respectively. The total fair value of awards vested during the years ended December 27, 2012, December 29, 2011 and December 30, 2010 was $7.8 million, $6.2 million and $3.2 million, respectively.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is derived from the output of the option valuation model and represents the period of time that options granted are expected to be outstanding. The risk-free rate for periods within the contractual life of the option is based on the U.S. Treasury yield curve in effect at the time of</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grant. The following assumptions were used in the valuation of the options for the years ended December 27, 2012, December 29, 2011 and December 30,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Years Ended</w:t>
            </w:r>
          </w:p>
        </w:tc>
        <w:tc>
          <w:tcPr>
            <w:tcW w:w="1340" w:type="dxa"/>
            <w:vAlign w:val="bottom"/>
            <w:tcBorders>
              <w:bottom w:val="single" w:sz="8" w:color="auto"/>
            </w:tcBorders>
          </w:tcPr>
          <w:p>
            <w:pPr>
              <w:spacing w:after="0"/>
              <w:rPr>
                <w:sz w:val="15"/>
                <w:szCs w:val="15"/>
                <w:color w:val="auto"/>
              </w:rPr>
            </w:pPr>
          </w:p>
        </w:tc>
      </w:tr>
      <w:tr>
        <w:trPr>
          <w:trHeight w:val="130"/>
        </w:trPr>
        <w:tc>
          <w:tcPr>
            <w:tcW w:w="5000" w:type="dxa"/>
            <w:vAlign w:val="bottom"/>
          </w:tcPr>
          <w:p>
            <w:pPr>
              <w:spacing w:after="0"/>
              <w:rPr>
                <w:sz w:val="11"/>
                <w:szCs w:val="11"/>
                <w:color w:val="auto"/>
              </w:rPr>
            </w:pPr>
          </w:p>
        </w:tc>
        <w:tc>
          <w:tcPr>
            <w:tcW w:w="1620" w:type="dxa"/>
            <w:vAlign w:val="bottom"/>
            <w:gridSpan w:val="2"/>
          </w:tcPr>
          <w:p>
            <w:pPr>
              <w:ind w:left="280"/>
              <w:spacing w:after="0" w:line="130" w:lineRule="exact"/>
              <w:rPr>
                <w:sz w:val="20"/>
                <w:szCs w:val="20"/>
                <w:color w:val="auto"/>
              </w:rPr>
            </w:pPr>
            <w:r>
              <w:rPr>
                <w:rFonts w:ascii="Arial" w:cs="Arial" w:eastAsia="Arial" w:hAnsi="Arial"/>
                <w:sz w:val="14"/>
                <w:szCs w:val="14"/>
                <w:b w:val="1"/>
                <w:bCs w:val="1"/>
                <w:color w:val="auto"/>
              </w:rPr>
              <w:t>December 27,</w:t>
            </w:r>
          </w:p>
        </w:tc>
        <w:tc>
          <w:tcPr>
            <w:tcW w:w="162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5"/>
              </w:rPr>
              <w:t>December 29,</w:t>
            </w:r>
          </w:p>
        </w:tc>
        <w:tc>
          <w:tcPr>
            <w:tcW w:w="13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December 30,</w:t>
            </w:r>
          </w:p>
        </w:tc>
      </w:tr>
      <w:tr>
        <w:trPr>
          <w:trHeight w:val="175"/>
        </w:trPr>
        <w:tc>
          <w:tcPr>
            <w:tcW w:w="50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r>
      <w:tr>
        <w:trPr>
          <w:trHeight w:val="210"/>
        </w:trPr>
        <w:tc>
          <w:tcPr>
            <w:tcW w:w="5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Expected term (in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.8%-1.1%</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1.2%-2.4%</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1.4%-3.8%</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53.2%-54.6%</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30.0%-53.6%</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Dividend yield</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5.5%</w:t>
            </w:r>
          </w:p>
        </w:tc>
        <w:tc>
          <w:tcPr>
            <w:tcW w:w="28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3.8% to 4.0%</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3.8% to 4.0%</w:t>
            </w:r>
          </w:p>
        </w:tc>
      </w:tr>
    </w:tbl>
    <w:p>
      <w:pPr>
        <w:spacing w:after="0" w:line="14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summary of option award activity under the Equity Incentive Plan as of December 27, 2012, and changes during the year then ended are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Weighted</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Price</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(in years)</w:t>
            </w:r>
          </w:p>
        </w:tc>
        <w:tc>
          <w:tcPr>
            <w:tcW w:w="3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millions)</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29, 2011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4,837,572</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$ 16.25</w:t>
            </w:r>
          </w:p>
        </w:tc>
        <w:tc>
          <w:tcPr>
            <w:tcW w:w="6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562,623</w:t>
            </w:r>
          </w:p>
        </w:tc>
        <w:tc>
          <w:tcPr>
            <w:tcW w:w="36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13.28</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(241,939)</w:t>
            </w: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9.31</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(173,233)</w:t>
            </w: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19.64</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17.46</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Outstanding at December 27, 2012</w:t>
            </w: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4,984,952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$ 16.13</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27, 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3,083,131</w:t>
            </w:r>
          </w:p>
        </w:tc>
        <w:tc>
          <w:tcPr>
            <w:tcW w:w="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$ 16.09</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Vested and Expected to Vest at December 27, 2012</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4,965,564</w:t>
            </w:r>
          </w:p>
        </w:tc>
        <w:tc>
          <w:tcPr>
            <w:tcW w:w="360" w:type="dxa"/>
            <w:vAlign w:val="bottom"/>
          </w:tcPr>
          <w:p>
            <w:pPr>
              <w:spacing w:after="0"/>
              <w:rPr>
                <w:sz w:val="19"/>
                <w:szCs w:val="19"/>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$ 16.14</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information about the stock options at December 27, 2012, including the weighted average remaining contractual life and weighted 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5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w w:val="86"/>
              </w:rPr>
              <w:t>Options Exercisable</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Average</w:t>
            </w: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Weighted</w:t>
            </w: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Average</w:t>
            </w: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0"/>
              </w:rPr>
              <w:t>Range of Exercise Price</w:t>
            </w:r>
          </w:p>
        </w:tc>
        <w:tc>
          <w:tcPr>
            <w:tcW w:w="334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Outstanding as of</w:t>
            </w:r>
          </w:p>
        </w:tc>
        <w:tc>
          <w:tcPr>
            <w:tcW w:w="62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Life</w:t>
            </w: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Exercise</w:t>
            </w: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Exercisable as of</w:t>
            </w: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8"/>
        </w:trPr>
        <w:tc>
          <w:tcPr>
            <w:tcW w:w="1460" w:type="dxa"/>
            <w:vAlign w:val="bottom"/>
            <w:tcBorders>
              <w:bottom w:val="single" w:sz="8" w:color="auto"/>
            </w:tcBorders>
            <w:vMerge w:val="continue"/>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December 27, 2012</w:t>
            </w:r>
          </w:p>
        </w:tc>
        <w:tc>
          <w:tcPr>
            <w:tcW w:w="620" w:type="dxa"/>
            <w:vAlign w:val="bottom"/>
          </w:tcPr>
          <w:p>
            <w:pPr>
              <w:spacing w:after="0"/>
              <w:rPr>
                <w:sz w:val="14"/>
                <w:szCs w:val="14"/>
                <w:color w:val="auto"/>
              </w:rPr>
            </w:pPr>
          </w:p>
        </w:tc>
        <w:tc>
          <w:tcPr>
            <w:tcW w:w="128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(in years)</w:t>
            </w:r>
          </w:p>
        </w:tc>
        <w:tc>
          <w:tcPr>
            <w:tcW w:w="120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Price</w:t>
            </w:r>
          </w:p>
        </w:tc>
        <w:tc>
          <w:tcPr>
            <w:tcW w:w="17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5"/>
              </w:rPr>
              <w:t>December 27, 2012</w:t>
            </w:r>
          </w:p>
        </w:tc>
        <w:tc>
          <w:tcPr>
            <w:tcW w:w="100" w:type="dxa"/>
            <w:vAlign w:val="bottom"/>
          </w:tcPr>
          <w:p>
            <w:pPr>
              <w:spacing w:after="0"/>
              <w:rPr>
                <w:sz w:val="14"/>
                <w:szCs w:val="14"/>
                <w:color w:val="auto"/>
              </w:rPr>
            </w:pPr>
          </w:p>
        </w:tc>
        <w:tc>
          <w:tcPr>
            <w:tcW w:w="5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$5.35–$13.55</w:t>
            </w:r>
          </w:p>
        </w:tc>
        <w:tc>
          <w:tcPr>
            <w:tcW w:w="3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1,165,240</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$ 11.09</w:t>
            </w:r>
          </w:p>
        </w:tc>
        <w:tc>
          <w:tcPr>
            <w:tcW w:w="6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604,908</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$13.56–$16.66</w:t>
            </w:r>
          </w:p>
        </w:tc>
        <w:tc>
          <w:tcPr>
            <w:tcW w:w="4460" w:type="dxa"/>
            <w:vAlign w:val="bottom"/>
            <w:gridSpan w:val="3"/>
          </w:tcPr>
          <w:p>
            <w:pPr>
              <w:jc w:val="right"/>
              <w:ind w:right="20"/>
              <w:spacing w:after="0"/>
              <w:rPr>
                <w:sz w:val="20"/>
                <w:szCs w:val="20"/>
                <w:color w:val="auto"/>
              </w:rPr>
            </w:pPr>
            <w:r>
              <w:rPr>
                <w:rFonts w:ascii="Arial" w:cs="Arial" w:eastAsia="Arial" w:hAnsi="Arial"/>
                <w:sz w:val="18"/>
                <w:szCs w:val="18"/>
                <w:color w:val="auto"/>
              </w:rPr>
              <w:t>1,114,470</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8.3</w:t>
            </w:r>
          </w:p>
        </w:tc>
        <w:tc>
          <w:tcPr>
            <w:tcW w:w="560" w:type="dxa"/>
            <w:vAlign w:val="bottom"/>
          </w:tcPr>
          <w:p>
            <w:pPr>
              <w:jc w:val="right"/>
              <w:spacing w:after="0"/>
              <w:rPr>
                <w:sz w:val="20"/>
                <w:szCs w:val="20"/>
                <w:color w:val="auto"/>
              </w:rPr>
            </w:pPr>
            <w:r>
              <w:rPr>
                <w:rFonts w:ascii="Arial" w:cs="Arial" w:eastAsia="Arial" w:hAnsi="Arial"/>
                <w:sz w:val="18"/>
                <w:szCs w:val="18"/>
                <w:color w:val="auto"/>
              </w:rPr>
              <w:t>16.01</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916,694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$16.67–$16.97</w:t>
            </w:r>
          </w:p>
        </w:tc>
        <w:tc>
          <w:tcPr>
            <w:tcW w:w="4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915,650</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$16.98–$18.38</w:t>
            </w:r>
          </w:p>
        </w:tc>
        <w:tc>
          <w:tcPr>
            <w:tcW w:w="4460" w:type="dxa"/>
            <w:vAlign w:val="bottom"/>
            <w:gridSpan w:val="3"/>
          </w:tcPr>
          <w:p>
            <w:pPr>
              <w:jc w:val="right"/>
              <w:ind w:right="20"/>
              <w:spacing w:after="0"/>
              <w:rPr>
                <w:sz w:val="20"/>
                <w:szCs w:val="20"/>
                <w:color w:val="auto"/>
              </w:rPr>
            </w:pPr>
            <w:r>
              <w:rPr>
                <w:rFonts w:ascii="Arial" w:cs="Arial" w:eastAsia="Arial" w:hAnsi="Arial"/>
                <w:sz w:val="18"/>
                <w:szCs w:val="18"/>
                <w:color w:val="auto"/>
              </w:rPr>
              <w:t>1,237,326</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8.1</w:t>
            </w:r>
          </w:p>
        </w:tc>
        <w:tc>
          <w:tcPr>
            <w:tcW w:w="560" w:type="dxa"/>
            <w:vAlign w:val="bottom"/>
          </w:tcPr>
          <w:p>
            <w:pPr>
              <w:jc w:val="right"/>
              <w:spacing w:after="0"/>
              <w:rPr>
                <w:sz w:val="20"/>
                <w:szCs w:val="20"/>
                <w:color w:val="auto"/>
              </w:rPr>
            </w:pPr>
            <w:r>
              <w:rPr>
                <w:rFonts w:ascii="Arial" w:cs="Arial" w:eastAsia="Arial" w:hAnsi="Arial"/>
                <w:sz w:val="18"/>
                <w:szCs w:val="18"/>
                <w:color w:val="auto"/>
              </w:rPr>
              <w:t>18.28</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487,744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$18.39–$26.76</w:t>
            </w:r>
          </w:p>
        </w:tc>
        <w:tc>
          <w:tcPr>
            <w:tcW w:w="33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552,266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6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467,890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460" w:type="dxa"/>
            <w:vAlign w:val="bottom"/>
            <w:gridSpan w:val="3"/>
          </w:tcPr>
          <w:p>
            <w:pPr>
              <w:jc w:val="right"/>
              <w:ind w:right="20"/>
              <w:spacing w:after="0"/>
              <w:rPr>
                <w:sz w:val="20"/>
                <w:szCs w:val="20"/>
                <w:color w:val="auto"/>
              </w:rPr>
            </w:pPr>
            <w:r>
              <w:rPr>
                <w:rFonts w:ascii="Arial" w:cs="Arial" w:eastAsia="Arial" w:hAnsi="Arial"/>
                <w:sz w:val="18"/>
                <w:szCs w:val="18"/>
                <w:color w:val="auto"/>
              </w:rPr>
              <w:t>4,984,952</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7.6</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$ 16.13</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3,083,131</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i w:val="1"/>
          <w:iCs w:val="1"/>
          <w:color w:val="auto"/>
        </w:rPr>
        <w:t>Non-vested (Restricted) Stock</w:t>
      </w:r>
      <w:r>
        <w:rPr>
          <w:rFonts w:ascii="Arial" w:cs="Arial" w:eastAsia="Arial" w:hAnsi="Arial"/>
          <w:sz w:val="15"/>
          <w:szCs w:val="15"/>
          <w:color w:val="auto"/>
        </w:rPr>
        <w:t>—The Company has a non-vested stock program as part of the Equity Incentive Plan. The plan provides for non-vested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awards to officers, board members and other key employees. Under the non-vested stock program, common stock of the Company may be granted at no cost to officers, board members and key employees, subject to requisite service and meeting financial performance targets (for certain grants beginning in 2009), and as such restrictions lapse, the award vests in that proportion. The participants are entitled to cash dividends and to vote their respective shares, although the sale and transfer of such shares is prohibited and the shares are subject to forfeiture during the restricted period. Additionally, the accrued cash dividends for 2010, 2011 and 2012 grants are subject to forfeiture during the restricted period. The shares are also subject to the terms and provisions of the Equity Incentive Plan. Non-vested stock awards granted in 2009 through 2012 (except grants to board members) include performance vesting conditions, which permit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vesting to the extent that the Company achieves specified non-GAAP targets at the end of the measurement period. The length of the measurement period is two to three years. Non-vested stock granted to non-employee directors vest after one year.</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recorded $4.3 million, $4.3 million and $7.0 million in compensation expense related to such outstanding non-vested shares during the years ended December 27, 2012, December 29, 2011 and December 30, 2010, respectively. No compensation expense was recorded for the 2011 non-vested restricted stock grants subject to performance conditions as the grants are not expected to vest due to the projected underperformance against the specified non-GAAP targets as of December 27, 2012. Of the $7.0 million in compensation expense for the year ended December 30, 2010, $1.6 million was related to the Company’s expected performance against the specified non-GAAP targets for the 2009 and 2010 grants as of December 30, 2010.</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years ended December 27, 2012, December 29, 2011 and December 30, 2010 there was $0.1 million, $0.1 million and $0.1 million capitalized, respectively. The income tax benefit recognized in the income statement for non-vested shares was $1.3 million, $1.1 million and $2.1 million for the years ended December 27, 2012, December 29, 2011 and December 30, 2010, respectively. As of December 27, 2012, unrecognized compensation cost related to non-vested stock was approximately $3.6 million, which will be recognized over a weighted average remaining period of 1.7 years. The weighted average grant date fair value of non-vested stock was $13.23, $17.66 and $17.24 for the years ended December 27, 2012, December 29, 2011 and December 30, 2010, respectively. The total fair value of awards vested was $6.9 million, $1.8 million and $1.6 million during the years ended December 27, 2012, December 29, 2011 and December 30, 2010, respectively.</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summary of restricted stock award activity under the Equity Incentive Plan as of December 27, 2012, and changes during the year then ended are presented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698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Average Grant-</w:t>
            </w:r>
          </w:p>
        </w:tc>
      </w:tr>
      <w:tr>
        <w:trPr>
          <w:trHeight w:val="161"/>
        </w:trPr>
        <w:tc>
          <w:tcPr>
            <w:tcW w:w="6980" w:type="dxa"/>
            <w:vAlign w:val="bottom"/>
          </w:tcPr>
          <w:p>
            <w:pPr>
              <w:spacing w:after="0"/>
              <w:rPr>
                <w:sz w:val="14"/>
                <w:szCs w:val="14"/>
                <w:color w:val="auto"/>
              </w:rPr>
            </w:pPr>
          </w:p>
        </w:tc>
        <w:tc>
          <w:tcPr>
            <w:tcW w:w="15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1"/>
              </w:rPr>
              <w:t>Shares</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Date Fair Value</w:t>
            </w: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as of December 29,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1,285,508</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911,491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Exercised/released</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(454,850)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(35,021)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27,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1,707,128</w:t>
            </w: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$1.0 million, $0.9 million and $0.9 million during the years ended December 27, 2012, December 29, 2011 and December 30,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effect on its financial position or results of operations.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Operating Commitments</w:t>
      </w:r>
      <w:r>
        <w:rPr>
          <w:rFonts w:ascii="Arial" w:cs="Arial" w:eastAsia="Arial" w:hAnsi="Arial"/>
          <w:sz w:val="18"/>
          <w:szCs w:val="18"/>
          <w:color w:val="auto"/>
        </w:rPr>
        <w:t>—The Company leases office facilities for its headquarters in Centennial, Colorado and also in various cities for its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personnel as sales offices. The Company has no capital lease obligations. Total lease expense for the years ended December 27, 2012, December 29, 2011 and December 30, 2010, was $2.3 million, $2.3 million and $2.2 million,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as of December 27, 2012 are as follows (in millions):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20" w:type="dxa"/>
            <w:vAlign w:val="bottom"/>
            <w:gridSpan w:val="4"/>
          </w:tcPr>
          <w:p>
            <w:pPr>
              <w:ind w:left="314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Year</w:t>
            </w:r>
          </w:p>
        </w:tc>
        <w:tc>
          <w:tcPr>
            <w:tcW w:w="366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2014</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2016</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$47.3 million over the remaining terms of the network affiliate agreements. As of December 27, 2012 and December 29, 2011, the Company had no liabilities recorded for these obligations as such guarantees are less than the expected share of revenue paid to the affiliate.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—Due to the IRS examination discussed in Note 6—</w:t>
      </w:r>
      <w:r>
        <w:rPr>
          <w:rFonts w:ascii="Arial" w:cs="Arial" w:eastAsia="Arial" w:hAnsi="Arial"/>
          <w:sz w:val="16"/>
          <w:szCs w:val="16"/>
          <w:i w:val="1"/>
          <w:iCs w:val="1"/>
          <w:color w:val="auto"/>
        </w:rPr>
        <w:t>Income Taxes</w:t>
      </w:r>
      <w:r>
        <w:rPr>
          <w:rFonts w:ascii="Arial" w:cs="Arial" w:eastAsia="Arial" w:hAnsi="Arial"/>
          <w:sz w:val="16"/>
          <w:szCs w:val="16"/>
          <w:color w:val="auto"/>
        </w:rPr>
        <w:t>, it is reasonably possible that, should the IRS prevail, the Company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required to pay additional amounts to the founding members under the tax receivable agreement which would be offset by refunds from various state and federal taxing authorities. However, at this time the amount of any such payments to the founding members or refunds from the various taxing authorities cannot be reasonably estimated and as such no amounts are included in the consolidated financial statements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—The carrying amount of the revolving credit facility is considered a reasonable estimate of fair value due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floating-rate terms. The estimated fair values of the Company’s financial instruments where carrying values do not approximate fair value are as follows (in millions):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As of December 27, 2012</w:t>
            </w:r>
          </w:p>
        </w:tc>
        <w:tc>
          <w:tcPr>
            <w:tcW w:w="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w w:val="98"/>
              </w:rPr>
              <w:t>As of December 29, 2011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Carrying</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jc w:val="right"/>
              <w:ind w:right="47"/>
              <w:spacing w:after="0"/>
              <w:rPr>
                <w:sz w:val="20"/>
                <w:szCs w:val="20"/>
                <w:color w:val="auto"/>
              </w:rPr>
            </w:pPr>
            <w:r>
              <w:rPr>
                <w:rFonts w:ascii="Arial" w:cs="Arial" w:eastAsia="Arial" w:hAnsi="Arial"/>
                <w:sz w:val="14"/>
                <w:szCs w:val="14"/>
                <w:b w:val="1"/>
                <w:bCs w:val="1"/>
                <w:color w:val="auto"/>
              </w:rPr>
              <w:t>Value</w:t>
            </w:r>
          </w:p>
        </w:tc>
        <w:tc>
          <w:tcPr>
            <w:tcW w:w="7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c>
          <w:tcPr>
            <w:tcW w:w="8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Carrying Value</w:t>
            </w:r>
          </w:p>
        </w:tc>
        <w:tc>
          <w:tcPr>
            <w:tcW w:w="7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1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$ 265.0</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Senior Unsecured Notes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222.0</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198.4</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332" w:lineRule="auto"/>
        <w:tabs>
          <w:tab w:leader="none" w:pos="46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i w:val="1"/>
          <w:iCs w:val="1"/>
          <w:color w:val="auto"/>
        </w:rPr>
        <w:t xml:space="preserve"> Fair Value 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40" w:type="dxa"/>
            <w:vAlign w:val="bottom"/>
            <w:gridSpan w:val="9"/>
          </w:tcPr>
          <w:p>
            <w:pPr>
              <w:ind w:left="4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6"/>
              </w:rPr>
              <w:t>Quoted Prices in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3"/>
              </w:rPr>
              <w:t>Significant</w:t>
            </w:r>
          </w:p>
        </w:tc>
        <w:tc>
          <w:tcPr>
            <w:tcW w:w="0" w:type="dxa"/>
            <w:vAlign w:val="bottom"/>
          </w:tcPr>
          <w:p>
            <w:pPr>
              <w:spacing w:after="0"/>
              <w:rPr>
                <w:sz w:val="1"/>
                <w:szCs w:val="1"/>
                <w:color w:val="auto"/>
              </w:rPr>
            </w:pPr>
          </w:p>
        </w:tc>
      </w:tr>
      <w:tr>
        <w:trPr>
          <w:trHeight w:val="69"/>
        </w:trPr>
        <w:tc>
          <w:tcPr>
            <w:tcW w:w="4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Observable</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12"/>
                <w:szCs w:val="12"/>
                <w:color w:val="auto"/>
              </w:rPr>
            </w:pPr>
          </w:p>
        </w:tc>
        <w:tc>
          <w:tcPr>
            <w:tcW w:w="14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Active Markets for</w:t>
            </w: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December 27,</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Inputs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(Level 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44.0</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gridSpan w:val="8"/>
          </w:tcPr>
          <w:p>
            <w:pPr>
              <w:ind w:left="5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 of</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820" w:type="dxa"/>
            <w:vAlign w:val="bottom"/>
          </w:tcPr>
          <w:p>
            <w:pPr>
              <w:spacing w:after="0"/>
              <w:rPr>
                <w:sz w:val="12"/>
                <w:szCs w:val="12"/>
                <w:color w:val="auto"/>
              </w:rPr>
            </w:pP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Inputs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(Level 2)</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44.9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center"/>
              <w:ind w:left="497"/>
              <w:spacing w:after="0"/>
              <w:rPr>
                <w:sz w:val="20"/>
                <w:szCs w:val="20"/>
                <w:color w:val="auto"/>
              </w:rPr>
            </w:pPr>
            <w:r>
              <w:rPr>
                <w:rFonts w:ascii="Arial" w:cs="Arial" w:eastAsia="Arial" w:hAnsi="Arial"/>
                <w:sz w:val="18"/>
                <w:szCs w:val="18"/>
                <w:color w:val="auto"/>
                <w:w w:val="91"/>
              </w:rPr>
              <w:t>44.9</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center"/>
              <w:ind w:left="158"/>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marketable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8"/>
                <w:szCs w:val="18"/>
                <w:i w:val="1"/>
                <w:iCs w:val="1"/>
                <w:color w:val="auto"/>
              </w:rPr>
              <w:t>(2)</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91"/>
              </w:rPr>
              <w:t>14.2</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58"/>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Long-term marketable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4520" w:type="dxa"/>
            <w:vAlign w:val="bottom"/>
            <w:gridSpan w:val="2"/>
          </w:tcPr>
          <w:p>
            <w:pPr>
              <w:ind w:left="6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8"/>
                <w:szCs w:val="18"/>
                <w:i w:val="1"/>
                <w:iCs w:val="1"/>
                <w:color w:val="auto"/>
              </w:rPr>
              <w:t>(2)</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497"/>
              <w:spacing w:after="0"/>
              <w:rPr>
                <w:sz w:val="20"/>
                <w:szCs w:val="20"/>
                <w:color w:val="auto"/>
              </w:rPr>
            </w:pPr>
            <w:r>
              <w:rPr>
                <w:rFonts w:ascii="Arial" w:cs="Arial" w:eastAsia="Arial" w:hAnsi="Arial"/>
                <w:sz w:val="18"/>
                <w:szCs w:val="18"/>
                <w:color w:val="auto"/>
                <w:w w:val="91"/>
              </w:rPr>
              <w:t>18.0</w:t>
            </w:r>
          </w:p>
        </w:tc>
        <w:tc>
          <w:tcPr>
            <w:tcW w:w="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left="158"/>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91"/>
              </w:rPr>
              <w:t>77.1</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158"/>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ind w:left="460"/>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portion of interest rate swap</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 xml:space="preserve">agreements </w:t>
            </w:r>
            <w:r>
              <w:rPr>
                <w:rFonts w:ascii="Arial" w:cs="Arial" w:eastAsia="Arial" w:hAnsi="Arial"/>
                <w:sz w:val="18"/>
                <w:szCs w:val="18"/>
                <w:i w:val="1"/>
                <w:iCs w:val="1"/>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218"/>
              <w:spacing w:after="0"/>
              <w:rPr>
                <w:sz w:val="20"/>
                <w:szCs w:val="20"/>
                <w:color w:val="auto"/>
              </w:rPr>
            </w:pPr>
            <w:r>
              <w:rPr>
                <w:rFonts w:ascii="Arial" w:cs="Arial" w:eastAsia="Arial" w:hAnsi="Arial"/>
                <w:sz w:val="18"/>
                <w:szCs w:val="18"/>
                <w:color w:val="auto"/>
                <w:w w:val="91"/>
              </w:rPr>
              <w:t>24.0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20" w:type="dxa"/>
            <w:vAlign w:val="bottom"/>
            <w:gridSpan w:val="2"/>
          </w:tcPr>
          <w:p>
            <w:pPr>
              <w:ind w:left="44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7"/>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218"/>
              <w:spacing w:after="0"/>
              <w:rPr>
                <w:sz w:val="20"/>
                <w:szCs w:val="20"/>
                <w:color w:val="auto"/>
              </w:rPr>
            </w:pPr>
            <w:r>
              <w:rPr>
                <w:rFonts w:ascii="Arial" w:cs="Arial" w:eastAsia="Arial" w:hAnsi="Arial"/>
                <w:sz w:val="18"/>
                <w:szCs w:val="18"/>
                <w:color w:val="auto"/>
                <w:w w:val="91"/>
              </w:rPr>
              <w:t>46.8</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218"/>
              <w:spacing w:after="0"/>
              <w:rPr>
                <w:sz w:val="20"/>
                <w:szCs w:val="20"/>
                <w:color w:val="auto"/>
              </w:rPr>
            </w:pPr>
            <w:r>
              <w:rPr>
                <w:rFonts w:ascii="Arial" w:cs="Arial" w:eastAsia="Arial" w:hAnsi="Arial"/>
                <w:sz w:val="18"/>
                <w:szCs w:val="18"/>
                <w:color w:val="auto"/>
                <w:w w:val="91"/>
              </w:rPr>
              <w:t>70.</w:t>
            </w:r>
            <w:r>
              <w:rPr>
                <w:rFonts w:ascii="Arial" w:cs="Arial" w:eastAsia="Arial" w:hAnsi="Arial"/>
                <w:sz w:val="18"/>
                <w:szCs w:val="18"/>
                <w:u w:val="single" w:color="auto"/>
                <w:color w:val="auto"/>
                <w:w w:val="91"/>
              </w:rPr>
              <w:t>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4"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primarily commercial paper investments and are carried at estimated fair value. They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Level 1 inputs whereby a readily determinable market value exists for the specific asset.</w:t>
      </w:r>
    </w:p>
    <w:p>
      <w:pPr>
        <w:ind w:left="460" w:hanging="452"/>
        <w:spacing w:after="0" w:line="285" w:lineRule="auto"/>
        <w:tabs>
          <w:tab w:leader="none" w:pos="46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for these instruments at fair value. The Company’s government agency bonds and commercial paper are valued using third party broker quotes. The value of the Company’s government agency bonds is derived from quoted market information. The inputs in the valuation are generally classified as Level 1 given the active market for these securities; however if an active market does not exist, the inputs are recorded at a lower level in the fair value hierarchy. The value of commercial paper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Proceeds from the sales of available-for-sale securities were $28.2 million and $23.0 million during 2012 and 2011, respectively. Gross realized gains and losses on those sales during 2012 and 2011 were inconsequential. For the purpose of determining gross realized gains and losses, the cost of securities sold is based on average cost. For the years ended December 27, 2012 and December 29, 2011, there was an inconsequential amount of net realized losses recognized in interest income and an inconsequential amount of net unrealized holding gains (losses) included in other comprehensive income. As of December 27, 2012 and December 29, 2011 there were no gross unrealized losses related to individual securities that had been in a continuous loss position for 12 months or longer.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5" w:lineRule="auto"/>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Swap Agreements</w:t>
      </w:r>
      <w:r>
        <w:rPr>
          <w:rFonts w:ascii="Arial" w:cs="Arial" w:eastAsia="Arial" w:hAnsi="Arial"/>
          <w:sz w:val="18"/>
          <w:szCs w:val="18"/>
          <w:color w:val="auto"/>
        </w:rPr>
        <w:t>—The carrying amount and fair value of the interest rate swap agreements are equivalent since the Company accounts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at fair value. The interest rate swap agreements are valued using third party broker quotes. The value of the Company’s interest rate swap agreements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Refer to Note 14-</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December 27, 2012 and December 29, 2011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As of December 27, 2012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4"/>
          </w:tcPr>
          <w:p>
            <w:pPr>
              <w:jc w:val="center"/>
              <w:ind w:right="820"/>
              <w:spacing w:after="0" w:line="129" w:lineRule="exact"/>
              <w:rPr>
                <w:sz w:val="20"/>
                <w:szCs w:val="20"/>
                <w:color w:val="auto"/>
              </w:rPr>
            </w:pPr>
            <w:r>
              <w:rPr>
                <w:rFonts w:ascii="Arial" w:cs="Arial" w:eastAsia="Arial" w:hAnsi="Arial"/>
                <w:sz w:val="14"/>
                <w:szCs w:val="14"/>
                <w:b w:val="1"/>
                <w:bCs w:val="1"/>
                <w:color w:val="auto"/>
                <w:w w:val="83"/>
              </w:rPr>
              <w:t>Aggregate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Amortized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Cost Basis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3"/>
              </w:rPr>
              <w:t>(in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Maturities</w:t>
            </w:r>
          </w:p>
        </w:tc>
      </w:tr>
      <w:tr>
        <w:trPr>
          <w:trHeight w:val="161"/>
        </w:trPr>
        <w:tc>
          <w:tcPr>
            <w:tcW w:w="6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millions)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(in years)</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Short-term U.S. government agency bonds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880"/>
              <w:spacing w:after="0"/>
              <w:rPr>
                <w:sz w:val="20"/>
                <w:szCs w:val="20"/>
                <w:color w:val="auto"/>
              </w:rPr>
            </w:pPr>
            <w:r>
              <w:rPr>
                <w:rFonts w:ascii="Arial" w:cs="Arial" w:eastAsia="Arial" w:hAnsi="Arial"/>
                <w:sz w:val="18"/>
                <w:szCs w:val="18"/>
                <w:color w:val="auto"/>
              </w:rPr>
              <w:t>Financial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Industrial</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880"/>
              <w:spacing w:after="0"/>
              <w:rPr>
                <w:sz w:val="20"/>
                <w:szCs w:val="20"/>
                <w:color w:val="auto"/>
              </w:rPr>
            </w:pPr>
            <w:r>
              <w:rPr>
                <w:rFonts w:ascii="Arial" w:cs="Arial" w:eastAsia="Arial" w:hAnsi="Arial"/>
                <w:sz w:val="18"/>
                <w:szCs w:val="18"/>
                <w:color w:val="auto"/>
              </w:rPr>
              <w:t>Municipal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marketable securities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68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As of December 29, 2011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580" w:type="dxa"/>
            <w:vAlign w:val="bottom"/>
          </w:tcPr>
          <w:p>
            <w:pPr>
              <w:spacing w:after="0"/>
              <w:rPr>
                <w:sz w:val="11"/>
                <w:szCs w:val="11"/>
                <w:color w:val="auto"/>
              </w:rPr>
            </w:pPr>
          </w:p>
        </w:tc>
        <w:tc>
          <w:tcPr>
            <w:tcW w:w="1500" w:type="dxa"/>
            <w:vAlign w:val="bottom"/>
            <w:gridSpan w:val="5"/>
          </w:tcPr>
          <w:p>
            <w:pPr>
              <w:jc w:val="center"/>
              <w:ind w:right="800"/>
              <w:spacing w:after="0" w:line="129" w:lineRule="exact"/>
              <w:rPr>
                <w:sz w:val="20"/>
                <w:szCs w:val="20"/>
                <w:color w:val="auto"/>
              </w:rPr>
            </w:pPr>
            <w:r>
              <w:rPr>
                <w:rFonts w:ascii="Arial" w:cs="Arial" w:eastAsia="Arial" w:hAnsi="Arial"/>
                <w:sz w:val="14"/>
                <w:szCs w:val="14"/>
                <w:b w:val="1"/>
                <w:bCs w:val="1"/>
                <w:color w:val="auto"/>
                <w:w w:val="83"/>
              </w:rPr>
              <w:t>Aggregate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Cost Basis</w:t>
            </w:r>
          </w:p>
        </w:tc>
        <w:tc>
          <w:tcPr>
            <w:tcW w:w="580" w:type="dxa"/>
            <w:vAlign w:val="bottom"/>
          </w:tcPr>
          <w:p>
            <w:pPr>
              <w:spacing w:after="0"/>
              <w:rPr>
                <w:sz w:val="12"/>
                <w:szCs w:val="12"/>
                <w:color w:val="auto"/>
              </w:rPr>
            </w:pPr>
          </w:p>
        </w:tc>
        <w:tc>
          <w:tcPr>
            <w:tcW w:w="15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Fair Value</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Maturities</w:t>
            </w:r>
          </w:p>
        </w:tc>
      </w:tr>
      <w:tr>
        <w:trPr>
          <w:trHeight w:val="161"/>
        </w:trPr>
        <w:tc>
          <w:tcPr>
            <w:tcW w:w="68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15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9"/>
              </w:rPr>
              <w:t>(in millions)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(in years)</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Short-term U.S. government agency bonds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80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ind w:left="880"/>
              <w:spacing w:after="0"/>
              <w:rPr>
                <w:sz w:val="20"/>
                <w:szCs w:val="20"/>
                <w:color w:val="auto"/>
              </w:rPr>
            </w:pPr>
            <w:r>
              <w:rPr>
                <w:rFonts w:ascii="Arial" w:cs="Arial" w:eastAsia="Arial" w:hAnsi="Arial"/>
                <w:sz w:val="18"/>
                <w:szCs w:val="18"/>
                <w:color w:val="auto"/>
              </w:rPr>
              <w:t>Financial</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6"/>
        </w:trPr>
        <w:tc>
          <w:tcPr>
            <w:tcW w:w="68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0" w:type="dxa"/>
            <w:vAlign w:val="bottom"/>
          </w:tcPr>
          <w:p>
            <w:pPr>
              <w:ind w:left="440"/>
              <w:spacing w:after="0"/>
              <w:rPr>
                <w:sz w:val="20"/>
                <w:szCs w:val="20"/>
                <w:color w:val="auto"/>
              </w:rPr>
            </w:pPr>
            <w:r>
              <w:rPr>
                <w:rFonts w:ascii="Arial" w:cs="Arial" w:eastAsia="Arial" w:hAnsi="Arial"/>
                <w:sz w:val="18"/>
                <w:szCs w:val="18"/>
                <w:color w:val="auto"/>
              </w:rPr>
              <w:t>Long-term U.S. government agency bonds</w:t>
            </w:r>
          </w:p>
        </w:tc>
        <w:tc>
          <w:tcPr>
            <w:tcW w:w="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18.0</w:t>
            </w:r>
          </w:p>
        </w:tc>
        <w:tc>
          <w:tcPr>
            <w:tcW w:w="8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16"/>
        </w:trPr>
        <w:tc>
          <w:tcPr>
            <w:tcW w:w="68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long-term marketable securities</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ind w:left="1740"/>
              <w:spacing w:after="0"/>
              <w:rPr>
                <w:sz w:val="20"/>
                <w:szCs w:val="20"/>
                <w:color w:val="auto"/>
              </w:rPr>
            </w:pPr>
            <w:r>
              <w:rPr>
                <w:rFonts w:ascii="Arial" w:cs="Arial" w:eastAsia="Arial" w:hAnsi="Arial"/>
                <w:sz w:val="18"/>
                <w:szCs w:val="18"/>
                <w:color w:val="auto"/>
              </w:rPr>
              <w:t>Total marketable securities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9"/>
                <w:szCs w:val="19"/>
                <w:color w:val="auto"/>
              </w:rPr>
            </w:pPr>
          </w:p>
        </w:tc>
        <w:tc>
          <w:tcPr>
            <w:tcW w:w="80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280" w:firstLine="8"/>
        <w:spacing w:after="0" w:line="347" w:lineRule="auto"/>
        <w:tabs>
          <w:tab w:leader="none" w:pos="26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 Risk Management Objectives and Strategies</w:t>
      </w:r>
    </w:p>
    <w:p>
      <w:pPr>
        <w:spacing w:after="0" w:line="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NCM LLC is exposed to various financial and market risks including changes in interest rates that exist as part of its ongoing operations. NCM LLC utilizes certain derivative instruments to enhance its ability to manage these risks.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Derivative Instruments and Hedging Activities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ASC 815—</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the effective portion of changes in the fair value of a derivative that is designated as a cash flow hedge is recorded in AOCI and reclassified into earnings in the same period or periods during which the hedged transaction affects earnings.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formally documents all relationships between hedging instruments and the underlying hedged items, as well as its risk management objective and strategy for undertaking various hedge transactions. This process includes linking all derivatives that have been designated as cash flow hedges to forecasted transactions.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formally assesses, both at inception of the hedge and on an ongoing basis, whether the hedge is highly effective in offsetting changes in cash flows of the underlying hedged items. The Company also performs an assessment of the probability of the forecasted transactions on a periodic basis. If it is determined that a derivative ceases to be highly effective during the term of the hedge or if the forecasted transaction is no longer probable, the Company discontinues hedge accounting prospectively for such derivative.</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27, 2012 and December 29, 2011, the estimated fair value and line item caption of derivative instruments recorded were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Balance Sheet</w:t>
            </w: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1"/>
              </w:rPr>
              <w:t>Fair Value of Derivative Liability as of</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82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Location</w:t>
            </w:r>
          </w:p>
        </w:tc>
        <w:tc>
          <w:tcPr>
            <w:tcW w:w="48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27, 2012</w:t>
            </w:r>
          </w:p>
        </w:tc>
        <w:tc>
          <w:tcPr>
            <w:tcW w:w="96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29, 2011</w:t>
            </w:r>
          </w:p>
        </w:tc>
        <w:tc>
          <w:tcPr>
            <w:tcW w:w="100" w:type="dxa"/>
            <w:vAlign w:val="bottom"/>
          </w:tcPr>
          <w:p>
            <w:pPr>
              <w:spacing w:after="0"/>
              <w:rPr>
                <w:sz w:val="12"/>
                <w:szCs w:val="12"/>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 instruments in cash flow hedges:</w:t>
            </w:r>
          </w:p>
        </w:tc>
        <w:tc>
          <w:tcPr>
            <w:tcW w:w="1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Current Liabilities</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1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1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Current Liabilities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derivatives</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During 2012, NCM LLC entered into two amendments to the senior secured credit facility (see Note 9</w:t>
      </w:r>
      <w:r>
        <w:rPr>
          <w:rFonts w:ascii="Arial" w:cs="Arial" w:eastAsia="Arial" w:hAnsi="Arial"/>
          <w:sz w:val="18"/>
          <w:szCs w:val="18"/>
          <w:i w:val="1"/>
          <w:iCs w:val="1"/>
          <w:color w:val="auto"/>
        </w:rPr>
        <w:t>—Borrowings</w:t>
      </w:r>
      <w:r>
        <w:rPr>
          <w:rFonts w:ascii="Arial" w:cs="Arial" w:eastAsia="Arial" w:hAnsi="Arial"/>
          <w:sz w:val="18"/>
          <w:szCs w:val="18"/>
          <w:color w:val="auto"/>
        </w:rPr>
        <w:t>) resulting in amendments to our derivative instruments.</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April 27, 2012, the Company amended its existing interest rate swap agreements terminating a notional amount of $325.0 million (the aggregate amount of the term loan prepayment) such that 100% of the Company’s interest rate exposure relating to the remaining $225.0 million term loan debt balance remained hedged at 6.484%. Since the forecasted transactions, or quarterly interest payments, on the $325.0 million term loan prepayment are no longer probable of occurring, the Company discontinued cash flow hedge accounting on those swaps and reclassified the corresponding outstanding balance in AOCI related to those interest rate swaps into earnings. As a result, the Company recorded a loss of approximately $26.7 million related to the partial swap terminations and paid approximately $40.2 million in breakage fees.</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swaps were terminated ratably among the four counterparties, however the Company’s cash flow hedge accounting designation for each swap was pegged to varying balances of the underlying term loan. Cash flow hedge accounting was discontinued because the underlying debt instrument is no longer outstanding and the interest payments are no longer probable.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also discontinued cash flow hedge accounting for swaps in which the Company terminated its swap with the counterparty, however, the corresponding term loan associated with those swaps remained outstanding. In accordance with ASC 815</w:t>
      </w:r>
      <w:r>
        <w:rPr>
          <w:rFonts w:ascii="Arial" w:cs="Arial" w:eastAsia="Arial" w:hAnsi="Arial"/>
          <w:sz w:val="18"/>
          <w:szCs w:val="18"/>
          <w:i w:val="1"/>
          <w:iCs w:val="1"/>
          <w:color w:val="auto"/>
        </w:rPr>
        <w:t>,</w:t>
      </w:r>
      <w:r>
        <w:rPr>
          <w:rFonts w:ascii="Arial" w:cs="Arial" w:eastAsia="Arial" w:hAnsi="Arial"/>
          <w:sz w:val="18"/>
          <w:szCs w:val="18"/>
          <w:color w:val="auto"/>
        </w:rPr>
        <w:t xml:space="preserve"> the net derivative loss related to the discontinued cash flow hedges shall continue to be reported in AOCI because it is probable that the forecasted transaction will occur by the end of the originally specified time period.</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connection with the amendment to the term loans on November 26, 2012, the entire notional amount of NCM LLC’s interest rate swaps with four counterparties, equal to $225.0 million, was terminated such that NCM LLC’s interest rate exposure related to the Amended Term Loan will be unhedged. NCM LLC paid approximately $23.2 million in breakage fees in connection with the swap. The net derivative loss related to the discontinued cash flow hedges shall continue to be reported in AOCI because it is probable that the forecasted transaction will occur by the end of the originally specified time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27, 2012, a total of $21.9 million of cash flow hedges remaining in AOCI will be amortized in the Consolidated Statements of Income over the original swap term or February 13, 2015. The Company estimates approximately $10.3 million will be amortized to change in derivative fair value in the Consolidated Statements of Income in the next 12 months.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periods presented, the Company also recorded changes in the fair value and amortization of AOCI related to an interest rate swap in which the Company discontinued cash flow hedge accounting in 2008 due to the bankruptcy of its counterparty. In connection with the swap terminations in April 2012, the entire balance of this swap was terminated and the remaining balance in AOCI of $3.5 million was reclassified into earnings during the second quarter of 2012.</w:t>
      </w:r>
    </w:p>
    <w:p>
      <w:pPr>
        <w:spacing w:after="0" w:line="10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consolidated financial statements for the years ended December 27, 2012, December 29, 2011 and December 30, 2010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7"/>
          </w:tcPr>
          <w:p>
            <w:pPr>
              <w:jc w:val="center"/>
              <w:ind w:left="287"/>
              <w:spacing w:after="0"/>
              <w:rPr>
                <w:sz w:val="20"/>
                <w:szCs w:val="20"/>
                <w:color w:val="auto"/>
              </w:rPr>
            </w:pPr>
            <w:r>
              <w:rPr>
                <w:rFonts w:ascii="Arial" w:cs="Arial" w:eastAsia="Arial" w:hAnsi="Arial"/>
                <w:sz w:val="14"/>
                <w:szCs w:val="14"/>
                <w:b w:val="1"/>
                <w:bCs w:val="1"/>
                <w:color w:val="auto"/>
                <w:w w:val="87"/>
              </w:rPr>
              <w:t>Unrealized Gain (Loss) Recognized in</w:t>
            </w: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7"/>
          </w:tcPr>
          <w:p>
            <w:pPr>
              <w:jc w:val="center"/>
              <w:ind w:left="287"/>
              <w:spacing w:after="0" w:line="149" w:lineRule="exact"/>
              <w:rPr>
                <w:sz w:val="20"/>
                <w:szCs w:val="20"/>
                <w:color w:val="auto"/>
              </w:rPr>
            </w:pPr>
            <w:r>
              <w:rPr>
                <w:rFonts w:ascii="Arial" w:cs="Arial" w:eastAsia="Arial" w:hAnsi="Arial"/>
                <w:sz w:val="14"/>
                <w:szCs w:val="14"/>
                <w:b w:val="1"/>
                <w:bCs w:val="1"/>
                <w:color w:val="auto"/>
                <w:w w:val="89"/>
              </w:rPr>
              <w:t>NCM, Inc.’s Other Comprehensive</w:t>
            </w:r>
          </w:p>
        </w:tc>
        <w:tc>
          <w:tcPr>
            <w:tcW w:w="5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7"/>
          </w:tcPr>
          <w:p>
            <w:pPr>
              <w:jc w:val="center"/>
              <w:ind w:left="366"/>
              <w:spacing w:after="0" w:line="149" w:lineRule="exact"/>
              <w:rPr>
                <w:sz w:val="20"/>
                <w:szCs w:val="20"/>
                <w:color w:val="auto"/>
              </w:rPr>
            </w:pPr>
            <w:r>
              <w:rPr>
                <w:rFonts w:ascii="Arial" w:cs="Arial" w:eastAsia="Arial" w:hAnsi="Arial"/>
                <w:sz w:val="14"/>
                <w:szCs w:val="14"/>
                <w:b w:val="1"/>
                <w:bCs w:val="1"/>
                <w:color w:val="auto"/>
                <w:w w:val="85"/>
              </w:rPr>
              <w:t>Realized Loss Recognized in Interest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9"/>
              </w:rPr>
              <w:t>Income (Pre-tax)</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6"/>
              </w:rPr>
              <w:t>on Borrowings (Pre-tax)</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Years Ended</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center"/>
              <w:ind w:right="620"/>
              <w:spacing w:after="0" w:line="142" w:lineRule="exact"/>
              <w:rPr>
                <w:sz w:val="20"/>
                <w:szCs w:val="20"/>
                <w:color w:val="auto"/>
              </w:rPr>
            </w:pPr>
            <w:r>
              <w:rPr>
                <w:rFonts w:ascii="Arial" w:cs="Arial" w:eastAsia="Arial" w:hAnsi="Arial"/>
                <w:sz w:val="14"/>
                <w:szCs w:val="14"/>
                <w:b w:val="1"/>
                <w:bCs w:val="1"/>
                <w:color w:val="auto"/>
                <w:w w:val="87"/>
              </w:rPr>
              <w:t>Years Ended</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72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38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3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440" w:type="dxa"/>
            <w:vAlign w:val="bottom"/>
          </w:tcPr>
          <w:p>
            <w:pPr>
              <w:spacing w:after="0"/>
              <w:rPr>
                <w:sz w:val="11"/>
                <w:szCs w:val="11"/>
                <w:color w:val="auto"/>
              </w:rPr>
            </w:pPr>
          </w:p>
        </w:tc>
        <w:tc>
          <w:tcPr>
            <w:tcW w:w="140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5"/>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r>
      <w:tr>
        <w:trPr>
          <w:trHeight w:val="161"/>
        </w:trPr>
        <w:tc>
          <w:tcPr>
            <w:tcW w:w="2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right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consolidated financial statements for the years ended December 27, 2012, December 29, 2011 and December 30, 2010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7"/>
              </w:rPr>
              <w:t>Gain (Loss) Recognized in Non-Operating</w:t>
            </w: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Expenses (Pre-tax)</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 not Designated as</w:t>
            </w: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Years Ended</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7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rPr>
              <w:t>December 27,</w:t>
            </w:r>
          </w:p>
        </w:tc>
        <w:tc>
          <w:tcPr>
            <w:tcW w:w="320" w:type="dxa"/>
            <w:vAlign w:val="bottom"/>
          </w:tcPr>
          <w:p>
            <w:pPr>
              <w:spacing w:after="0"/>
              <w:rPr>
                <w:sz w:val="10"/>
                <w:szCs w:val="10"/>
                <w:color w:val="auto"/>
              </w:rPr>
            </w:pPr>
          </w:p>
        </w:tc>
        <w:tc>
          <w:tcPr>
            <w:tcW w:w="1320" w:type="dxa"/>
            <w:vAlign w:val="bottom"/>
            <w:gridSpan w:val="3"/>
          </w:tcPr>
          <w:p>
            <w:pPr>
              <w:jc w:val="center"/>
              <w:ind w:right="540"/>
              <w:spacing w:after="0" w:line="116" w:lineRule="exact"/>
              <w:rPr>
                <w:sz w:val="20"/>
                <w:szCs w:val="20"/>
                <w:color w:val="auto"/>
              </w:rPr>
            </w:pPr>
            <w:r>
              <w:rPr>
                <w:rFonts w:ascii="Arial" w:cs="Arial" w:eastAsia="Arial" w:hAnsi="Arial"/>
                <w:sz w:val="12"/>
                <w:szCs w:val="12"/>
                <w:b w:val="1"/>
                <w:bCs w:val="1"/>
                <w:color w:val="auto"/>
                <w:w w:val="99"/>
              </w:rPr>
              <w:t>December 29,</w:t>
            </w:r>
          </w:p>
        </w:tc>
        <w:tc>
          <w:tcPr>
            <w:tcW w:w="80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9"/>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Instruments</w:t>
            </w:r>
          </w:p>
        </w:tc>
        <w:tc>
          <w:tcPr>
            <w:tcW w:w="2240" w:type="dxa"/>
            <w:vAlign w:val="bottom"/>
          </w:tcPr>
          <w:p>
            <w:pPr>
              <w:spacing w:after="0"/>
              <w:rPr>
                <w:sz w:val="14"/>
                <w:szCs w:val="14"/>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Income Statement Location</w:t>
            </w: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Realized loss on derivative instruments</w:t>
            </w:r>
          </w:p>
        </w:tc>
        <w:tc>
          <w:tcPr>
            <w:tcW w:w="17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vMerge w:val="continue"/>
            <w:shd w:val="clear" w:color="auto" w:fill="CCEEFF"/>
          </w:tcPr>
          <w:p>
            <w:pPr>
              <w:spacing w:after="0"/>
              <w:rPr>
                <w:sz w:val="17"/>
                <w:szCs w:val="17"/>
                <w:color w:val="auto"/>
              </w:rPr>
            </w:pPr>
          </w:p>
        </w:tc>
        <w:tc>
          <w:tcPr>
            <w:tcW w:w="17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Interest on borrowings</w:t>
            </w:r>
          </w:p>
        </w:tc>
        <w:tc>
          <w:tcPr>
            <w:tcW w:w="4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(5.1)</w:t>
            </w:r>
          </w:p>
        </w:tc>
        <w:tc>
          <w:tcPr>
            <w:tcW w:w="3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8"/>
        </w:trPr>
        <w:tc>
          <w:tcPr>
            <w:tcW w:w="4780" w:type="dxa"/>
            <w:vAlign w:val="bottom"/>
            <w:gridSpan w:val="2"/>
          </w:tcPr>
          <w:p>
            <w:pPr>
              <w:spacing w:after="0"/>
              <w:rPr>
                <w:sz w:val="20"/>
                <w:szCs w:val="20"/>
                <w:color w:val="auto"/>
              </w:rPr>
            </w:pPr>
            <w:r>
              <w:rPr>
                <w:rFonts w:ascii="Arial" w:cs="Arial" w:eastAsia="Arial" w:hAnsi="Arial"/>
                <w:sz w:val="18"/>
                <w:szCs w:val="18"/>
                <w:color w:val="auto"/>
              </w:rPr>
              <w:t>Gain (loss) from change in fair value on cash flow hedges</w:t>
            </w:r>
          </w:p>
        </w:tc>
        <w:tc>
          <w:tcPr>
            <w:tcW w:w="21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Change in derivative fair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value</w:t>
            </w: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AOCI on discontinued cash flow hedges</w:t>
            </w:r>
          </w:p>
        </w:tc>
        <w:tc>
          <w:tcPr>
            <w:tcW w:w="21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Change in derivative fair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value</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4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60" w:type="dxa"/>
            <w:vAlign w:val="bottom"/>
            <w:gridSpan w:val="2"/>
            <w:vMerge w:val="restart"/>
          </w:tcPr>
          <w:p>
            <w:pPr>
              <w:ind w:left="300"/>
              <w:spacing w:after="0"/>
              <w:rPr>
                <w:sz w:val="20"/>
                <w:szCs w:val="20"/>
                <w:color w:val="auto"/>
              </w:rPr>
            </w:pPr>
            <w:r>
              <w:rPr>
                <w:rFonts w:ascii="Arial" w:cs="Arial" w:eastAsia="Arial" w:hAnsi="Arial"/>
                <w:sz w:val="18"/>
                <w:szCs w:val="18"/>
                <w:color w:val="auto"/>
              </w:rPr>
              <w:t>F-31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Advertising revenue accounts for 91.2%, 88.7% and 88.7%, of consolidated revenue for the years ended December 27, 2012, December 29, 2011 and December 30, 2010, respectively. The following table presents revenues, less directly identifiable expenses to arrive at income before income taxes for the advertising reportable segment, the combined Fathom Events operating segments, and network, administrative and unallocated costs. Refer to Note 1-</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w w:val="99"/>
              </w:rPr>
              <w:t>Year Ended December 27, 2012 (in millions)</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Fathom</w:t>
            </w:r>
          </w:p>
        </w:tc>
        <w:tc>
          <w:tcPr>
            <w:tcW w:w="4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Events and</w:t>
            </w:r>
          </w:p>
        </w:tc>
        <w:tc>
          <w:tcPr>
            <w:tcW w:w="4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and Unallocated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Advertising</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Other</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Costs</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center"/>
              <w:ind w:left="157"/>
              <w:spacing w:after="0"/>
              <w:rPr>
                <w:sz w:val="20"/>
                <w:szCs w:val="20"/>
                <w:color w:val="auto"/>
              </w:rPr>
            </w:pPr>
            <w:r>
              <w:rPr>
                <w:rFonts w:ascii="Arial" w:cs="Arial" w:eastAsia="Arial" w:hAnsi="Arial"/>
                <w:sz w:val="18"/>
                <w:szCs w:val="18"/>
                <w:color w:val="auto"/>
                <w:w w:val="85"/>
              </w:rPr>
              <w:t>39.3</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29.0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and other costs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(170.5)</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w w:val="99"/>
              </w:rPr>
              <w:t>Year Ended December 29, 2011 (in millions)</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Fathom</w:t>
            </w:r>
          </w:p>
        </w:tc>
        <w:tc>
          <w:tcPr>
            <w:tcW w:w="4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Events and</w:t>
            </w:r>
          </w:p>
        </w:tc>
        <w:tc>
          <w:tcPr>
            <w:tcW w:w="4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and Unallocated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Advertising</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Other</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Costs</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center"/>
              <w:ind w:left="157"/>
              <w:spacing w:after="0"/>
              <w:rPr>
                <w:sz w:val="20"/>
                <w:szCs w:val="20"/>
                <w:color w:val="auto"/>
              </w:rPr>
            </w:pPr>
            <w:r>
              <w:rPr>
                <w:rFonts w:ascii="Arial" w:cs="Arial" w:eastAsia="Arial" w:hAnsi="Arial"/>
                <w:sz w:val="18"/>
                <w:szCs w:val="18"/>
                <w:color w:val="auto"/>
                <w:w w:val="85"/>
              </w:rPr>
              <w:t>49.2</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and other costs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(140.8)</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w w:val="99"/>
              </w:rPr>
              <w:t>Year Ended December 30, 2010 (in millions)</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Fathom</w:t>
            </w:r>
          </w:p>
        </w:tc>
        <w:tc>
          <w:tcPr>
            <w:tcW w:w="4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Events and</w:t>
            </w:r>
          </w:p>
        </w:tc>
        <w:tc>
          <w:tcPr>
            <w:tcW w:w="4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and Unallocated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Advertising</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Other</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Costs</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center"/>
              <w:ind w:left="157"/>
              <w:spacing w:after="0"/>
              <w:rPr>
                <w:sz w:val="20"/>
                <w:szCs w:val="20"/>
                <w:color w:val="auto"/>
              </w:rPr>
            </w:pPr>
            <w:r>
              <w:rPr>
                <w:rFonts w:ascii="Arial" w:cs="Arial" w:eastAsia="Arial" w:hAnsi="Arial"/>
                <w:sz w:val="18"/>
                <w:szCs w:val="18"/>
                <w:color w:val="auto"/>
                <w:w w:val="85"/>
              </w:rPr>
              <w:t>48.0</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and other costs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(135.6)</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F-32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revenues by category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89"/>
              </w:rPr>
              <w:t>Years Ended</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17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4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w:t>
            </w:r>
            <w:r>
              <w:rPr>
                <w:rFonts w:ascii="Arial" w:cs="Arial" w:eastAsia="Arial" w:hAnsi="Arial"/>
                <w:sz w:val="18"/>
                <w:szCs w:val="18"/>
                <w:u w:val="single" w:color="auto"/>
                <w:color w:val="auto"/>
              </w:rPr>
              <w:t>8</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435.</w:t>
            </w:r>
            <w:r>
              <w:rPr>
                <w:rFonts w:ascii="Arial" w:cs="Arial" w:eastAsia="Arial" w:hAnsi="Arial"/>
                <w:sz w:val="18"/>
                <w:szCs w:val="18"/>
                <w:u w:val="single" w:color="auto"/>
                <w:color w:val="auto"/>
              </w:rPr>
              <w:t>4</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427.</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first quarter of 2012, the Company began to wind down the Fathom Business Events division, to place more focus on the Fathom Consumer Events division.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VALUATION AND QUALIFYING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valuation allowance for doubtful accounts and deferred tax assets for the years ended December 27, 2012, December 29,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2010 were as follows (in millions):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1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bad debt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00" w:type="dxa"/>
            <w:vAlign w:val="bottom"/>
          </w:tcPr>
          <w:p>
            <w:pPr>
              <w:ind w:left="880"/>
              <w:spacing w:after="0"/>
              <w:rPr>
                <w:sz w:val="20"/>
                <w:szCs w:val="20"/>
                <w:color w:val="auto"/>
              </w:rPr>
            </w:pPr>
            <w:r>
              <w:rPr>
                <w:rFonts w:ascii="Arial" w:cs="Arial" w:eastAsia="Arial" w:hAnsi="Arial"/>
                <w:sz w:val="18"/>
                <w:szCs w:val="18"/>
                <w:color w:val="auto"/>
              </w:rPr>
              <w:t>Write-offs, net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VALUATION ALLOWANCE ON DEFERRED TAX</w:t>
            </w: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ASSETS: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00" w:type="dxa"/>
            <w:vAlign w:val="bottom"/>
          </w:tcPr>
          <w:p>
            <w:pPr>
              <w:ind w:left="880"/>
              <w:spacing w:after="0"/>
              <w:rPr>
                <w:sz w:val="20"/>
                <w:szCs w:val="20"/>
                <w:color w:val="auto"/>
              </w:rPr>
            </w:pPr>
            <w:r>
              <w:rPr>
                <w:rFonts w:ascii="Arial" w:cs="Arial" w:eastAsia="Arial" w:hAnsi="Arial"/>
                <w:sz w:val="18"/>
                <w:szCs w:val="18"/>
                <w:color w:val="auto"/>
              </w:rPr>
              <w:t>Valuation allowance recorded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Adjustment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F-33</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represents selected information from the Company’s unaudited quarterly Statements of Income for the years ended December 27,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2011 (in millions, except per share data):</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4"/>
                <w:szCs w:val="1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2"/>
              </w:rPr>
              <w:t>Second</w:t>
            </w:r>
          </w:p>
        </w:tc>
        <w:tc>
          <w:tcPr>
            <w:tcW w:w="11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520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2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Quarter</w:t>
            </w:r>
          </w:p>
        </w:tc>
        <w:tc>
          <w:tcPr>
            <w:tcW w:w="11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4"/>
              </w:rPr>
              <w:t>Quarter</w:t>
            </w:r>
          </w:p>
        </w:tc>
        <w:tc>
          <w:tcPr>
            <w:tcW w:w="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Quarter</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$ 79.1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$110.1</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$143.7</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gridSpan w:val="4"/>
          </w:tcPr>
          <w:p>
            <w:pPr>
              <w:jc w:val="right"/>
              <w:ind w:right="160"/>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(2)(3)</w:t>
            </w:r>
          </w:p>
        </w:tc>
        <w:tc>
          <w:tcPr>
            <w:tcW w:w="2040" w:type="dxa"/>
            <w:vAlign w:val="bottom"/>
            <w:gridSpan w:val="4"/>
          </w:tcPr>
          <w:p>
            <w:pPr>
              <w:jc w:val="right"/>
              <w:ind w:right="16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NCM, Inc. </w:t>
            </w:r>
            <w:r>
              <w:rPr>
                <w:rFonts w:ascii="Arial" w:cs="Arial" w:eastAsia="Arial" w:hAnsi="Arial"/>
                <w:sz w:val="18"/>
                <w:szCs w:val="18"/>
                <w:i w:val="1"/>
                <w:iCs w:val="1"/>
                <w:color w:val="auto"/>
              </w:rPr>
              <w:t>(2)(3)</w:t>
            </w:r>
          </w:p>
        </w:tc>
        <w:tc>
          <w:tcPr>
            <w:tcW w:w="2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 xml:space="preserve">Earnings (loss) per NCM, Inc. share, basic </w:t>
            </w:r>
            <w:r>
              <w:rPr>
                <w:rFonts w:ascii="Arial" w:cs="Arial" w:eastAsia="Arial" w:hAnsi="Arial"/>
                <w:sz w:val="18"/>
                <w:szCs w:val="18"/>
                <w:i w:val="1"/>
                <w:iCs w:val="1"/>
                <w:color w:val="auto"/>
              </w:rPr>
              <w:t>(2)(3)</w:t>
            </w:r>
          </w:p>
        </w:tc>
        <w:tc>
          <w:tcPr>
            <w:tcW w:w="2040" w:type="dxa"/>
            <w:vAlign w:val="bottom"/>
            <w:gridSpan w:val="4"/>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(0.03)</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(loss) per NCM, Inc. share, diluted </w:t>
            </w:r>
            <w:r>
              <w:rPr>
                <w:rFonts w:ascii="Arial" w:cs="Arial" w:eastAsia="Arial" w:hAnsi="Arial"/>
                <w:sz w:val="18"/>
                <w:szCs w:val="18"/>
                <w:i w:val="1"/>
                <w:iCs w:val="1"/>
                <w:color w:val="auto"/>
              </w:rPr>
              <w:t>(1)(2)(3)</w:t>
            </w:r>
          </w:p>
        </w:tc>
        <w:tc>
          <w:tcPr>
            <w:tcW w:w="2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338"/>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2"/>
              </w:rPr>
              <w:t>Second</w:t>
            </w:r>
          </w:p>
        </w:tc>
        <w:tc>
          <w:tcPr>
            <w:tcW w:w="80" w:type="dxa"/>
            <w:vAlign w:val="bottom"/>
          </w:tcPr>
          <w:p>
            <w:pPr>
              <w:spacing w:after="0"/>
              <w:rPr>
                <w:sz w:val="24"/>
                <w:szCs w:val="24"/>
                <w:color w:val="auto"/>
              </w:rPr>
            </w:pPr>
          </w:p>
        </w:tc>
        <w:tc>
          <w:tcPr>
            <w:tcW w:w="10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24"/>
                <w:szCs w:val="2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200" w:type="dxa"/>
            <w:vAlign w:val="bottom"/>
          </w:tcPr>
          <w:p>
            <w:pPr>
              <w:spacing w:after="0"/>
              <w:rPr>
                <w:sz w:val="20"/>
                <w:szCs w:val="20"/>
                <w:color w:val="auto"/>
              </w:rPr>
            </w:pPr>
            <w:r>
              <w:rPr>
                <w:rFonts w:ascii="Arial" w:cs="Arial" w:eastAsia="Arial" w:hAnsi="Arial"/>
                <w:sz w:val="14"/>
                <w:szCs w:val="14"/>
                <w:b w:val="1"/>
                <w:bCs w:val="1"/>
                <w:color w:val="auto"/>
              </w:rPr>
              <w:t>2011</w:t>
            </w:r>
          </w:p>
        </w:tc>
        <w:tc>
          <w:tcPr>
            <w:tcW w:w="1420" w:type="dxa"/>
            <w:vAlign w:val="bottom"/>
          </w:tcPr>
          <w:p>
            <w:pPr>
              <w:spacing w:after="0"/>
              <w:rPr>
                <w:sz w:val="14"/>
                <w:szCs w:val="14"/>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Quarter</w:t>
            </w:r>
          </w:p>
        </w:tc>
        <w:tc>
          <w:tcPr>
            <w:tcW w:w="20" w:type="dxa"/>
            <w:vAlign w:val="bottom"/>
          </w:tcPr>
          <w:p>
            <w:pPr>
              <w:spacing w:after="0"/>
              <w:rPr>
                <w:sz w:val="14"/>
                <w:szCs w:val="1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Quarter</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56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$ 70.8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$114.0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$136.0</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5"/>
          </w:tcPr>
          <w:p>
            <w:pPr>
              <w:jc w:val="right"/>
              <w:ind w:right="240"/>
              <w:spacing w:after="0"/>
              <w:rPr>
                <w:sz w:val="20"/>
                <w:szCs w:val="20"/>
                <w:color w:val="auto"/>
              </w:rPr>
            </w:pPr>
            <w:r>
              <w:rPr>
                <w:rFonts w:ascii="Arial" w:cs="Arial" w:eastAsia="Arial" w:hAnsi="Arial"/>
                <w:sz w:val="18"/>
                <w:szCs w:val="18"/>
                <w:color w:val="auto"/>
              </w:rPr>
              <w:t>55.8</w:t>
            </w:r>
          </w:p>
        </w:tc>
        <w:tc>
          <w:tcPr>
            <w:tcW w:w="1260" w:type="dxa"/>
            <w:vAlign w:val="bottom"/>
            <w:gridSpan w:val="5"/>
          </w:tcPr>
          <w:p>
            <w:pPr>
              <w:jc w:val="right"/>
              <w:ind w:right="500"/>
              <w:spacing w:after="0"/>
              <w:rPr>
                <w:sz w:val="20"/>
                <w:szCs w:val="20"/>
                <w:color w:val="auto"/>
              </w:rPr>
            </w:pPr>
            <w:r>
              <w:rPr>
                <w:rFonts w:ascii="Arial" w:cs="Arial" w:eastAsia="Arial" w:hAnsi="Arial"/>
                <w:sz w:val="18"/>
                <w:szCs w:val="18"/>
                <w:color w:val="auto"/>
              </w:rPr>
              <w:t>63.8</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62.0</w:t>
            </w:r>
          </w:p>
        </w:tc>
        <w:tc>
          <w:tcPr>
            <w:tcW w:w="5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2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50.2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5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280" w:type="dxa"/>
            <w:vAlign w:val="bottom"/>
            <w:gridSpan w:val="5"/>
          </w:tcPr>
          <w:p>
            <w:pPr>
              <w:jc w:val="right"/>
              <w:ind w:right="240"/>
              <w:spacing w:after="0"/>
              <w:rPr>
                <w:sz w:val="20"/>
                <w:szCs w:val="20"/>
                <w:color w:val="auto"/>
              </w:rPr>
            </w:pPr>
            <w:r>
              <w:rPr>
                <w:rFonts w:ascii="Arial" w:cs="Arial" w:eastAsia="Arial" w:hAnsi="Arial"/>
                <w:sz w:val="18"/>
                <w:szCs w:val="18"/>
                <w:color w:val="auto"/>
              </w:rPr>
              <w:t>1.6</w:t>
            </w:r>
          </w:p>
        </w:tc>
        <w:tc>
          <w:tcPr>
            <w:tcW w:w="1260" w:type="dxa"/>
            <w:vAlign w:val="bottom"/>
            <w:gridSpan w:val="5"/>
          </w:tcPr>
          <w:p>
            <w:pPr>
              <w:jc w:val="right"/>
              <w:ind w:right="500"/>
              <w:spacing w:after="0"/>
              <w:rPr>
                <w:sz w:val="20"/>
                <w:szCs w:val="20"/>
                <w:color w:val="auto"/>
              </w:rPr>
            </w:pPr>
            <w:r>
              <w:rPr>
                <w:rFonts w:ascii="Arial" w:cs="Arial" w:eastAsia="Arial" w:hAnsi="Arial"/>
                <w:sz w:val="18"/>
                <w:szCs w:val="18"/>
                <w:color w:val="auto"/>
              </w:rPr>
              <w:t>28.3</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45.9</w:t>
            </w:r>
          </w:p>
        </w:tc>
        <w:tc>
          <w:tcPr>
            <w:tcW w:w="5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22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2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9.0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Earnings (loss) per NCM, Inc. share, basic</w:t>
            </w:r>
          </w:p>
        </w:tc>
        <w:tc>
          <w:tcPr>
            <w:tcW w:w="2280" w:type="dxa"/>
            <w:vAlign w:val="bottom"/>
            <w:gridSpan w:val="5"/>
          </w:tcPr>
          <w:p>
            <w:pPr>
              <w:jc w:val="right"/>
              <w:ind w:right="180"/>
              <w:spacing w:after="0"/>
              <w:rPr>
                <w:sz w:val="20"/>
                <w:szCs w:val="20"/>
                <w:color w:val="auto"/>
              </w:rPr>
            </w:pPr>
            <w:r>
              <w:rPr>
                <w:rFonts w:ascii="Arial" w:cs="Arial" w:eastAsia="Arial" w:hAnsi="Arial"/>
                <w:sz w:val="18"/>
                <w:szCs w:val="18"/>
                <w:color w:val="auto"/>
              </w:rPr>
              <w:t>(0.02)</w:t>
            </w:r>
          </w:p>
        </w:tc>
        <w:tc>
          <w:tcPr>
            <w:tcW w:w="1260" w:type="dxa"/>
            <w:vAlign w:val="bottom"/>
            <w:gridSpan w:val="5"/>
          </w:tcPr>
          <w:p>
            <w:pPr>
              <w:jc w:val="right"/>
              <w:ind w:right="500"/>
              <w:spacing w:after="0"/>
              <w:rPr>
                <w:sz w:val="20"/>
                <w:szCs w:val="20"/>
                <w:color w:val="auto"/>
              </w:rPr>
            </w:pPr>
            <w:r>
              <w:rPr>
                <w:rFonts w:ascii="Arial" w:cs="Arial" w:eastAsia="Arial" w:hAnsi="Arial"/>
                <w:sz w:val="18"/>
                <w:szCs w:val="18"/>
                <w:color w:val="auto"/>
              </w:rPr>
              <w:t>0.17</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0.31</w:t>
            </w:r>
          </w:p>
        </w:tc>
        <w:tc>
          <w:tcPr>
            <w:tcW w:w="5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(loss) per NCM, Inc. share, diluted </w:t>
            </w:r>
            <w:r>
              <w:rPr>
                <w:rFonts w:ascii="Arial" w:cs="Arial" w:eastAsia="Arial" w:hAnsi="Arial"/>
                <w:sz w:val="18"/>
                <w:szCs w:val="18"/>
                <w:i w:val="1"/>
                <w:iCs w:val="1"/>
                <w:color w:val="auto"/>
              </w:rPr>
              <w:t>(1)</w:t>
            </w:r>
          </w:p>
        </w:tc>
        <w:tc>
          <w:tcPr>
            <w:tcW w:w="22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2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0.16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86" w:lineRule="auto"/>
        <w:tabs>
          <w:tab w:leader="none" w:pos="460" w:val="left"/>
        </w:tabs>
        <w:numPr>
          <w:ilvl w:val="0"/>
          <w:numId w:val="49"/>
        </w:numPr>
        <w:rPr>
          <w:rFonts w:ascii="Arial" w:cs="Arial" w:eastAsia="Arial" w:hAnsi="Arial"/>
          <w:sz w:val="16"/>
          <w:szCs w:val="16"/>
          <w:i w:val="1"/>
          <w:iCs w:val="1"/>
          <w:color w:val="auto"/>
        </w:rPr>
      </w:pPr>
      <w:r>
        <w:rPr>
          <w:rFonts w:ascii="Arial" w:cs="Arial" w:eastAsia="Arial" w:hAnsi="Arial"/>
          <w:sz w:val="16"/>
          <w:szCs w:val="16"/>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ind w:left="460" w:right="340" w:hanging="452"/>
        <w:spacing w:after="0" w:line="250" w:lineRule="auto"/>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 xml:space="preserve">During the second quarter, the Company recorded a loss of approximately $26.7 million related to partial swap terminations. See Note 14-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w:t>
      </w:r>
    </w:p>
    <w:p>
      <w:pPr>
        <w:ind w:left="460" w:right="280" w:hanging="452"/>
        <w:spacing w:after="0" w:line="323" w:lineRule="auto"/>
        <w:tabs>
          <w:tab w:leader="none" w:pos="460" w:val="left"/>
        </w:tabs>
        <w:numPr>
          <w:ilvl w:val="0"/>
          <w:numId w:val="49"/>
        </w:numPr>
        <w:rPr>
          <w:rFonts w:ascii="Arial" w:cs="Arial" w:eastAsia="Arial" w:hAnsi="Arial"/>
          <w:sz w:val="16"/>
          <w:szCs w:val="16"/>
          <w:i w:val="1"/>
          <w:iCs w:val="1"/>
          <w:color w:val="auto"/>
        </w:rPr>
      </w:pPr>
      <w:r>
        <w:rPr>
          <w:rFonts w:ascii="Arial" w:cs="Arial" w:eastAsia="Arial" w:hAnsi="Arial"/>
          <w:sz w:val="16"/>
          <w:szCs w:val="16"/>
          <w:color w:val="auto"/>
        </w:rPr>
        <w:t xml:space="preserve">During the fourth quarter, the Company recorded adjustments to the measurement of the deferred tax assets and the long-term payable to the founding member liability’s expected net realized tax benefit. The net amount of these adjustments was $6.2 million. </w:t>
      </w:r>
      <w:r>
        <w:rPr>
          <w:rFonts w:ascii="Arial" w:cs="Arial" w:eastAsia="Arial" w:hAnsi="Arial"/>
          <w:sz w:val="16"/>
          <w:szCs w:val="16"/>
          <w:i w:val="1"/>
          <w:iCs w:val="1"/>
          <w:color w:val="auto"/>
        </w:rPr>
        <w:t>See Note 6-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February 21, 2013, the Company declared a cash dividend of $0.22 per share (approximately $12.0 million) on each share of the Company’s common stock (including outstanding restricted stock) to stockholders of record on March 7, 2013 to be paid on March 21, 2013.</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80"/>
          </w:cols>
          <w:pgMar w:left="240" w:top="459" w:right="37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RESTRICTED STOCK AGREEMENT</w:t>
      </w:r>
    </w:p>
    <w:p>
      <w:pPr>
        <w:spacing w:after="0" w:line="171" w:lineRule="exact"/>
        <w:rPr>
          <w:sz w:val="20"/>
          <w:szCs w:val="20"/>
          <w:color w:val="auto"/>
        </w:rPr>
      </w:pPr>
    </w:p>
    <w:p>
      <w:pPr>
        <w:jc w:val="both"/>
        <w:ind w:right="580" w:firstLine="456"/>
        <w:spacing w:after="0" w:line="310" w:lineRule="auto"/>
        <w:rPr>
          <w:sz w:val="20"/>
          <w:szCs w:val="20"/>
          <w:color w:val="auto"/>
        </w:rPr>
      </w:pPr>
      <w:r>
        <w:rPr>
          <w:rFonts w:ascii="Arial" w:cs="Arial" w:eastAsia="Arial" w:hAnsi="Arial"/>
          <w:sz w:val="16"/>
          <w:szCs w:val="16"/>
          <w:color w:val="auto"/>
        </w:rPr>
        <w:t xml:space="preserve">The Compensation Committee of the Board of Directors of National CineMedia,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granted shares of Restricted Stock to be issued under the National CineMedia, Inc. 2007 Equity Incentive Plan, as amended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to the Grantee named below. 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evidences the terms of the Company’s grant of Restricted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Except as provided otherwise in this Agreement or the Plan (including but not limited to Section 14.2 of the Plan which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accelerated vesting upon certain terminations in connection with a Change of Control), subject to Grantee’s continuous Service, the Restricted Stock shall vest and the restrictions set forth in Section 2 of this Agreement shall lapse as follows: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9"/>
              </w:rPr>
              <w:t>Service Vesting Date</w:t>
            </w:r>
          </w:p>
        </w:tc>
        <w:tc>
          <w:tcPr>
            <w:tcW w:w="4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6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424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Shares that Vest</w:t>
            </w:r>
          </w:p>
        </w:tc>
        <w:tc>
          <w:tcPr>
            <w:tcW w:w="1600" w:type="dxa"/>
            <w:vAlign w:val="bottom"/>
            <w:gridSpan w:val="2"/>
          </w:tcPr>
          <w:p>
            <w:pPr>
              <w:jc w:val="center"/>
              <w:ind w:left="572"/>
              <w:spacing w:after="0" w:line="148" w:lineRule="exact"/>
              <w:rPr>
                <w:sz w:val="20"/>
                <w:szCs w:val="20"/>
                <w:color w:val="auto"/>
              </w:rPr>
            </w:pPr>
            <w:r>
              <w:rPr>
                <w:rFonts w:ascii="Arial" w:cs="Arial" w:eastAsia="Arial" w:hAnsi="Arial"/>
                <w:sz w:val="14"/>
                <w:szCs w:val="14"/>
                <w:b w:val="1"/>
                <w:bCs w:val="1"/>
                <w:color w:val="auto"/>
                <w:w w:val="83"/>
              </w:rPr>
              <w:t>Shares that Vest</w:t>
            </w:r>
          </w:p>
        </w:tc>
        <w:tc>
          <w:tcPr>
            <w:tcW w:w="0" w:type="dxa"/>
            <w:vAlign w:val="bottom"/>
          </w:tcPr>
          <w:p>
            <w:pPr>
              <w:spacing w:after="0"/>
              <w:rPr>
                <w:sz w:val="1"/>
                <w:szCs w:val="1"/>
                <w:color w:val="auto"/>
              </w:rPr>
            </w:pPr>
          </w:p>
        </w:tc>
      </w:tr>
      <w:tr>
        <w:trPr>
          <w:trHeight w:val="27"/>
        </w:trPr>
        <w:tc>
          <w:tcPr>
            <w:tcW w:w="126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-8255</wp:posOffset>
            </wp:positionV>
            <wp:extent cx="550545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8000"/>
        <w:spacing w:after="0"/>
        <w:rPr>
          <w:sz w:val="20"/>
          <w:szCs w:val="20"/>
          <w:color w:val="auto"/>
        </w:rPr>
      </w:pPr>
      <w:r>
        <w:rPr>
          <w:rFonts w:ascii="Arial" w:cs="Arial" w:eastAsia="Arial" w:hAnsi="Arial"/>
          <w:sz w:val="18"/>
          <w:szCs w:val="18"/>
          <w:color w:val="auto"/>
        </w:rPr>
        <w:t>33.3%</w:t>
      </w:r>
    </w:p>
    <w:p>
      <w:pPr>
        <w:spacing w:after="0" w:line="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33.3%</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 RESTRICTED STOCK AGREEMENT</w:t>
      </w:r>
    </w:p>
    <w:p>
      <w:pPr>
        <w:spacing w:after="0" w:line="171" w:lineRule="exact"/>
        <w:rPr>
          <w:sz w:val="20"/>
          <w:szCs w:val="20"/>
          <w:color w:val="auto"/>
        </w:rPr>
      </w:pPr>
    </w:p>
    <w:p>
      <w:pPr>
        <w:jc w:val="both"/>
        <w:ind w:right="140" w:firstLine="464"/>
        <w:spacing w:after="0" w:line="326" w:lineRule="auto"/>
        <w:tabs>
          <w:tab w:leader="none" w:pos="632" w:val="left"/>
        </w:tabs>
        <w:numPr>
          <w:ilvl w:val="0"/>
          <w:numId w:val="50"/>
        </w:numPr>
        <w:rPr>
          <w:rFonts w:ascii="Arial" w:cs="Arial" w:eastAsia="Arial" w:hAnsi="Arial"/>
          <w:sz w:val="15"/>
          <w:szCs w:val="15"/>
          <w:color w:val="auto"/>
        </w:rPr>
      </w:pPr>
      <w:r>
        <w:rPr>
          <w:rFonts w:ascii="Arial" w:cs="Arial" w:eastAsia="Arial" w:hAnsi="Arial"/>
          <w:sz w:val="15"/>
          <w:szCs w:val="15"/>
          <w:b w:val="1"/>
          <w:bCs w:val="1"/>
          <w:color w:val="auto"/>
        </w:rPr>
        <w:t xml:space="preserve">Grant and Issuance of Restricted Stock. </w:t>
      </w:r>
      <w:r>
        <w:rPr>
          <w:rFonts w:ascii="Arial" w:cs="Arial" w:eastAsia="Arial" w:hAnsi="Arial"/>
          <w:sz w:val="15"/>
          <w:szCs w:val="15"/>
          <w:color w:val="auto"/>
        </w:rPr>
        <w:t>Subject to the terms and conditions of this Agreement and the Plan, the Company granted to Grantee, the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89" w:lineRule="exact"/>
        <w:rPr>
          <w:rFonts w:ascii="Arial" w:cs="Arial" w:eastAsia="Arial" w:hAnsi="Arial"/>
          <w:sz w:val="15"/>
          <w:szCs w:val="15"/>
          <w:color w:val="auto"/>
        </w:rPr>
      </w:pPr>
    </w:p>
    <w:p>
      <w:pPr>
        <w:ind w:right="40" w:firstLine="464"/>
        <w:spacing w:after="0" w:line="258"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 otherwise,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Stock for the period commencing on the Grant Date and ending on the Vesting Date (the </w:t>
      </w:r>
      <w:r>
        <w:rPr>
          <w:rFonts w:ascii="Arial" w:cs="Arial" w:eastAsia="Arial" w:hAnsi="Arial"/>
          <w:sz w:val="18"/>
          <w:szCs w:val="18"/>
          <w:b w:val="1"/>
          <w:bCs w:val="1"/>
          <w:color w:val="auto"/>
        </w:rPr>
        <w:t>“Restriction Period”</w:t>
      </w:r>
      <w:r>
        <w:rPr>
          <w:rFonts w:ascii="Arial" w:cs="Arial" w:eastAsia="Arial" w:hAnsi="Arial"/>
          <w:sz w:val="18"/>
          <w:szCs w:val="18"/>
          <w:color w:val="auto"/>
        </w:rPr>
        <w:t>). Upon vesting on the Vesting Date, the restrictions in this Section 2 shall lapse and Grantee may transfer the shares of Stock in accordance with applicable securities law requirements and the Company’s policies and procedures.</w:t>
      </w:r>
    </w:p>
    <w:p>
      <w:pPr>
        <w:sectPr>
          <w:pgSz w:w="11900" w:h="16838" w:orient="portrait"/>
          <w:cols w:equalWidth="0" w:num="1">
            <w:col w:w="11420"/>
          </w:cols>
          <w:pgMar w:left="240" w:top="125" w:right="239" w:bottom="1440" w:gutter="0" w:footer="0" w:header="0"/>
        </w:sectPr>
      </w:pPr>
    </w:p>
    <w:bookmarkStart w:id="104" w:name="page105"/>
    <w:bookmarkEnd w:id="104"/>
    <w:p>
      <w:pPr>
        <w:ind w:left="-60" w:right="80" w:firstLine="464"/>
        <w:spacing w:after="0" w:line="258" w:lineRule="auto"/>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Lapse of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otherwise in this Agreement and the Plan (including but not limited to Section 14.2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provides for accelerated vesting upon certain terminations in connection with a Change of Control), if Grantee has been in continuous Service since the Grant Date, the Restricted Stock shall vest as set forth on the Vesting Schedule in the Notice of Grant. Grantee shall forfeit the unvested portion of the Restricted Stock.</w:t>
      </w:r>
    </w:p>
    <w:p>
      <w:pPr>
        <w:spacing w:after="0" w:line="136" w:lineRule="exact"/>
        <w:rPr>
          <w:rFonts w:ascii="Arial" w:cs="Arial" w:eastAsia="Arial" w:hAnsi="Arial"/>
          <w:sz w:val="18"/>
          <w:szCs w:val="18"/>
          <w:color w:val="auto"/>
        </w:rPr>
      </w:pPr>
    </w:p>
    <w:p>
      <w:pPr>
        <w:jc w:val="both"/>
        <w:ind w:left="-60" w:firstLine="464"/>
        <w:spacing w:after="0" w:line="301" w:lineRule="auto"/>
        <w:tabs>
          <w:tab w:leader="none" w:pos="572"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Upon the termination of Grantee’s Service, any shares of Restricted Stock held by Grantee that have not vested, or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which all applicable restrictions and conditions have not lapsed, shall immediately be forfeited. Upon forfeiture of the shares of Restricted Stock, Grantee shall have no further rights with respect to such shares, including but not limited to any right to vote the shares or any right to receive dividends. Section 14.2 of the Plan provides for accelerated vesting with respect to certain terminations in connection with a Change of Control.</w:t>
      </w:r>
    </w:p>
    <w:p>
      <w:pPr>
        <w:spacing w:after="0" w:line="103" w:lineRule="exact"/>
        <w:rPr>
          <w:rFonts w:ascii="Arial" w:cs="Arial" w:eastAsia="Arial" w:hAnsi="Arial"/>
          <w:sz w:val="16"/>
          <w:szCs w:val="16"/>
          <w:color w:val="auto"/>
        </w:rPr>
      </w:pPr>
    </w:p>
    <w:p>
      <w:pPr>
        <w:ind w:left="-60" w:right="40" w:firstLine="464"/>
        <w:spacing w:after="0" w:line="255" w:lineRule="auto"/>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 of absence that</w:t>
      </w:r>
      <w:r>
        <w:rPr>
          <w:rFonts w:ascii="Arial" w:cs="Arial" w:eastAsia="Arial" w:hAnsi="Arial"/>
          <w:sz w:val="18"/>
          <w:szCs w:val="18"/>
          <w:b w:val="1"/>
          <w:bCs w:val="1"/>
          <w:color w:val="auto"/>
        </w:rPr>
        <w:t xml:space="preserve"> </w:t>
      </w:r>
      <w:r>
        <w:rPr>
          <w:rFonts w:ascii="Arial" w:cs="Arial" w:eastAsia="Arial" w:hAnsi="Arial"/>
          <w:sz w:val="18"/>
          <w:szCs w:val="18"/>
          <w:color w:val="auto"/>
        </w:rPr>
        <w:t>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39" w:lineRule="exact"/>
        <w:rPr>
          <w:rFonts w:ascii="Arial" w:cs="Arial" w:eastAsia="Arial" w:hAnsi="Arial"/>
          <w:sz w:val="18"/>
          <w:szCs w:val="18"/>
          <w:color w:val="auto"/>
        </w:rPr>
      </w:pPr>
    </w:p>
    <w:p>
      <w:pPr>
        <w:ind w:left="-60" w:right="20" w:firstLine="464"/>
        <w:spacing w:after="0" w:line="301" w:lineRule="auto"/>
        <w:tabs>
          <w:tab w:leader="none" w:pos="572"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During the Restriction Period, regular cash dividends declared and paid with respect to shares of Restricted Stock shall be retained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shall be subject to the same vesting requirements as specified in the Notice of Grant above. Any retained dividends to which Grantee becomes entitled upon vesting on the Vesting Date shall be paid to Grantee on the Vesting Date, but in no event later than March 15 of the year following the calendar year when the shares vest. Grantee shall not be entitled to receive a special or extraordinary cash dividend or distribution during the Restriction Period.</w:t>
      </w:r>
    </w:p>
    <w:p>
      <w:pPr>
        <w:spacing w:after="0" w:line="103" w:lineRule="exact"/>
        <w:rPr>
          <w:rFonts w:ascii="Arial" w:cs="Arial" w:eastAsia="Arial" w:hAnsi="Arial"/>
          <w:sz w:val="16"/>
          <w:szCs w:val="16"/>
          <w:color w:val="auto"/>
        </w:rPr>
      </w:pPr>
    </w:p>
    <w:p>
      <w:pPr>
        <w:ind w:left="-60" w:right="40" w:firstLine="464"/>
        <w:spacing w:after="0" w:line="255" w:lineRule="auto"/>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Purchase and Delivery of Shares. </w:t>
      </w:r>
      <w:r>
        <w:rPr>
          <w:rFonts w:ascii="Arial" w:cs="Arial" w:eastAsia="Arial" w:hAnsi="Arial"/>
          <w:sz w:val="18"/>
          <w:szCs w:val="18"/>
          <w:color w:val="auto"/>
        </w:rPr>
        <w:t>Grantee shall be required, to the extent required by applicable law, to purchase the shares of Restricted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at the aggregate par value of the shares of Stock represented by such Restricted Stock (the </w:t>
      </w: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39" w:lineRule="exact"/>
        <w:rPr>
          <w:rFonts w:ascii="Arial" w:cs="Arial" w:eastAsia="Arial" w:hAnsi="Arial"/>
          <w:sz w:val="18"/>
          <w:szCs w:val="18"/>
          <w:color w:val="auto"/>
        </w:rPr>
      </w:pPr>
    </w:p>
    <w:p>
      <w:pPr>
        <w:ind w:left="-60" w:right="160" w:firstLine="464"/>
        <w:spacing w:after="0" w:line="275" w:lineRule="auto"/>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Restricted Stock shall include applicable restrictive legends regarding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transfer and compliance with securities law requirements, as determined by the Committee.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74" w:right="279" w:bottom="1440" w:gutter="0" w:footer="0" w:header="0"/>
        </w:sectPr>
      </w:pPr>
    </w:p>
    <w:bookmarkStart w:id="105" w:name="page106"/>
    <w:bookmarkEnd w:id="105"/>
    <w:p>
      <w:pPr>
        <w:ind w:right="80" w:firstLine="464"/>
        <w:spacing w:after="0" w:line="256"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Tax Withholding. </w:t>
      </w:r>
      <w:r>
        <w:rPr>
          <w:rFonts w:ascii="Arial" w:cs="Arial" w:eastAsia="Arial" w:hAnsi="Arial"/>
          <w:sz w:val="18"/>
          <w:szCs w:val="18"/>
          <w:color w:val="auto"/>
        </w:rPr>
        <w:t>The Company or any Affiliate shall have the right to deduct from payments of any kind otherwise due to Grantee, any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4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37" w:lineRule="exact"/>
        <w:rPr>
          <w:sz w:val="20"/>
          <w:szCs w:val="20"/>
          <w:color w:val="auto"/>
        </w:rPr>
      </w:pPr>
    </w:p>
    <w:p>
      <w:pPr>
        <w:ind w:firstLine="464"/>
        <w:spacing w:after="0" w:line="293"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10" w:lineRule="exact"/>
        <w:rPr>
          <w:rFonts w:ascii="Arial" w:cs="Arial" w:eastAsia="Arial" w:hAnsi="Arial"/>
          <w:sz w:val="16"/>
          <w:szCs w:val="16"/>
          <w:color w:val="auto"/>
        </w:rPr>
      </w:pPr>
    </w:p>
    <w:p>
      <w:pPr>
        <w:ind w:right="80" w:firstLine="464"/>
        <w:spacing w:after="0" w:line="310" w:lineRule="auto"/>
        <w:tabs>
          <w:tab w:leader="none" w:pos="713"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Investment Representations. </w:t>
      </w:r>
      <w:r>
        <w:rPr>
          <w:rFonts w:ascii="Arial" w:cs="Arial" w:eastAsia="Arial" w:hAnsi="Arial"/>
          <w:sz w:val="16"/>
          <w:szCs w:val="16"/>
          <w:color w:val="auto"/>
        </w:rPr>
        <w:t>The Committee may require Grantee (or Grantee’s estate or heirs) to represent and warrant in writing that the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is acquiring the shares of Stock for investment and without any present intention to sell or distribute such shares and to make such other representations as are deemed necessary or appropriate by the Company and its counsel.</w:t>
      </w:r>
    </w:p>
    <w:p>
      <w:pPr>
        <w:spacing w:after="0" w:line="97" w:lineRule="exact"/>
        <w:rPr>
          <w:rFonts w:ascii="Arial" w:cs="Arial" w:eastAsia="Arial" w:hAnsi="Arial"/>
          <w:sz w:val="16"/>
          <w:szCs w:val="16"/>
          <w:color w:val="auto"/>
        </w:rPr>
      </w:pPr>
    </w:p>
    <w:p>
      <w:pPr>
        <w:jc w:val="both"/>
        <w:ind w:right="160" w:firstLine="464"/>
        <w:spacing w:after="0" w:line="262"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Continued Service. </w:t>
      </w:r>
      <w:r>
        <w:rPr>
          <w:rFonts w:ascii="Arial" w:cs="Arial" w:eastAsia="Arial" w:hAnsi="Arial"/>
          <w:sz w:val="18"/>
          <w:szCs w:val="18"/>
          <w:color w:val="auto"/>
        </w:rPr>
        <w:t>Neither the grant of shares of Restricted Stock nor this Agreement gives Grantee the right to continue Service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in any capacity. The Company and its Affiliates reserve the right to terminate Grantee’s Service at any time and for any reason not prohibited by law.</w:t>
      </w:r>
    </w:p>
    <w:p>
      <w:pPr>
        <w:spacing w:after="0" w:line="132" w:lineRule="exact"/>
        <w:rPr>
          <w:rFonts w:ascii="Arial" w:cs="Arial" w:eastAsia="Arial" w:hAnsi="Arial"/>
          <w:sz w:val="18"/>
          <w:szCs w:val="18"/>
          <w:color w:val="auto"/>
        </w:rPr>
      </w:pPr>
    </w:p>
    <w:p>
      <w:pPr>
        <w:ind w:right="160" w:firstLine="464"/>
        <w:spacing w:after="0" w:line="262"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other than any conflicts or choice of law rule or principle that might otherwise refer construction or interpretation of the Plan and this Agreement to the substantive laws of any other jurisdiction.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6" w:name="page107"/>
    <w:bookmarkEnd w:id="106"/>
    <w:p>
      <w:pPr>
        <w:ind w:right="440" w:firstLine="464"/>
        <w:spacing w:after="0" w:line="275"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Binding Effect. </w:t>
      </w:r>
      <w:r>
        <w:rPr>
          <w:rFonts w:ascii="Arial" w:cs="Arial" w:eastAsia="Arial" w:hAnsi="Arial"/>
          <w:sz w:val="18"/>
          <w:szCs w:val="18"/>
          <w:color w:val="auto"/>
        </w:rPr>
        <w:t>This Agreement shall be binding upon and inure to the benefit of the Company and Grantee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legal representatives, successors and assigns.</w:t>
      </w:r>
    </w:p>
    <w:p>
      <w:pPr>
        <w:spacing w:after="0" w:line="119" w:lineRule="exact"/>
        <w:rPr>
          <w:rFonts w:ascii="Arial" w:cs="Arial" w:eastAsia="Arial" w:hAnsi="Arial"/>
          <w:sz w:val="18"/>
          <w:szCs w:val="18"/>
          <w:color w:val="auto"/>
        </w:rPr>
      </w:pPr>
    </w:p>
    <w:p>
      <w:pPr>
        <w:ind w:right="220" w:firstLine="464"/>
        <w:spacing w:after="0" w:line="275"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Tax Treatment; Section 83(b); Section 409A</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may incur tax liability as a result of the vesting of shares of Restricted Stock, the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or the disposition of shares of Stock. Grantee should consult his or her own tax adviser for tax advice.</w:t>
      </w:r>
    </w:p>
    <w:p>
      <w:pPr>
        <w:spacing w:after="0" w:line="12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1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01" w:lineRule="exact"/>
        <w:rPr>
          <w:sz w:val="20"/>
          <w:szCs w:val="20"/>
          <w:color w:val="auto"/>
        </w:rPr>
      </w:pPr>
    </w:p>
    <w:p>
      <w:pPr>
        <w:ind w:right="140" w:firstLine="464"/>
        <w:spacing w:after="0" w:line="275"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terms and conditions set forth in this Agreement may only be amended by the written consent of the Company and Grantee,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14 regarding Section 409A of the Code and any other provision set forth in the Plan.</w:t>
      </w:r>
    </w:p>
    <w:p>
      <w:pPr>
        <w:spacing w:after="0" w:line="119" w:lineRule="exact"/>
        <w:rPr>
          <w:rFonts w:ascii="Arial" w:cs="Arial" w:eastAsia="Arial" w:hAnsi="Arial"/>
          <w:sz w:val="18"/>
          <w:szCs w:val="18"/>
          <w:color w:val="auto"/>
        </w:rPr>
      </w:pPr>
    </w:p>
    <w:p>
      <w:pPr>
        <w:jc w:val="both"/>
        <w:ind w:right="60" w:firstLine="464"/>
        <w:spacing w:after="0" w:line="262"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2007 Equity Incentive Plan. </w:t>
      </w:r>
      <w:r>
        <w:rPr>
          <w:rFonts w:ascii="Arial" w:cs="Arial" w:eastAsia="Arial" w:hAnsi="Arial"/>
          <w:sz w:val="18"/>
          <w:szCs w:val="18"/>
          <w:color w:val="auto"/>
        </w:rPr>
        <w:t>The shares of Restricted Stock and payment of dividends granted hereunder shall be subject to such additional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may be imposed under the terms of the Plan, a copy of which has been provided to Grantee. A copy of the Prospectus for the 2007 Equity Incentive Plan shall also be provided to Grantee.</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NATIONAL CINEMEDIA, INC.</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10.23.6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RESTRICTED STOCK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Period: Fiscal Year 2013 – Fiscal Year 2015</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The Compensation Committee of the Board of Directors of National CineMedia,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granted shares of Restricted Stock to be issued under the National CineMedia, Inc. 2007 Equity Incentive Plan, as amended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as well as the possible right to be issued additional shares of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xml:space="preserve">), to the Grantee named below. 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evidences the terms of the Company’s grant of Restricted Stock, and the possible grant of Additional Shares, to Grantee.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Except as provided otherwise in this Agreement or the Plan (including but not limited to Section 14.2 of the Plan which provides for</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accelerated 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(OIBDA – Capital) (</w:t>
      </w:r>
      <w:r>
        <w:rPr>
          <w:rFonts w:ascii="Arial" w:cs="Arial" w:eastAsia="Arial" w:hAnsi="Arial"/>
          <w:sz w:val="16"/>
          <w:szCs w:val="16"/>
          <w:b w:val="1"/>
          <w:bCs w:val="1"/>
          <w:color w:val="auto"/>
        </w:rPr>
        <w:t>“Free Cash Flow”</w:t>
      </w:r>
      <w:r>
        <w:rPr>
          <w:rFonts w:ascii="Arial" w:cs="Arial" w:eastAsia="Arial" w:hAnsi="Arial"/>
          <w:sz w:val="16"/>
          <w:szCs w:val="16"/>
          <w:color w:val="auto"/>
        </w:rPr>
        <w:t xml:space="preserve">) targets (the </w:t>
      </w:r>
      <w:r>
        <w:rPr>
          <w:rFonts w:ascii="Arial" w:cs="Arial" w:eastAsia="Arial" w:hAnsi="Arial"/>
          <w:sz w:val="16"/>
          <w:szCs w:val="16"/>
          <w:b w:val="1"/>
          <w:bCs w:val="1"/>
          <w:color w:val="auto"/>
        </w:rPr>
        <w:t>“Free Cash Flow Target”</w:t>
      </w:r>
      <w:r>
        <w:rPr>
          <w:rFonts w:ascii="Arial" w:cs="Arial" w:eastAsia="Arial" w:hAnsi="Arial"/>
          <w:sz w:val="16"/>
          <w:szCs w:val="16"/>
          <w:color w:val="auto"/>
        </w:rPr>
        <w:t>) at the end of the three-year period ending on the last day of the Company’s 2015 fiscal year (the</w:t>
      </w:r>
      <w:r>
        <w:rPr>
          <w:rFonts w:ascii="Arial" w:cs="Arial" w:eastAsia="Arial" w:hAnsi="Arial"/>
          <w:sz w:val="16"/>
          <w:szCs w:val="16"/>
          <w:b w:val="1"/>
          <w:bCs w:val="1"/>
          <w:color w:val="auto"/>
        </w:rPr>
        <w:t xml:space="preserve"> “Measuring Period”</w:t>
      </w:r>
      <w:r>
        <w:rPr>
          <w:rFonts w:ascii="Arial" w:cs="Arial" w:eastAsia="Arial" w:hAnsi="Arial"/>
          <w:sz w:val="16"/>
          <w:szCs w:val="16"/>
          <w:color w:val="auto"/>
        </w:rPr>
        <w:t>). The extent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achieves the Free Cash Flow Target shall be determined by the Company’s audited financial statements for the Measuring Period.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 If the Company achieves 100% of the Free Cash Flow Target at the end of the Measuring Period, Grantee shall vest in 100% of the number of shares of Restricted Stock set forth above. If the actual Free Cash Flow is less than 85% of the Free Cash Flow Target at the end of the Measuring Period, none of the shares of Restricted Stock shall vest. If the actual Free Cash Flow at the end of the Measuring Period is 85% of the Free Cash Flow Target, Grantee shall vest in 25% of the number of shares of Restricted Stock set forth above. If the actual Free Cash Flow at the end of the Measuring Period is between 85% and 100% of the Free Cash Flow Target, Grantee shall vest in between 25% and 100% of the number of shares of Restricted Stock set forth above by interpolating the percentage of Free Cash Flow actually achieved as it relates to the difference between the number of shares of Restricted Stock that vest at 100% of Free Cash Flow Target and the number of shares of Restricted Stock that vest at 85% of Free Cash</w:t>
      </w:r>
    </w:p>
    <w:p>
      <w:pPr>
        <w:sectPr>
          <w:pgSz w:w="11900" w:h="16838" w:orient="portrait"/>
          <w:cols w:equalWidth="0" w:num="1">
            <w:col w:w="11420"/>
          </w:cols>
          <w:pgMar w:left="240" w:top="125" w:right="239" w:bottom="1440" w:gutter="0" w:footer="0" w:header="0"/>
        </w:sectPr>
      </w:pPr>
    </w:p>
    <w:bookmarkStart w:id="108" w:name="page109"/>
    <w:bookmarkEnd w:id="108"/>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Flow Target. By way of example, if the actual cumulative Free Cash Flow achieved is at 95% of Free Cash Flow Target, Grantee would vest in 75% of the number of shares of Restricted Stock set forth above.</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Grant of Additional Shares of Stock: </w:t>
      </w:r>
      <w:r>
        <w:rPr>
          <w:rFonts w:ascii="Arial" w:cs="Arial" w:eastAsia="Arial" w:hAnsi="Arial"/>
          <w:sz w:val="16"/>
          <w:szCs w:val="16"/>
          <w:color w:val="auto"/>
        </w:rPr>
        <w:t>If the actual cumulative Free Cash Flow achieved at the end of the Measuring Period is in excess of 100% of Free Cash</w:t>
      </w:r>
      <w:r>
        <w:rPr>
          <w:rFonts w:ascii="Arial" w:cs="Arial" w:eastAsia="Arial" w:hAnsi="Arial"/>
          <w:sz w:val="16"/>
          <w:szCs w:val="16"/>
          <w:b w:val="1"/>
          <w:bCs w:val="1"/>
          <w:color w:val="auto"/>
        </w:rPr>
        <w:t xml:space="preserve"> </w:t>
      </w:r>
      <w:r>
        <w:rPr>
          <w:rFonts w:ascii="Arial" w:cs="Arial" w:eastAsia="Arial" w:hAnsi="Arial"/>
          <w:sz w:val="16"/>
          <w:szCs w:val="16"/>
          <w:color w:val="auto"/>
        </w:rPr>
        <w:t>Flow Target, Grantee (if otherwise vested) shall be entitled to receive a grant and issuance of Additional Shares of Stock. If the actual cumulative Free Cash Flow achieved at the end of the Measuring Period is 110% or more of Free Cash Flow Target, Grantee (if otherwise vested) shall be entitled to receive a grant and issuance of Additional Shares of Stock equal to 50% of the number of shares of Restricted Stock set forth above. If the actual cumulative Free Cash Flow achieved at the end of the Measuring Period is below 110% of Free Cash Flow Target but in excess of 100% of Free Cash Flow Target, Grantee (if otherwise vested) shall receive a number of shares of Additional Stock determined by interpolating between the number of shares of Restricted Stock that vest upon 100% of Free Cash Flow Target and 150% of that number of shares of Stock. By way of example, if the actual cumulative Free Cash Flow at the end of the Measuring Period is 105% of Free Cash Flow Target, Grantee (if otherwise vested) would receive a number of shares of Additional Stock equal to 25% of the number of shares of Restricted Stock set forth above. Grantee shall have no rights as a stockholder of the Company until Grantee becomes the holder of record of any shares of Additional Stock. If Grantee terminates Service prior to the Vesting Date, Grantee shall be entitled to receive a portion of the shares of Additional Stock otherwise issuable, under the same circumstances and determined in the same manner as the number of shares of Retained Shares which vest upon the Vesting Date as set forth below in Section 3 of the Restricted Stock Agreement.</w:t>
      </w:r>
    </w:p>
    <w:p>
      <w:pPr>
        <w:spacing w:after="0" w:line="11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Time of Vesting of Restricted Stock and Grant of Additional Shares: </w:t>
      </w:r>
      <w:r>
        <w:rPr>
          <w:rFonts w:ascii="Arial" w:cs="Arial" w:eastAsia="Arial" w:hAnsi="Arial"/>
          <w:sz w:val="16"/>
          <w:szCs w:val="16"/>
          <w:color w:val="auto"/>
        </w:rPr>
        <w:t>If the actual cumulative Free Cash Flow at the end of the Measuring Period is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85% of Free Cash Flow Target, the number of shares of Restricted Stock shall vest as described above on the 60</w:t>
      </w:r>
      <w:r>
        <w:rPr>
          <w:rFonts w:ascii="Arial" w:cs="Arial" w:eastAsia="Arial" w:hAnsi="Arial"/>
          <w:sz w:val="10"/>
          <w:szCs w:val="10"/>
          <w:color w:val="auto"/>
        </w:rPr>
        <w:t>th</w:t>
      </w:r>
      <w:r>
        <w:rPr>
          <w:rFonts w:ascii="Arial" w:cs="Arial" w:eastAsia="Arial" w:hAnsi="Arial"/>
          <w:sz w:val="16"/>
          <w:szCs w:val="16"/>
          <w:color w:val="auto"/>
        </w:rPr>
        <w:t xml:space="preserve"> day (the </w:t>
      </w:r>
      <w:r>
        <w:rPr>
          <w:rFonts w:ascii="Arial" w:cs="Arial" w:eastAsia="Arial" w:hAnsi="Arial"/>
          <w:sz w:val="16"/>
          <w:szCs w:val="16"/>
          <w:b w:val="1"/>
          <w:bCs w:val="1"/>
          <w:color w:val="auto"/>
        </w:rPr>
        <w:t>“Vesting Date”</w:t>
      </w:r>
      <w:r>
        <w:rPr>
          <w:rFonts w:ascii="Arial" w:cs="Arial" w:eastAsia="Arial" w:hAnsi="Arial"/>
          <w:sz w:val="16"/>
          <w:szCs w:val="16"/>
          <w:color w:val="auto"/>
        </w:rPr>
        <w:t>) following the last day of the Measuring Period. If the actual cumulative Free Cash Flow exceeds 100% of Free Cash Flow Target at the end of the Measuring Period, Grantee shall be entitled to the issuance of Additional Shares of Stock as described above. The Additional Shares shall be issued to Grantee on or as soon as practicable after the Vesting Date and in all events no later than March 15, 2016.</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RESTRICTED STOCK AGREEMENT</w:t>
      </w:r>
    </w:p>
    <w:p>
      <w:pPr>
        <w:spacing w:after="0" w:line="171" w:lineRule="exact"/>
        <w:rPr>
          <w:sz w:val="20"/>
          <w:szCs w:val="20"/>
          <w:color w:val="auto"/>
        </w:rPr>
      </w:pPr>
    </w:p>
    <w:p>
      <w:pPr>
        <w:jc w:val="both"/>
        <w:ind w:right="100" w:firstLine="464"/>
        <w:spacing w:after="0" w:line="326" w:lineRule="auto"/>
        <w:tabs>
          <w:tab w:leader="none" w:pos="632" w:val="left"/>
        </w:tabs>
        <w:numPr>
          <w:ilvl w:val="0"/>
          <w:numId w:val="56"/>
        </w:numPr>
        <w:rPr>
          <w:rFonts w:ascii="Arial" w:cs="Arial" w:eastAsia="Arial" w:hAnsi="Arial"/>
          <w:sz w:val="15"/>
          <w:szCs w:val="15"/>
          <w:color w:val="auto"/>
        </w:rPr>
      </w:pPr>
      <w:r>
        <w:rPr>
          <w:rFonts w:ascii="Arial" w:cs="Arial" w:eastAsia="Arial" w:hAnsi="Arial"/>
          <w:sz w:val="15"/>
          <w:szCs w:val="15"/>
          <w:b w:val="1"/>
          <w:bCs w:val="1"/>
          <w:color w:val="auto"/>
        </w:rPr>
        <w:t xml:space="preserve">Grant and Issuance of Restricted Stock. </w:t>
      </w:r>
      <w:r>
        <w:rPr>
          <w:rFonts w:ascii="Arial" w:cs="Arial" w:eastAsia="Arial" w:hAnsi="Arial"/>
          <w:sz w:val="15"/>
          <w:szCs w:val="15"/>
          <w:color w:val="auto"/>
        </w:rPr>
        <w:t>Subject to the terms and conditions of this Agreement and the Plan, the Company granted to Grantee, the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89" w:lineRule="exact"/>
        <w:rPr>
          <w:rFonts w:ascii="Arial" w:cs="Arial" w:eastAsia="Arial" w:hAnsi="Arial"/>
          <w:sz w:val="15"/>
          <w:szCs w:val="15"/>
          <w:color w:val="auto"/>
        </w:rPr>
      </w:pPr>
    </w:p>
    <w:p>
      <w:pPr>
        <w:ind w:right="480" w:firstLine="464"/>
        <w:spacing w:after="0" w:line="275" w:lineRule="auto"/>
        <w:tabs>
          <w:tab w:leader="none" w:pos="63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 otherwise,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Stock for the period commencing on the Grant Date and ending on the Vesting Date (the </w:t>
      </w:r>
      <w:r>
        <w:rPr>
          <w:rFonts w:ascii="Arial" w:cs="Arial" w:eastAsia="Arial" w:hAnsi="Arial"/>
          <w:sz w:val="18"/>
          <w:szCs w:val="18"/>
          <w:b w:val="1"/>
          <w:bCs w:val="1"/>
          <w:color w:val="auto"/>
        </w:rPr>
        <w:t>“Restriction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09" w:name="page110"/>
    <w:bookmarkEnd w:id="109"/>
    <w:p>
      <w:pPr>
        <w:ind w:right="120"/>
        <w:spacing w:after="0" w:line="33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w:t>
      </w:r>
      <w:r>
        <w:rPr>
          <w:rFonts w:ascii="Arial" w:cs="Arial" w:eastAsia="Arial" w:hAnsi="Arial"/>
          <w:sz w:val="15"/>
          <w:szCs w:val="15"/>
          <w:color w:val="auto"/>
        </w:rPr>
        <w:t>). Upon vesting on the Vesting Date, the restrictions in this Section 2 shall lapse and Grantee may transfer the shares of Stock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securities law requirements and the Company’s policies and procedures. The Additional Shares, upon issuance, shall not be subject to the restrictions contained in the first sentence of this Section 2 but shall be subject to the other restrictions and requirements set forth in the immediately preceding sentence.</w:t>
      </w:r>
    </w:p>
    <w:p>
      <w:pPr>
        <w:spacing w:after="0" w:line="79" w:lineRule="exact"/>
        <w:rPr>
          <w:sz w:val="20"/>
          <w:szCs w:val="20"/>
          <w:color w:val="auto"/>
        </w:rPr>
      </w:pPr>
    </w:p>
    <w:p>
      <w:pPr>
        <w:ind w:firstLine="464"/>
        <w:spacing w:after="0" w:line="288"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Vesting; Lapse of Restrictions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otherwise in this Agreement and the Plan (including but not limited to Section 14.2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provides for accelerated vesting upon certain terminations in connection with a Change of Control), the Restricted Stock shall vest as set forth on the Vesting Schedule in the Notice of Grant. Grantee shall forfeit the unvested portion of the Restricted Stock.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16"/>
          <w:szCs w:val="16"/>
          <w:b w:val="1"/>
          <w:bCs w:val="1"/>
          <w:color w:val="auto"/>
        </w:rPr>
        <w:t>“Retained Shares”</w:t>
      </w:r>
      <w:r>
        <w:rPr>
          <w:rFonts w:ascii="Arial" w:cs="Arial" w:eastAsia="Arial" w:hAnsi="Arial"/>
          <w:sz w:val="16"/>
          <w:szCs w:val="16"/>
          <w:color w:val="auto"/>
        </w:rPr>
        <w:t>) equal to the ratio that the number of days of Service of Grantee during the Measuring Period bears to the total number of days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Measuring Period. The 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shall be forfeited upon Grantee’s termination of Service and Grantee shall have no right to receive any Additional Shares of Stock.</w:t>
      </w:r>
    </w:p>
    <w:p>
      <w:pPr>
        <w:spacing w:after="0" w:line="115" w:lineRule="exact"/>
        <w:rPr>
          <w:rFonts w:ascii="Arial" w:cs="Arial" w:eastAsia="Arial" w:hAnsi="Arial"/>
          <w:sz w:val="16"/>
          <w:szCs w:val="16"/>
          <w:color w:val="auto"/>
        </w:rPr>
      </w:pPr>
    </w:p>
    <w:p>
      <w:pPr>
        <w:ind w:right="20" w:firstLine="464"/>
        <w:spacing w:after="0" w:line="255"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 of absence that</w:t>
      </w:r>
      <w:r>
        <w:rPr>
          <w:rFonts w:ascii="Arial" w:cs="Arial" w:eastAsia="Arial" w:hAnsi="Arial"/>
          <w:sz w:val="18"/>
          <w:szCs w:val="18"/>
          <w:b w:val="1"/>
          <w:bCs w:val="1"/>
          <w:color w:val="auto"/>
        </w:rPr>
        <w:t xml:space="preserve"> </w:t>
      </w:r>
      <w:r>
        <w:rPr>
          <w:rFonts w:ascii="Arial" w:cs="Arial" w:eastAsia="Arial" w:hAnsi="Arial"/>
          <w:sz w:val="18"/>
          <w:szCs w:val="18"/>
          <w:color w:val="auto"/>
        </w:rPr>
        <w:t>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39" w:lineRule="exact"/>
        <w:rPr>
          <w:rFonts w:ascii="Arial" w:cs="Arial" w:eastAsia="Arial" w:hAnsi="Arial"/>
          <w:sz w:val="18"/>
          <w:szCs w:val="18"/>
          <w:color w:val="auto"/>
        </w:rPr>
      </w:pPr>
    </w:p>
    <w:p>
      <w:pPr>
        <w:ind w:right="240" w:firstLine="464"/>
        <w:spacing w:after="0" w:line="301"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During the Restriction Period, regular cash dividends declared and paid with respect to shares of Restricted Stock shall be retained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shall be subject to the same vesting requirements as specified in the Notice of Grant above. Any retained dividends to which Grantee becomes entitled upon vesting on the Vesting Date following the end of the Measuring Period shall be paid to Grantee on the Vesting Date, but in no event later than March 15, 2016. Grantee shall not be entitled to receive a special or extraordinary cash dividend or distribution during the Restriction Period.</w:t>
      </w:r>
    </w:p>
    <w:p>
      <w:pPr>
        <w:spacing w:after="0" w:line="103" w:lineRule="exact"/>
        <w:rPr>
          <w:rFonts w:ascii="Arial" w:cs="Arial" w:eastAsia="Arial" w:hAnsi="Arial"/>
          <w:sz w:val="16"/>
          <w:szCs w:val="16"/>
          <w:color w:val="auto"/>
        </w:rPr>
      </w:pPr>
    </w:p>
    <w:p>
      <w:pPr>
        <w:ind w:right="20" w:firstLine="464"/>
        <w:spacing w:after="0" w:line="310"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Purchase and Delivery of Shares. </w:t>
      </w:r>
      <w:r>
        <w:rPr>
          <w:rFonts w:ascii="Arial" w:cs="Arial" w:eastAsia="Arial" w:hAnsi="Arial"/>
          <w:sz w:val="16"/>
          <w:szCs w:val="16"/>
          <w:color w:val="auto"/>
        </w:rPr>
        <w:t>Grantee shall be required, to the extent required by applicable law, to purchase the shares of Restricted Stock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at the aggregate par value of the shares of Stock represented by such Restricted Stock (the </w:t>
      </w:r>
      <w:r>
        <w:rPr>
          <w:rFonts w:ascii="Arial" w:cs="Arial" w:eastAsia="Arial" w:hAnsi="Arial"/>
          <w:sz w:val="16"/>
          <w:szCs w:val="16"/>
          <w:b w:val="1"/>
          <w:bCs w:val="1"/>
          <w:color w:val="auto"/>
        </w:rPr>
        <w:t>“Purchase Price”</w:t>
      </w:r>
      <w:r>
        <w:rPr>
          <w:rFonts w:ascii="Arial" w:cs="Arial" w:eastAsia="Arial" w:hAnsi="Arial"/>
          <w:sz w:val="16"/>
          <w:szCs w:val="16"/>
          <w:color w:val="auto"/>
        </w:rPr>
        <w:t>). The Purchase Price shall be payable in cash or in cash equivalents acceptable to the Company. Upon the expiration or termination of the Restriction Period, the restrictions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10" w:name="page111"/>
    <w:bookmarkEnd w:id="110"/>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34" w:lineRule="exact"/>
        <w:rPr>
          <w:sz w:val="20"/>
          <w:szCs w:val="20"/>
          <w:color w:val="auto"/>
        </w:rPr>
      </w:pPr>
    </w:p>
    <w:p>
      <w:pPr>
        <w:ind w:right="180" w:firstLine="464"/>
        <w:spacing w:after="0" w:line="275"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Restricted Stock shall include applicable restrictive legends regarding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transfer and compliance with securities law requirements, as determined by the Committee.</w:t>
      </w:r>
    </w:p>
    <w:p>
      <w:pPr>
        <w:spacing w:after="0" w:line="119" w:lineRule="exact"/>
        <w:rPr>
          <w:rFonts w:ascii="Arial" w:cs="Arial" w:eastAsia="Arial" w:hAnsi="Arial"/>
          <w:sz w:val="18"/>
          <w:szCs w:val="18"/>
          <w:color w:val="auto"/>
        </w:rPr>
      </w:pPr>
    </w:p>
    <w:p>
      <w:pPr>
        <w:ind w:right="80" w:firstLine="464"/>
        <w:spacing w:after="0" w:line="256"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Affiliate shall have the right to deduct from payments of any kind otherwise due to Grantee, any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4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37" w:lineRule="exact"/>
        <w:rPr>
          <w:sz w:val="20"/>
          <w:szCs w:val="20"/>
          <w:color w:val="auto"/>
        </w:rPr>
      </w:pPr>
    </w:p>
    <w:p>
      <w:pPr>
        <w:ind w:firstLine="464"/>
        <w:spacing w:after="0" w:line="293"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10" w:lineRule="exact"/>
        <w:rPr>
          <w:rFonts w:ascii="Arial" w:cs="Arial" w:eastAsia="Arial" w:hAnsi="Arial"/>
          <w:sz w:val="16"/>
          <w:szCs w:val="16"/>
          <w:color w:val="auto"/>
        </w:rPr>
      </w:pPr>
    </w:p>
    <w:p>
      <w:pPr>
        <w:ind w:right="80" w:firstLine="464"/>
        <w:spacing w:after="0" w:line="275"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Grantee (or Grantee’s estate or heirs) to represent and warrant in writing that the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is acquiring the shares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1" w:name="page112"/>
    <w:bookmarkEnd w:id="111"/>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for investment and without any present intention to sell or distribute such shares and to make such other representations as are deemed necessary or appropriate by the Company and its counsel.</w:t>
      </w:r>
    </w:p>
    <w:p>
      <w:pPr>
        <w:spacing w:after="0" w:line="126" w:lineRule="exact"/>
        <w:rPr>
          <w:sz w:val="20"/>
          <w:szCs w:val="20"/>
          <w:color w:val="auto"/>
        </w:rPr>
      </w:pPr>
    </w:p>
    <w:p>
      <w:pPr>
        <w:jc w:val="both"/>
        <w:ind w:firstLine="464"/>
        <w:spacing w:after="0" w:line="378" w:lineRule="auto"/>
        <w:tabs>
          <w:tab w:leader="none" w:pos="713"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Continued Service. </w:t>
      </w:r>
      <w:r>
        <w:rPr>
          <w:rFonts w:ascii="Arial" w:cs="Arial" w:eastAsia="Arial" w:hAnsi="Arial"/>
          <w:sz w:val="15"/>
          <w:szCs w:val="15"/>
          <w:color w:val="auto"/>
        </w:rPr>
        <w:t>Neither the grant of shares of Restricted Stock nor this Agreement gives Grantee the right to continue Service with the Company or</w:t>
      </w:r>
      <w:r>
        <w:rPr>
          <w:rFonts w:ascii="Arial" w:cs="Arial" w:eastAsia="Arial" w:hAnsi="Arial"/>
          <w:sz w:val="15"/>
          <w:szCs w:val="15"/>
          <w:b w:val="1"/>
          <w:bCs w:val="1"/>
          <w:color w:val="auto"/>
        </w:rPr>
        <w:t xml:space="preserve"> </w:t>
      </w:r>
      <w:r>
        <w:rPr>
          <w:rFonts w:ascii="Arial" w:cs="Arial" w:eastAsia="Arial" w:hAnsi="Arial"/>
          <w:sz w:val="15"/>
          <w:szCs w:val="15"/>
          <w:color w:val="auto"/>
        </w:rPr>
        <w:t>its Affiliates in any capacity. The Company and its Affiliates reserve the right to terminate Grantee’s Service at any time and for any reason not prohibited by law.</w:t>
      </w:r>
    </w:p>
    <w:p>
      <w:pPr>
        <w:spacing w:after="0" w:line="50" w:lineRule="exact"/>
        <w:rPr>
          <w:rFonts w:ascii="Arial" w:cs="Arial" w:eastAsia="Arial" w:hAnsi="Arial"/>
          <w:sz w:val="15"/>
          <w:szCs w:val="15"/>
          <w:color w:val="auto"/>
        </w:rPr>
      </w:pPr>
    </w:p>
    <w:p>
      <w:pPr>
        <w:ind w:right="180" w:firstLine="464"/>
        <w:spacing w:after="0" w:line="262"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other than any conflicts or choice of law rule or principle that might otherwise refer construction or interpretation of the Plan and this Agreement to the substantive laws of any other jurisdiction.</w:t>
      </w:r>
    </w:p>
    <w:p>
      <w:pPr>
        <w:spacing w:after="0" w:line="132" w:lineRule="exact"/>
        <w:rPr>
          <w:rFonts w:ascii="Arial" w:cs="Arial" w:eastAsia="Arial" w:hAnsi="Arial"/>
          <w:sz w:val="18"/>
          <w:szCs w:val="18"/>
          <w:color w:val="auto"/>
        </w:rPr>
      </w:pPr>
    </w:p>
    <w:p>
      <w:pPr>
        <w:ind w:right="460" w:firstLine="464"/>
        <w:spacing w:after="0" w:line="275"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legal representatives, successors and assigns.</w:t>
      </w:r>
    </w:p>
    <w:p>
      <w:pPr>
        <w:spacing w:after="0" w:line="119" w:lineRule="exact"/>
        <w:rPr>
          <w:rFonts w:ascii="Arial" w:cs="Arial" w:eastAsia="Arial" w:hAnsi="Arial"/>
          <w:sz w:val="18"/>
          <w:szCs w:val="18"/>
          <w:color w:val="auto"/>
        </w:rPr>
      </w:pPr>
    </w:p>
    <w:p>
      <w:pPr>
        <w:ind w:right="240" w:firstLine="464"/>
        <w:spacing w:after="0" w:line="339" w:lineRule="auto"/>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Tax Treatment; Section 83(b); 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may incur tax liability as a result of the vesting of shares of Restricted Stock,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Shares, the payment of dividends or the disposition of shares of Stock. Grantee should consult his or her own tax adviser for tax advice.</w:t>
      </w:r>
    </w:p>
    <w:p>
      <w:pPr>
        <w:spacing w:after="0" w:line="80"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13"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01" w:lineRule="exact"/>
        <w:rPr>
          <w:sz w:val="20"/>
          <w:szCs w:val="20"/>
          <w:color w:val="auto"/>
        </w:rPr>
      </w:pPr>
    </w:p>
    <w:p>
      <w:pPr>
        <w:ind w:right="160" w:firstLine="464"/>
        <w:spacing w:after="0" w:line="275"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terms and conditions set forth in this Agreement may only be amended by the written consent of the Company and Grantee,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14 regarding Section 409A of the Code and any other provision set forth in the Plan.</w:t>
      </w:r>
    </w:p>
    <w:p>
      <w:pPr>
        <w:spacing w:after="0" w:line="119" w:lineRule="exact"/>
        <w:rPr>
          <w:rFonts w:ascii="Arial" w:cs="Arial" w:eastAsia="Arial" w:hAnsi="Arial"/>
          <w:sz w:val="18"/>
          <w:szCs w:val="18"/>
          <w:color w:val="auto"/>
        </w:rPr>
      </w:pPr>
    </w:p>
    <w:p>
      <w:pPr>
        <w:jc w:val="both"/>
        <w:ind w:right="80" w:firstLine="464"/>
        <w:spacing w:after="0" w:line="262"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2007 Equity Incentive Plan. </w:t>
      </w:r>
      <w:r>
        <w:rPr>
          <w:rFonts w:ascii="Arial" w:cs="Arial" w:eastAsia="Arial" w:hAnsi="Arial"/>
          <w:sz w:val="18"/>
          <w:szCs w:val="18"/>
          <w:color w:val="auto"/>
        </w:rPr>
        <w:t>The shares of Restricted Stock and payment of dividends granted hereunder shall be subject to such additional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may be imposed under the terms of the Plan, a copy of which has been provided to Grantee. A copy of the Prospectus for the 2007 Equity Incentive Plan shall also be provided to Grantee.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2" w:name="page113"/>
    <w:bookmarkEnd w:id="11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INC.</w:t>
      </w:r>
    </w:p>
    <w:p>
      <w:pPr>
        <w:spacing w:after="0" w:line="231"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74"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143510</wp:posOffset>
            </wp:positionV>
            <wp:extent cx="125222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522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November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NATIONAL CINEMEDIA,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David Oddo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Mail Address: DAVID.ODDO@NCM.COM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Transaction Ref. No. HR6K9 (the “Original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CONFIRMATION AMENDS AND RESTATES IN ITS ENTIRETY THE PREVIOUS CONFIRMATION FOR THIS TRANSACTION.</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color w:val="auto"/>
        </w:rPr>
        <w:t>USD 137,500,000 (amended to USD 56,250,000.00 as of 27 April 2012) transaction entered into between MORGAN STANLEY CAPITAL SERVICES LLC</w:t>
      </w:r>
      <w:r>
        <w:rPr>
          <w:rFonts w:ascii="Arial" w:cs="Arial" w:eastAsia="Arial" w:hAnsi="Arial"/>
          <w:sz w:val="18"/>
          <w:szCs w:val="18"/>
          <w:b w:val="1"/>
          <w:bCs w:val="1"/>
          <w:color w:val="auto"/>
        </w:rPr>
        <w:t xml:space="preserve"> </w:t>
      </w:r>
      <w:r>
        <w:rPr>
          <w:rFonts w:ascii="Arial" w:cs="Arial" w:eastAsia="Arial" w:hAnsi="Arial"/>
          <w:sz w:val="18"/>
          <w:szCs w:val="18"/>
          <w:color w:val="auto"/>
        </w:rPr>
        <w:t>(‘Party A’) and NATIONAL CINEMEDIA, LLC (‘Party B’) with a Trade Date of 2 March 2007 and maturing on 13 February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Sir or Madam:</w:t>
      </w:r>
    </w:p>
    <w:p>
      <w:pPr>
        <w:spacing w:after="0" w:line="90" w:lineRule="exact"/>
        <w:rPr>
          <w:sz w:val="20"/>
          <w:szCs w:val="20"/>
          <w:color w:val="auto"/>
        </w:rPr>
      </w:pPr>
    </w:p>
    <w:p>
      <w:pPr>
        <w:ind w:right="200"/>
        <w:spacing w:after="0" w:line="339" w:lineRule="auto"/>
        <w:rPr>
          <w:sz w:val="20"/>
          <w:szCs w:val="20"/>
          <w:color w:val="auto"/>
        </w:rPr>
      </w:pPr>
      <w:r>
        <w:rPr>
          <w:rFonts w:ascii="Arial" w:cs="Arial" w:eastAsia="Arial" w:hAnsi="Arial"/>
          <w:sz w:val="15"/>
          <w:szCs w:val="15"/>
          <w:b w:val="1"/>
          <w:bCs w:val="1"/>
          <w:color w:val="auto"/>
        </w:rPr>
        <w:t>The purpose of this letter (this “Confirmation”) is to confirm the terms on which it has been agreed to cancel the Original Transaction. Such cancellation constitutes a “Transaction” under the 2002 ISDA Master Agreement dated as of 2 March 2007 between Party A and Party B (the “Agreement”) and this Confirmation constitutes a “Confirmation” as referred to in, and supplements, forms part of, and is subject to, the Agreement.</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Accordingly, with effect from 26 November 2012 (the “Effective Date”) the Original Transaction shall be cancelled, and Party A MORGAN STANLEY CAPITAL SERVICES LLC and Party B shall each be released and discharged from their respective rights and obligations thereunder; provided however, that such release and discharge shall not affect any rights, liabilities or obligations of either party with respect to payments or other obligations due and payable or due to be performed on or prior to the Effective Date and all such payments and obligations shall be paid or performed by the relevant party in accordance with the terms of the Original Transaction as in effect prior to the Effective Date.</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Unwind Payment: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Further, in consideration for the cancellation of the Transaction NATIONAL CINEMEDIA, LLC shall pay to MORGAN STANLEY CAPITAL SERVICES LLC the amount of USD 6,339,600.00 for value 26 November 2012</w:t>
      </w:r>
    </w:p>
    <w:p>
      <w:pPr>
        <w:spacing w:after="0" w:line="79" w:lineRule="exact"/>
        <w:rPr>
          <w:sz w:val="20"/>
          <w:szCs w:val="20"/>
          <w:color w:val="auto"/>
        </w:rPr>
      </w:pPr>
    </w:p>
    <w:p>
      <w:pPr>
        <w:sectPr>
          <w:pgSz w:w="11900" w:h="16838" w:orient="portrait"/>
          <w:cols w:equalWidth="0" w:num="2">
            <w:col w:w="1460" w:space="720"/>
            <w:col w:w="924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Other Provisions: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543560</wp:posOffset>
            </wp:positionV>
            <wp:extent cx="125222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252220" cy="214630"/>
                    </a:xfrm>
                    <a:prstGeom prst="rect">
                      <a:avLst/>
                    </a:prstGeom>
                    <a:noFill/>
                  </pic:spPr>
                </pic:pic>
              </a:graphicData>
            </a:graphic>
          </wp:anchor>
        </w:drawing>
        <w:t>Confirmation: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confirm that the foregoing correctly sets forth the terms of our agreement by executing a copy of this Confirmation, our Reference No. HR6K9, and returning it to us by sending to us a facsimile substantially similar to this facsimile which sets forth the material terms of the Transaction to which this Confirmation relates and indicates agreement to those terms.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are delighted to have executed this Transaction with you and look forward to working with you again.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Yours sincerely,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CAPITAL SERVICES LLC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Flowerdew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Flowerdew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-121920</wp:posOffset>
            </wp:positionV>
            <wp:extent cx="26587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Vice President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National Cinemedia, Inc., its manager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Gary W. Ferrera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-121920</wp:posOffset>
            </wp:positionV>
            <wp:extent cx="26587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EVP/CFO</w:t>
      </w:r>
    </w:p>
    <w:p>
      <w:pPr>
        <w:sectPr>
          <w:pgSz w:w="11900" w:h="16838" w:orient="portrait"/>
          <w:cols w:equalWidth="0" w:num="1">
            <w:col w:w="10880"/>
          </w:cols>
          <w:pgMar w:left="240" w:top="1341" w:right="779" w:bottom="1440" w:gutter="0" w:footer="0" w:header="0"/>
        </w:sectPr>
      </w:pPr>
    </w:p>
    <w:bookmarkStart w:id="115" w:name="page116"/>
    <w:bookmarkEnd w:id="115"/>
    <w:p>
      <w:pPr>
        <w:ind w:left="10300"/>
        <w:spacing w:after="0"/>
        <w:rPr>
          <w:sz w:val="20"/>
          <w:szCs w:val="20"/>
          <w:color w:val="auto"/>
        </w:rPr>
      </w:pPr>
      <w:r>
        <w:rPr>
          <w:rFonts w:ascii="Arial" w:cs="Arial" w:eastAsia="Arial" w:hAnsi="Arial"/>
          <w:sz w:val="16"/>
          <w:szCs w:val="16"/>
          <w:b w:val="1"/>
          <w:bCs w:val="1"/>
          <w:color w:val="auto"/>
        </w:rPr>
        <w:t>Exhibit 10.27.2</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CREDIT SUISSE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95045" cy="248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95045" cy="24892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One Cabot Square,</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London E14 4QJ</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Telephone: 020 7888 8888 www.credit-suisse.com</w:t>
      </w:r>
    </w:p>
    <w:p>
      <w:pPr>
        <w:spacing w:after="0" w:line="200" w:lineRule="exact"/>
        <w:rPr>
          <w:sz w:val="20"/>
          <w:szCs w:val="20"/>
          <w:color w:val="auto"/>
        </w:rPr>
      </w:pPr>
    </w:p>
    <w:p>
      <w:pPr>
        <w:sectPr>
          <w:pgSz w:w="11900" w:h="16838" w:orient="portrait"/>
          <w:cols w:equalWidth="0" w:num="2">
            <w:col w:w="8200" w:space="720"/>
            <w:col w:w="2500"/>
          </w:cols>
          <w:pgMar w:left="240" w:top="125" w:right="23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Email Cover Sheet</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National Cinemedia, LLC</w:t>
      </w:r>
    </w:p>
    <w:p>
      <w:pPr>
        <w:spacing w:after="0" w:line="140" w:lineRule="exact"/>
        <w:rPr>
          <w:sz w:val="20"/>
          <w:szCs w:val="20"/>
          <w:color w:val="auto"/>
        </w:rPr>
      </w:pPr>
    </w:p>
    <w:p>
      <w:pPr>
        <w:sectPr>
          <w:pgSz w:w="11900" w:h="16838" w:orient="portrait"/>
          <w:cols w:equalWidth="0" w:num="2">
            <w:col w:w="1800" w:space="720"/>
            <w:col w:w="89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David.oddo@ncm.com; Jonnathan.Rugama@ncm.com</w:t>
      </w:r>
    </w:p>
    <w:p>
      <w:pPr>
        <w:spacing w:after="0" w:line="151" w:lineRule="exact"/>
        <w:rPr>
          <w:sz w:val="20"/>
          <w:szCs w:val="20"/>
          <w:color w:val="auto"/>
        </w:rPr>
      </w:pPr>
    </w:p>
    <w:p>
      <w:pPr>
        <w:sectPr>
          <w:pgSz w:w="11900" w:h="16838" w:orient="portrait"/>
          <w:cols w:equalWidth="0" w:num="2">
            <w:col w:w="1800" w:space="720"/>
            <w:col w:w="89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December 2012</w:t>
      </w:r>
    </w:p>
    <w:p>
      <w:pPr>
        <w:spacing w:after="0" w:line="152" w:lineRule="exact"/>
        <w:rPr>
          <w:sz w:val="20"/>
          <w:szCs w:val="20"/>
          <w:color w:val="auto"/>
        </w:rPr>
      </w:pPr>
    </w:p>
    <w:p>
      <w:pPr>
        <w:sectPr>
          <w:pgSz w:w="11900" w:h="16838" w:orient="portrait"/>
          <w:cols w:equalWidth="0" w:num="2">
            <w:col w:w="1800" w:space="720"/>
            <w:col w:w="89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Our Reference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External ID: 53199051 - 20 / Risk ID: 447706276</w:t>
      </w:r>
    </w:p>
    <w:p>
      <w:pPr>
        <w:spacing w:after="0" w:line="194" w:lineRule="exact"/>
        <w:rPr>
          <w:sz w:val="20"/>
          <w:szCs w:val="20"/>
          <w:color w:val="auto"/>
        </w:rPr>
      </w:pPr>
    </w:p>
    <w:p>
      <w:pPr>
        <w:sectPr>
          <w:pgSz w:w="11900" w:h="16838" w:orient="portrait"/>
          <w:cols w:equalWidth="0" w:num="2">
            <w:col w:w="1800" w:space="720"/>
            <w:col w:w="890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Please find attached documentation in respect of transaction(s) entered into between us.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requested therein, please arrange for the documentation to be signed by your authorised signatories and return a signed copy to the facsimile number or email address detailed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Incoming Hotline Number:</w:t>
            </w:r>
          </w:p>
        </w:tc>
        <w:tc>
          <w:tcPr>
            <w:tcW w:w="1160" w:type="dxa"/>
            <w:vAlign w:val="bottom"/>
          </w:tcPr>
          <w:p>
            <w:pPr>
              <w:ind w:left="960"/>
              <w:spacing w:after="0"/>
              <w:rPr>
                <w:sz w:val="20"/>
                <w:szCs w:val="20"/>
                <w:color w:val="auto"/>
              </w:rPr>
            </w:pPr>
            <w:r>
              <w:rPr>
                <w:rFonts w:ascii="Arial" w:cs="Arial" w:eastAsia="Arial" w:hAnsi="Arial"/>
                <w:sz w:val="18"/>
                <w:szCs w:val="18"/>
                <w:color w:val="auto"/>
                <w:w w:val="87"/>
              </w:rPr>
              <w:t>+1</w:t>
            </w:r>
          </w:p>
        </w:tc>
        <w:tc>
          <w:tcPr>
            <w:tcW w:w="2260" w:type="dxa"/>
            <w:vAlign w:val="bottom"/>
          </w:tcPr>
          <w:p>
            <w:pPr>
              <w:ind w:left="20"/>
              <w:spacing w:after="0"/>
              <w:rPr>
                <w:sz w:val="20"/>
                <w:szCs w:val="20"/>
                <w:color w:val="auto"/>
              </w:rPr>
            </w:pPr>
            <w:r>
              <w:rPr>
                <w:rFonts w:ascii="Arial" w:cs="Arial" w:eastAsia="Arial" w:hAnsi="Arial"/>
                <w:sz w:val="18"/>
                <w:szCs w:val="18"/>
                <w:color w:val="auto"/>
              </w:rPr>
              <w:t>(919) 994-4800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Incoming Group Email Address:</w:t>
            </w:r>
          </w:p>
        </w:tc>
        <w:tc>
          <w:tcPr>
            <w:tcW w:w="3420" w:type="dxa"/>
            <w:vAlign w:val="bottom"/>
            <w:gridSpan w:val="2"/>
          </w:tcPr>
          <w:p>
            <w:pPr>
              <w:ind w:left="960"/>
              <w:spacing w:after="0"/>
              <w:rPr>
                <w:sz w:val="20"/>
                <w:szCs w:val="20"/>
                <w:color w:val="auto"/>
              </w:rPr>
            </w:pPr>
            <w:r>
              <w:rPr>
                <w:rFonts w:ascii="Arial" w:cs="Arial" w:eastAsia="Arial" w:hAnsi="Arial"/>
                <w:sz w:val="18"/>
                <w:szCs w:val="18"/>
                <w:color w:val="auto"/>
                <w:w w:val="87"/>
              </w:rPr>
              <w:t>list.gbc-in-docs@credit-suisse.com</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Return Confirmations to Facsimile Number:</w:t>
            </w:r>
          </w:p>
        </w:tc>
        <w:tc>
          <w:tcPr>
            <w:tcW w:w="1160" w:type="dxa"/>
            <w:vAlign w:val="bottom"/>
          </w:tcPr>
          <w:p>
            <w:pPr>
              <w:ind w:left="960"/>
              <w:spacing w:after="0"/>
              <w:rPr>
                <w:sz w:val="20"/>
                <w:szCs w:val="20"/>
                <w:color w:val="auto"/>
              </w:rPr>
            </w:pPr>
            <w:r>
              <w:rPr>
                <w:rFonts w:ascii="Arial" w:cs="Arial" w:eastAsia="Arial" w:hAnsi="Arial"/>
                <w:sz w:val="18"/>
                <w:szCs w:val="18"/>
                <w:color w:val="auto"/>
                <w:w w:val="87"/>
              </w:rPr>
              <w:t>+1</w:t>
            </w:r>
          </w:p>
        </w:tc>
        <w:tc>
          <w:tcPr>
            <w:tcW w:w="2260" w:type="dxa"/>
            <w:vAlign w:val="bottom"/>
          </w:tcPr>
          <w:p>
            <w:pPr>
              <w:ind w:left="20"/>
              <w:spacing w:after="0"/>
              <w:rPr>
                <w:sz w:val="20"/>
                <w:szCs w:val="20"/>
                <w:color w:val="auto"/>
              </w:rPr>
            </w:pPr>
            <w:r>
              <w:rPr>
                <w:rFonts w:ascii="Arial" w:cs="Arial" w:eastAsia="Arial" w:hAnsi="Arial"/>
                <w:sz w:val="18"/>
                <w:szCs w:val="18"/>
                <w:color w:val="auto"/>
              </w:rPr>
              <w:t>(212)322-0159</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delighted to have entered into this transaction with you.</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CONFIDENTIALITY NOTICE: The information contained in and accompanying this facsimile cover sheet is strictly confidential and intended solely for the use of the addressee(s) named above. If you are not a named addressee (or a person responsible for delivering this facsimile to a named addressee), you are hereby notified that any review, distribution or copying of this facsimile is strictly prohibited. If you have received this facsimile in error, please notify the sender immediately by telephone at the number set forth above and destroy this facsimile. Thank you.</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ind w:left="6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995045" cy="248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95045" cy="24892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194"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One Cabot Square,</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London E14 4QJ</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Telephone: 020 7888 8888 www.credit-suisse.com</w:t>
      </w:r>
    </w:p>
    <w:p>
      <w:pPr>
        <w:spacing w:after="0" w:line="200" w:lineRule="exact"/>
        <w:rPr>
          <w:sz w:val="20"/>
          <w:szCs w:val="20"/>
          <w:color w:val="auto"/>
        </w:rPr>
      </w:pPr>
    </w:p>
    <w:p>
      <w:pPr>
        <w:sectPr>
          <w:pgSz w:w="11900" w:h="16838" w:orient="portrait"/>
          <w:cols w:equalWidth="0" w:num="2">
            <w:col w:w="8200" w:space="720"/>
            <w:col w:w="2500"/>
          </w:cols>
          <w:pgMar w:left="240" w:top="280" w:right="23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 CANCELLATION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External ID: 53199051</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letter agreement (hereinafter referred to as the “Cancellation Agreement”), dated as of 13 December 2012, is made between Credit Suisse International (“CSIN”) and National Cinemedia, LLC (“Counterparty”) and supplements the 1992 ISDA Master Agreement (Cross Border) dated as of 02 March 2007 between CSIN and Counterparty.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Confirmation amends, restates and supersedes in its entirety all Confirmations dated prior to the date hereof in respect of this Transaction.</w:t>
      </w:r>
    </w:p>
    <w:p>
      <w:pPr>
        <w:spacing w:after="0" w:line="20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WHEREAS CSIN and Counterparty entered into a Transaction with a CSIN Reference No. of 53199051, a Trade Date of 02 March 2007, and a Termination Date of 13 February 2015;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subject to the terms and provisions hereof, CSIN and Counterparty wish to cancel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premises herein, CSIN and Counterparty agreed on 26 November 2012 the following:</w:t>
      </w:r>
    </w:p>
    <w:p>
      <w:pPr>
        <w:spacing w:after="0" w:line="90" w:lineRule="exact"/>
        <w:rPr>
          <w:sz w:val="20"/>
          <w:szCs w:val="20"/>
          <w:color w:val="auto"/>
        </w:rPr>
      </w:pPr>
    </w:p>
    <w:p>
      <w:pPr>
        <w:ind w:left="460" w:right="60" w:hanging="452"/>
        <w:spacing w:after="0" w:line="30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Transaction shall be terminated and cancelled with effect from, and including, 26 November 2012 (the “Cancellation Date”) and all rights, duties, claims and obligations of CSIN and Counterparty thereunder shall be released and discharged with effect from and including the Cancellation Date without prejudice to any such rights, duties, claims and obligations which arose prior to the Cancellation Date.</w:t>
      </w:r>
    </w:p>
    <w:p>
      <w:pPr>
        <w:spacing w:after="0" w:line="25" w:lineRule="exact"/>
        <w:rPr>
          <w:rFonts w:ascii="Arial" w:cs="Arial" w:eastAsia="Arial" w:hAnsi="Arial"/>
          <w:sz w:val="16"/>
          <w:szCs w:val="16"/>
          <w:color w:val="auto"/>
        </w:rPr>
      </w:pPr>
    </w:p>
    <w:p>
      <w:pPr>
        <w:ind w:left="460" w:right="9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consideration of the cancellation of the Transaction herein agreed to, Counterparty has paid to CSIN the sum of USD 6,339,600.00 for value 26 November 2012.</w:t>
      </w:r>
    </w:p>
    <w:p>
      <w:pPr>
        <w:spacing w:after="0" w:line="5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Cancellation Agreement may be executed in two or more counterparts, each of which shall be deemed to be an original and all of which shall be deemed to be one and the same instrument.</w:t>
      </w:r>
    </w:p>
    <w:p>
      <w:pPr>
        <w:spacing w:after="0" w:line="50"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party represents to the other that it has entered into this Transaction, that it is acting for its own account, and it has made its own independent decisions to enter into that Transaction and as to whether that 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shall not be considered investment advice or a recommendation to enter into that Transaction. No communication (written or oral) received from the other party shall be deemed to be an assurance or guarantee as to the expected results of that Transaction.</w:t>
      </w:r>
    </w:p>
    <w:p>
      <w:pPr>
        <w:sectPr>
          <w:pgSz w:w="11900" w:h="16838" w:orient="portrait"/>
          <w:cols w:equalWidth="0" w:num="1">
            <w:col w:w="11420"/>
          </w:cols>
          <w:pgMar w:left="240" w:top="280" w:right="239" w:bottom="1440" w:gutter="0" w:footer="0" w:header="0"/>
          <w:type w:val="continuous"/>
        </w:sectPr>
      </w:pPr>
    </w:p>
    <w:bookmarkStart w:id="117" w:name="page118"/>
    <w:bookmarkEnd w:id="1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995045" cy="2489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995045" cy="248920"/>
                    </a:xfrm>
                    <a:prstGeom prst="rect">
                      <a:avLst/>
                    </a:prstGeom>
                    <a:noFill/>
                  </pic:spPr>
                </pic:pic>
              </a:graphicData>
            </a:graphic>
          </wp:anchor>
        </w:drawing>
        <w:t>Credit Suisse International is authorised and regulated by the Financial Services Authority and has entered into this transaction as principal. The time at which the above transaction was executed will be notified to Counterparty on request.</w:t>
      </w:r>
    </w:p>
    <w:p>
      <w:pPr>
        <w:sectPr>
          <w:pgSz w:w="11900" w:h="16838" w:orient="portrait"/>
          <w:cols w:equalWidth="0" w:num="1">
            <w:col w:w="11400"/>
          </w:cols>
          <w:pgMar w:left="240" w:top="1401" w:right="25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995045" cy="248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995045" cy="248920"/>
                    </a:xfrm>
                    <a:prstGeom prst="rect">
                      <a:avLst/>
                    </a:prstGeom>
                    <a:noFill/>
                  </pic:spPr>
                </pic:pic>
              </a:graphicData>
            </a:graphic>
          </wp:anchor>
        </w:drawing>
        <w:t>Please confirm that the foregoing correctly sets forth the terms of our agreement by signing and returning this Confirmation.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Credit Suisse International</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19685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 Long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Vice President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19685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Gary W. Ferrera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EVP/CFO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Reference Number: External ID: 53199051 - 20 / Risk ID: 447706276</w:t>
      </w:r>
    </w:p>
    <w:p>
      <w:pPr>
        <w:sectPr>
          <w:pgSz w:w="11900" w:h="16838" w:orient="portrait"/>
          <w:cols w:equalWidth="0" w:num="1">
            <w:col w:w="10219"/>
          </w:cols>
          <w:pgMar w:left="240" w:top="1401"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995045" cy="2489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995045" cy="248920"/>
                    </a:xfrm>
                    <a:prstGeom prst="rect">
                      <a:avLst/>
                    </a:prstGeom>
                    <a:noFill/>
                  </pic:spPr>
                </pic:pic>
              </a:graphicData>
            </a:graphic>
          </wp:anchor>
        </w:drawing>
        <w:t>Registered Office as above.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Registered with unlimited liability in England under No.: 2500199.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Authorised and Regulated by the Financial Services Authority.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VAT No.: GB 447 0737 41.</w:t>
      </w:r>
    </w:p>
    <w:p>
      <w:pPr>
        <w:sectPr>
          <w:pgSz w:w="11900" w:h="16838" w:orient="portrait"/>
          <w:cols w:equalWidth="0" w:num="1">
            <w:col w:w="10220"/>
          </w:cols>
          <w:pgMar w:left="1440" w:top="140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143510</wp:posOffset>
            </wp:positionV>
            <wp:extent cx="892175"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9217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USA</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 January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Termination of a Rate Swap Transaction – AMENDMENT</w:t>
      </w:r>
    </w:p>
    <w:p>
      <w:pPr>
        <w:spacing w:after="0" w:line="9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This Confirmation represents an amendment and restatement of any prior documents or other confirming communications between the parties with respect to the Transaction.</w:t>
      </w:r>
    </w:p>
    <w:p>
      <w:pPr>
        <w:spacing w:after="0" w:line="12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purpose of this letter (“this Confirmation”) is to confirm the total termination of the Swap Transaction entered into between: JPMorgan Chase Bank, N.A. (“JPMorgan”) and NATIONAL CINEMEDIA, LLC (the “Counterparty”)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particular Swap Transaction to which this Confirmation relates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ORIGINAL TRANSACTION DETAILS</w:t>
            </w:r>
          </w:p>
        </w:tc>
        <w:tc>
          <w:tcPr>
            <w:tcW w:w="10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JPMorgan Deal Number:</w:t>
            </w: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6900033659368</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Notional Amount:</w:t>
            </w: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USD 56,250,000.00</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Trade Date:</w:t>
            </w:r>
          </w:p>
        </w:tc>
        <w:tc>
          <w:tcPr>
            <w:tcW w:w="1020" w:type="dxa"/>
            <w:vAlign w:val="bottom"/>
          </w:tcPr>
          <w:p>
            <w:pPr>
              <w:ind w:left="820"/>
              <w:spacing w:after="0"/>
              <w:rPr>
                <w:sz w:val="20"/>
                <w:szCs w:val="20"/>
                <w:color w:val="auto"/>
              </w:rPr>
            </w:pPr>
            <w:r>
              <w:rPr>
                <w:rFonts w:ascii="Arial" w:cs="Arial" w:eastAsia="Arial" w:hAnsi="Arial"/>
                <w:sz w:val="18"/>
                <w:szCs w:val="18"/>
                <w:color w:val="auto"/>
                <w:w w:val="89"/>
              </w:rPr>
              <w:t>02</w:t>
            </w:r>
          </w:p>
        </w:tc>
        <w:tc>
          <w:tcPr>
            <w:tcW w:w="6380" w:type="dxa"/>
            <w:vAlign w:val="bottom"/>
          </w:tcPr>
          <w:p>
            <w:pPr>
              <w:ind w:left="20"/>
              <w:spacing w:after="0"/>
              <w:rPr>
                <w:sz w:val="20"/>
                <w:szCs w:val="20"/>
                <w:color w:val="auto"/>
              </w:rPr>
            </w:pPr>
            <w:r>
              <w:rPr>
                <w:rFonts w:ascii="Arial" w:cs="Arial" w:eastAsia="Arial" w:hAnsi="Arial"/>
                <w:sz w:val="18"/>
                <w:szCs w:val="18"/>
                <w:color w:val="auto"/>
              </w:rPr>
              <w:t>March 2007</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Effective Date:</w:t>
            </w:r>
          </w:p>
        </w:tc>
        <w:tc>
          <w:tcPr>
            <w:tcW w:w="1020" w:type="dxa"/>
            <w:vAlign w:val="bottom"/>
          </w:tcPr>
          <w:p>
            <w:pPr>
              <w:ind w:left="820"/>
              <w:spacing w:after="0"/>
              <w:rPr>
                <w:sz w:val="20"/>
                <w:szCs w:val="20"/>
                <w:color w:val="auto"/>
              </w:rPr>
            </w:pPr>
            <w:r>
              <w:rPr>
                <w:rFonts w:ascii="Arial" w:cs="Arial" w:eastAsia="Arial" w:hAnsi="Arial"/>
                <w:sz w:val="18"/>
                <w:szCs w:val="18"/>
                <w:color w:val="auto"/>
                <w:w w:val="89"/>
              </w:rPr>
              <w:t>13</w:t>
            </w:r>
          </w:p>
        </w:tc>
        <w:tc>
          <w:tcPr>
            <w:tcW w:w="6380" w:type="dxa"/>
            <w:vAlign w:val="bottom"/>
          </w:tcPr>
          <w:p>
            <w:pPr>
              <w:ind w:left="20"/>
              <w:spacing w:after="0"/>
              <w:rPr>
                <w:sz w:val="20"/>
                <w:szCs w:val="20"/>
                <w:color w:val="auto"/>
              </w:rPr>
            </w:pPr>
            <w:r>
              <w:rPr>
                <w:rFonts w:ascii="Arial" w:cs="Arial" w:eastAsia="Arial" w:hAnsi="Arial"/>
                <w:sz w:val="18"/>
                <w:szCs w:val="18"/>
                <w:color w:val="auto"/>
              </w:rPr>
              <w:t>March 2007</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Termination Date:</w:t>
            </w:r>
          </w:p>
        </w:tc>
        <w:tc>
          <w:tcPr>
            <w:tcW w:w="1020" w:type="dxa"/>
            <w:vAlign w:val="bottom"/>
          </w:tcPr>
          <w:p>
            <w:pPr>
              <w:ind w:left="820"/>
              <w:spacing w:after="0"/>
              <w:rPr>
                <w:sz w:val="20"/>
                <w:szCs w:val="20"/>
                <w:color w:val="auto"/>
              </w:rPr>
            </w:pPr>
            <w:r>
              <w:rPr>
                <w:rFonts w:ascii="Arial" w:cs="Arial" w:eastAsia="Arial" w:hAnsi="Arial"/>
                <w:sz w:val="18"/>
                <w:szCs w:val="18"/>
                <w:color w:val="auto"/>
                <w:w w:val="89"/>
              </w:rPr>
              <w:t>13</w:t>
            </w:r>
          </w:p>
        </w:tc>
        <w:tc>
          <w:tcPr>
            <w:tcW w:w="6380" w:type="dxa"/>
            <w:vAlign w:val="bottom"/>
          </w:tcPr>
          <w:p>
            <w:pPr>
              <w:ind w:left="20"/>
              <w:spacing w:after="0"/>
              <w:rPr>
                <w:sz w:val="20"/>
                <w:szCs w:val="20"/>
                <w:color w:val="auto"/>
              </w:rPr>
            </w:pPr>
            <w:r>
              <w:rPr>
                <w:rFonts w:ascii="Arial" w:cs="Arial" w:eastAsia="Arial" w:hAnsi="Arial"/>
                <w:sz w:val="18"/>
                <w:szCs w:val="18"/>
                <w:color w:val="auto"/>
                <w:w w:val="88"/>
              </w:rPr>
              <w:t>February 2015, subject to adjustment in accordance with the Modified Following Business</w:t>
            </w:r>
          </w:p>
        </w:tc>
      </w:tr>
    </w:tbl>
    <w:p>
      <w:pPr>
        <w:jc w:val="center"/>
        <w:ind w:right="840"/>
        <w:spacing w:after="0"/>
        <w:rPr>
          <w:sz w:val="20"/>
          <w:szCs w:val="20"/>
          <w:color w:val="auto"/>
        </w:rPr>
      </w:pPr>
      <w:r>
        <w:rPr>
          <w:rFonts w:ascii="Arial" w:cs="Arial" w:eastAsia="Arial" w:hAnsi="Arial"/>
          <w:sz w:val="18"/>
          <w:szCs w:val="18"/>
          <w:color w:val="auto"/>
        </w:rPr>
        <w:t>Day Convention.</w:t>
      </w:r>
    </w:p>
    <w:p>
      <w:pPr>
        <w:spacing w:after="0" w:line="11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It is agreed between the parties that on the Termination Trade Date, the rights, obligations and liabilities of JPMorgan and the Counterparty under the Swap Transaction shall be terminated and discharged with effect from the Termination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and discharge shall not affect any rights, liabilities or obligations of JPMorgan or the Counterparty with respect to payments or other obligations due and payable or due to be performed on or prior to the Termination Effective Date.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Termination Trade Date:</w:t>
            </w:r>
          </w:p>
        </w:tc>
        <w:tc>
          <w:tcPr>
            <w:tcW w:w="5760" w:type="dxa"/>
            <w:vAlign w:val="bottom"/>
          </w:tcPr>
          <w:p>
            <w:pPr>
              <w:ind w:left="460"/>
              <w:spacing w:after="0"/>
              <w:rPr>
                <w:sz w:val="20"/>
                <w:szCs w:val="20"/>
                <w:color w:val="auto"/>
              </w:rPr>
            </w:pPr>
            <w:r>
              <w:rPr>
                <w:rFonts w:ascii="Arial" w:cs="Arial" w:eastAsia="Arial" w:hAnsi="Arial"/>
                <w:sz w:val="18"/>
                <w:szCs w:val="18"/>
                <w:color w:val="auto"/>
              </w:rPr>
              <w:t>26 November 2012</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rPr>
              <w:t>Termination Effective Date:</w:t>
            </w:r>
          </w:p>
        </w:tc>
        <w:tc>
          <w:tcPr>
            <w:tcW w:w="5760" w:type="dxa"/>
            <w:vAlign w:val="bottom"/>
          </w:tcPr>
          <w:p>
            <w:pPr>
              <w:ind w:left="460"/>
              <w:spacing w:after="0"/>
              <w:rPr>
                <w:sz w:val="20"/>
                <w:szCs w:val="20"/>
                <w:color w:val="auto"/>
              </w:rPr>
            </w:pPr>
            <w:r>
              <w:rPr>
                <w:rFonts w:ascii="Arial" w:cs="Arial" w:eastAsia="Arial" w:hAnsi="Arial"/>
                <w:sz w:val="18"/>
                <w:szCs w:val="18"/>
                <w:color w:val="auto"/>
              </w:rPr>
              <w:t>26 November 2012</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w w:val="99"/>
              </w:rPr>
              <w:t>Counterparty paid Termination Amount to JPMorgan:</w:t>
            </w:r>
          </w:p>
        </w:tc>
        <w:tc>
          <w:tcPr>
            <w:tcW w:w="5760" w:type="dxa"/>
            <w:vAlign w:val="bottom"/>
          </w:tcPr>
          <w:p>
            <w:pPr>
              <w:ind w:left="460"/>
              <w:spacing w:after="0"/>
              <w:rPr>
                <w:sz w:val="20"/>
                <w:szCs w:val="20"/>
                <w:color w:val="auto"/>
              </w:rPr>
            </w:pPr>
            <w:r>
              <w:rPr>
                <w:rFonts w:ascii="Arial" w:cs="Arial" w:eastAsia="Arial" w:hAnsi="Arial"/>
                <w:sz w:val="18"/>
                <w:szCs w:val="18"/>
                <w:color w:val="auto"/>
                <w:w w:val="99"/>
              </w:rPr>
              <w:t>USD 6,339,600.00 paid on the Termination Amount Payment Date</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rPr>
              <w:t>Termination Amount Payment Date:</w:t>
            </w:r>
          </w:p>
        </w:tc>
        <w:tc>
          <w:tcPr>
            <w:tcW w:w="5760" w:type="dxa"/>
            <w:vAlign w:val="bottom"/>
          </w:tcPr>
          <w:p>
            <w:pPr>
              <w:ind w:left="460"/>
              <w:spacing w:after="0"/>
              <w:rPr>
                <w:sz w:val="20"/>
                <w:szCs w:val="20"/>
                <w:color w:val="auto"/>
              </w:rPr>
            </w:pPr>
            <w:r>
              <w:rPr>
                <w:rFonts w:ascii="Arial" w:cs="Arial" w:eastAsia="Arial" w:hAnsi="Arial"/>
                <w:sz w:val="18"/>
                <w:szCs w:val="18"/>
                <w:color w:val="auto"/>
              </w:rPr>
              <w:t>26 November 2012</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40" w:type="dxa"/>
            <w:vAlign w:val="bottom"/>
          </w:tcPr>
          <w:p>
            <w:pPr>
              <w:spacing w:after="0"/>
              <w:rPr>
                <w:sz w:val="20"/>
                <w:szCs w:val="20"/>
                <w:color w:val="auto"/>
              </w:rPr>
            </w:pPr>
            <w:r>
              <w:rPr>
                <w:rFonts w:ascii="Arial" w:cs="Arial" w:eastAsia="Arial" w:hAnsi="Arial"/>
                <w:sz w:val="18"/>
                <w:szCs w:val="18"/>
                <w:b w:val="1"/>
                <w:bCs w:val="1"/>
                <w:color w:val="auto"/>
              </w:rPr>
              <w:t>ACCOUNT DETAILS</w:t>
            </w:r>
          </w:p>
        </w:tc>
        <w:tc>
          <w:tcPr>
            <w:tcW w:w="5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rPr>
              <w:t>Payments to JPMorgan:</w:t>
            </w:r>
          </w:p>
        </w:tc>
        <w:tc>
          <w:tcPr>
            <w:tcW w:w="5760" w:type="dxa"/>
            <w:vAlign w:val="bottom"/>
          </w:tcPr>
          <w:p>
            <w:pPr>
              <w:ind w:left="460"/>
              <w:spacing w:after="0"/>
              <w:rPr>
                <w:sz w:val="20"/>
                <w:szCs w:val="20"/>
                <w:color w:val="auto"/>
              </w:rPr>
            </w:pPr>
            <w:r>
              <w:rPr>
                <w:rFonts w:ascii="Arial" w:cs="Arial" w:eastAsia="Arial" w:hAnsi="Arial"/>
                <w:sz w:val="18"/>
                <w:szCs w:val="18"/>
                <w:color w:val="auto"/>
              </w:rPr>
              <w:t>As per our standard settlement instructions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40" w:type="dxa"/>
            <w:vAlign w:val="bottom"/>
          </w:tcPr>
          <w:p>
            <w:pPr>
              <w:spacing w:after="0"/>
              <w:rPr>
                <w:sz w:val="20"/>
                <w:szCs w:val="20"/>
                <w:color w:val="auto"/>
              </w:rPr>
            </w:pPr>
            <w:r>
              <w:rPr>
                <w:rFonts w:ascii="Arial" w:cs="Arial" w:eastAsia="Arial" w:hAnsi="Arial"/>
                <w:sz w:val="18"/>
                <w:szCs w:val="18"/>
                <w:color w:val="auto"/>
              </w:rPr>
              <w:t>Payments to Counterparty:</w:t>
            </w:r>
          </w:p>
        </w:tc>
        <w:tc>
          <w:tcPr>
            <w:tcW w:w="5760" w:type="dxa"/>
            <w:vAlign w:val="bottom"/>
          </w:tcPr>
          <w:p>
            <w:pPr>
              <w:ind w:left="460"/>
              <w:spacing w:after="0"/>
              <w:rPr>
                <w:sz w:val="20"/>
                <w:szCs w:val="20"/>
                <w:color w:val="auto"/>
              </w:rPr>
            </w:pPr>
            <w:r>
              <w:rPr>
                <w:rFonts w:ascii="Arial" w:cs="Arial" w:eastAsia="Arial" w:hAnsi="Arial"/>
                <w:sz w:val="18"/>
                <w:szCs w:val="18"/>
                <w:color w:val="auto"/>
              </w:rPr>
              <w:t>As per your standard settlement instructions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424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440" w:type="dxa"/>
            <w:vAlign w:val="bottom"/>
            <w:gridSpan w:val="2"/>
          </w:tcPr>
          <w:p>
            <w:pPr>
              <w:spacing w:after="0"/>
              <w:rPr>
                <w:sz w:val="13"/>
                <w:szCs w:val="13"/>
                <w:color w:val="auto"/>
              </w:rPr>
            </w:pPr>
          </w:p>
        </w:tc>
      </w:tr>
      <w:tr>
        <w:trPr>
          <w:trHeight w:val="228"/>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Our Ref: 6900033659368</w:t>
            </w:r>
          </w:p>
        </w:tc>
        <w:tc>
          <w:tcPr>
            <w:tcW w:w="57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Sent: 9 January 2013 21:26</w:t>
            </w:r>
          </w:p>
        </w:tc>
        <w:tc>
          <w:tcPr>
            <w:tcW w:w="14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4"/>
              </w:rPr>
              <w:t xml:space="preserve">Page </w:t>
            </w:r>
            <w:r>
              <w:rPr>
                <w:rFonts w:ascii="Arial" w:cs="Arial" w:eastAsia="Arial" w:hAnsi="Arial"/>
                <w:sz w:val="18"/>
                <w:szCs w:val="18"/>
                <w:b w:val="1"/>
                <w:bCs w:val="1"/>
                <w:color w:val="auto"/>
                <w:w w:val="84"/>
              </w:rPr>
              <w:t>1</w:t>
            </w:r>
            <w:r>
              <w:rPr>
                <w:rFonts w:ascii="Arial" w:cs="Arial" w:eastAsia="Arial" w:hAnsi="Arial"/>
                <w:sz w:val="18"/>
                <w:szCs w:val="18"/>
                <w:color w:val="auto"/>
                <w:w w:val="84"/>
              </w:rPr>
              <w:t xml:space="preserve"> of </w:t>
            </w:r>
            <w:r>
              <w:rPr>
                <w:rFonts w:ascii="Arial" w:cs="Arial" w:eastAsia="Arial" w:hAnsi="Arial"/>
                <w:sz w:val="18"/>
                <w:szCs w:val="18"/>
                <w:b w:val="1"/>
                <w:bCs w:val="1"/>
                <w:color w:val="auto"/>
                <w:w w:val="84"/>
              </w:rPr>
              <w:t>3</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543560</wp:posOffset>
            </wp:positionV>
            <wp:extent cx="892175"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892175" cy="197485"/>
                    </a:xfrm>
                    <a:prstGeom prst="rect">
                      <a:avLst/>
                    </a:prstGeom>
                    <a:noFill/>
                  </pic:spPr>
                </pic:pic>
              </a:graphicData>
            </a:graphic>
          </wp:anchor>
        </w:drawing>
        <w:t>Please confirm that the foregoing correctly sets forth the terms of our agreement by executing a copy of this Confirmation and returning it to us or by sending to us a letter, telex or facsimile substantially similar to this letter, which letter, telex or facsimile sets forth the material terms of the Transaction to which this Confirmation relates and indicates agreement to those terms. When referring to this Confirmation, please indicate: JPMorgan Deal Number(s): 6900033659368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Carmine Pilla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Carmine Pilla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 as of the date first written: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W. Ferrera</w:t>
            </w:r>
          </w:p>
        </w:tc>
        <w:tc>
          <w:tcPr>
            <w:tcW w:w="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42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1840" w:type="dxa"/>
            <w:vAlign w:val="bottom"/>
            <w:gridSpan w:val="2"/>
          </w:tcPr>
          <w:p>
            <w:pPr>
              <w:spacing w:after="0" w:line="202" w:lineRule="exact"/>
              <w:rPr>
                <w:sz w:val="20"/>
                <w:szCs w:val="20"/>
                <w:color w:val="auto"/>
              </w:rPr>
            </w:pPr>
            <w:r>
              <w:rPr>
                <w:rFonts w:ascii="Arial" w:cs="Arial" w:eastAsia="Arial" w:hAnsi="Arial"/>
                <w:sz w:val="18"/>
                <w:szCs w:val="18"/>
                <w:color w:val="auto"/>
                <w:w w:val="96"/>
              </w:rPr>
              <w:t>Name: Gary W. Ferrera</w:t>
            </w:r>
          </w:p>
        </w:tc>
        <w:tc>
          <w:tcPr>
            <w:tcW w:w="4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Title: EVP/CFO</w:t>
            </w:r>
          </w:p>
        </w:tc>
        <w:tc>
          <w:tcPr>
            <w:tcW w:w="2740" w:type="dxa"/>
            <w:vAlign w:val="bottom"/>
            <w:gridSpan w:val="2"/>
          </w:tcPr>
          <w:p>
            <w:pPr>
              <w:jc w:val="right"/>
              <w:ind w:right="2200"/>
              <w:spacing w:after="0"/>
              <w:rPr>
                <w:sz w:val="20"/>
                <w:szCs w:val="20"/>
                <w:color w:val="auto"/>
              </w:rPr>
            </w:pPr>
            <w:r>
              <w:rPr>
                <w:rFonts w:ascii="Arial" w:cs="Arial" w:eastAsia="Arial" w:hAnsi="Arial"/>
                <w:sz w:val="18"/>
                <w:szCs w:val="18"/>
                <w:color w:val="auto"/>
                <w:w w:val="86"/>
              </w:rPr>
              <w:t>1/11/13</w:t>
            </w:r>
          </w:p>
        </w:tc>
        <w:tc>
          <w:tcPr>
            <w:tcW w:w="42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1840" w:type="dxa"/>
            <w:vAlign w:val="bottom"/>
            <w:gridSpan w:val="2"/>
          </w:tcPr>
          <w:p>
            <w:pPr>
              <w:spacing w:after="0"/>
              <w:rPr>
                <w:sz w:val="20"/>
                <w:szCs w:val="20"/>
                <w:color w:val="auto"/>
              </w:rPr>
            </w:pPr>
            <w:r>
              <w:rPr>
                <w:rFonts w:ascii="Arial" w:cs="Arial" w:eastAsia="Arial" w:hAnsi="Arial"/>
                <w:sz w:val="18"/>
                <w:szCs w:val="18"/>
                <w:color w:val="auto"/>
                <w:w w:val="95"/>
              </w:rPr>
              <w:t>Your reference number:</w:t>
            </w:r>
          </w:p>
        </w:tc>
        <w:tc>
          <w:tcPr>
            <w:tcW w:w="40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184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660" w:type="dxa"/>
            <w:vAlign w:val="bottom"/>
            <w:gridSpan w:val="2"/>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Our Ref: 6900033659368</w:t>
            </w:r>
          </w:p>
        </w:tc>
        <w:tc>
          <w:tcPr>
            <w:tcW w:w="40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42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Sent: 9 January 2013 21:26</w:t>
            </w:r>
          </w:p>
        </w:tc>
        <w:tc>
          <w:tcPr>
            <w:tcW w:w="264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w w:val="84"/>
              </w:rPr>
              <w:t xml:space="preserve">Page </w:t>
            </w:r>
            <w:r>
              <w:rPr>
                <w:rFonts w:ascii="Arial" w:cs="Arial" w:eastAsia="Arial" w:hAnsi="Arial"/>
                <w:sz w:val="18"/>
                <w:szCs w:val="18"/>
                <w:b w:val="1"/>
                <w:bCs w:val="1"/>
                <w:color w:val="auto"/>
                <w:w w:val="84"/>
              </w:rPr>
              <w:t>2</w:t>
            </w:r>
            <w:r>
              <w:rPr>
                <w:rFonts w:ascii="Arial" w:cs="Arial" w:eastAsia="Arial" w:hAnsi="Arial"/>
                <w:sz w:val="18"/>
                <w:szCs w:val="18"/>
                <w:color w:val="auto"/>
                <w:w w:val="84"/>
              </w:rPr>
              <w:t xml:space="preserve"> of </w:t>
            </w:r>
            <w:r>
              <w:rPr>
                <w:rFonts w:ascii="Arial" w:cs="Arial" w:eastAsia="Arial" w:hAnsi="Arial"/>
                <w:sz w:val="18"/>
                <w:szCs w:val="18"/>
                <w:b w:val="1"/>
                <w:bCs w:val="1"/>
                <w:color w:val="auto"/>
                <w:w w:val="84"/>
              </w:rPr>
              <w:t>3</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32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543560</wp:posOffset>
            </wp:positionV>
            <wp:extent cx="892175" cy="1974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892175" cy="197485"/>
                    </a:xfrm>
                    <a:prstGeom prst="rect">
                      <a:avLst/>
                    </a:prstGeom>
                    <a:noFill/>
                  </pic:spPr>
                </pic:pic>
              </a:graphicData>
            </a:graphic>
          </wp:anchor>
        </w:drawing>
        <w:t>Client Service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queries regarding confirmations should be sent to: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JPMorgan Chase Bank, N.A.</w:t>
            </w:r>
          </w:p>
        </w:tc>
        <w:tc>
          <w:tcPr>
            <w:tcW w:w="1720" w:type="dxa"/>
            <w:vAlign w:val="bottom"/>
          </w:tcPr>
          <w:p>
            <w:pPr>
              <w:spacing w:after="0"/>
              <w:rPr>
                <w:sz w:val="19"/>
                <w:szCs w:val="19"/>
                <w:color w:val="auto"/>
              </w:rPr>
            </w:pPr>
          </w:p>
        </w:tc>
      </w:tr>
      <w:tr>
        <w:trPr>
          <w:trHeight w:val="286"/>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Contacts</w:t>
            </w: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5"/>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JPMorgan Contact</w:t>
            </w:r>
          </w:p>
        </w:tc>
        <w:tc>
          <w:tcPr>
            <w:tcW w:w="1720" w:type="dxa"/>
            <w:vAlign w:val="bottom"/>
          </w:tcPr>
          <w:p>
            <w:pPr>
              <w:ind w:left="280"/>
              <w:spacing w:after="0"/>
              <w:rPr>
                <w:sz w:val="20"/>
                <w:szCs w:val="20"/>
                <w:color w:val="auto"/>
              </w:rPr>
            </w:pPr>
            <w:r>
              <w:rPr>
                <w:rFonts w:ascii="Arial" w:cs="Arial" w:eastAsia="Arial" w:hAnsi="Arial"/>
                <w:sz w:val="18"/>
                <w:szCs w:val="18"/>
                <w:b w:val="1"/>
                <w:bCs w:val="1"/>
                <w:color w:val="auto"/>
                <w:w w:val="87"/>
              </w:rPr>
              <w:t>Telephone Number</w:t>
            </w:r>
          </w:p>
        </w:tc>
      </w:tr>
      <w:tr>
        <w:trPr>
          <w:trHeight w:val="324"/>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Client Service Group</w:t>
            </w:r>
          </w:p>
        </w:tc>
        <w:tc>
          <w:tcPr>
            <w:tcW w:w="1720" w:type="dxa"/>
            <w:vAlign w:val="bottom"/>
          </w:tcPr>
          <w:p>
            <w:pPr>
              <w:spacing w:after="0"/>
              <w:rPr>
                <w:sz w:val="24"/>
                <w:szCs w:val="24"/>
                <w:color w:val="auto"/>
              </w:rPr>
            </w:pPr>
          </w:p>
        </w:tc>
      </w:tr>
      <w:tr>
        <w:trPr>
          <w:trHeight w:val="31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Group E-mail address:</w:t>
            </w:r>
          </w:p>
        </w:tc>
        <w:tc>
          <w:tcPr>
            <w:tcW w:w="1720" w:type="dxa"/>
            <w:vAlign w:val="bottom"/>
          </w:tcPr>
          <w:p>
            <w:pPr>
              <w:spacing w:after="0"/>
              <w:rPr>
                <w:sz w:val="24"/>
                <w:szCs w:val="24"/>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Facsimile:</w:t>
            </w:r>
          </w:p>
        </w:tc>
        <w:tc>
          <w:tcPr>
            <w:tcW w:w="1720" w:type="dxa"/>
            <w:vAlign w:val="bottom"/>
          </w:tcPr>
          <w:p>
            <w:pPr>
              <w:ind w:left="280"/>
              <w:spacing w:after="0"/>
              <w:rPr>
                <w:sz w:val="20"/>
                <w:szCs w:val="20"/>
                <w:color w:val="auto"/>
              </w:rPr>
            </w:pPr>
            <w:r>
              <w:rPr>
                <w:rFonts w:ascii="Arial" w:cs="Arial" w:eastAsia="Arial" w:hAnsi="Arial"/>
                <w:sz w:val="18"/>
                <w:szCs w:val="18"/>
                <w:b w:val="1"/>
                <w:bCs w:val="1"/>
                <w:color w:val="auto"/>
                <w:w w:val="90"/>
              </w:rPr>
              <w:t>(001) 888 803 3606</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Telex:</w:t>
            </w:r>
          </w:p>
        </w:tc>
        <w:tc>
          <w:tcPr>
            <w:tcW w:w="1720" w:type="dxa"/>
            <w:vAlign w:val="bottom"/>
          </w:tcPr>
          <w:p>
            <w:pPr>
              <w:spacing w:after="0"/>
              <w:rPr>
                <w:sz w:val="18"/>
                <w:szCs w:val="18"/>
                <w:color w:val="auto"/>
              </w:rPr>
            </w:pP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Cable:</w:t>
            </w:r>
          </w:p>
        </w:tc>
        <w:tc>
          <w:tcPr>
            <w:tcW w:w="172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quote the JPMorgan deal number(s): 6900033659368.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5" w:lineRule="exact"/>
        <w:rPr>
          <w:sz w:val="20"/>
          <w:szCs w:val="20"/>
          <w:color w:val="auto"/>
        </w:rPr>
      </w:pPr>
    </w:p>
    <w:p>
      <w:pPr>
        <w:spacing w:after="0"/>
        <w:tabs>
          <w:tab w:leader="none" w:pos="4980" w:val="left"/>
          <w:tab w:leader="none" w:pos="10600" w:val="left"/>
        </w:tabs>
        <w:rPr>
          <w:sz w:val="20"/>
          <w:szCs w:val="20"/>
          <w:color w:val="auto"/>
        </w:rPr>
      </w:pPr>
      <w:r>
        <w:rPr>
          <w:rFonts w:ascii="Arial" w:cs="Arial" w:eastAsia="Arial" w:hAnsi="Arial"/>
          <w:sz w:val="18"/>
          <w:szCs w:val="18"/>
          <w:color w:val="auto"/>
        </w:rPr>
        <w:t>Our Ref: 6900033659368</w:t>
      </w:r>
      <w:r>
        <w:rPr>
          <w:sz w:val="20"/>
          <w:szCs w:val="20"/>
          <w:color w:val="auto"/>
        </w:rPr>
        <w:tab/>
      </w:r>
      <w:r>
        <w:rPr>
          <w:rFonts w:ascii="Arial" w:cs="Arial" w:eastAsia="Arial" w:hAnsi="Arial"/>
          <w:sz w:val="18"/>
          <w:szCs w:val="18"/>
          <w:color w:val="auto"/>
        </w:rPr>
        <w:t>Sent: 9 January 2013 21:26</w:t>
      </w:r>
      <w:r>
        <w:rPr>
          <w:sz w:val="20"/>
          <w:szCs w:val="20"/>
          <w:color w:val="auto"/>
        </w:rPr>
        <w:tab/>
      </w:r>
      <w:r>
        <w:rPr>
          <w:rFonts w:ascii="Arial" w:cs="Arial" w:eastAsia="Arial" w:hAnsi="Arial"/>
          <w:sz w:val="15"/>
          <w:szCs w:val="15"/>
          <w:color w:val="auto"/>
        </w:rPr>
        <w:t xml:space="preserve">Page </w:t>
      </w:r>
      <w:r>
        <w:rPr>
          <w:rFonts w:ascii="Arial" w:cs="Arial" w:eastAsia="Arial" w:hAnsi="Arial"/>
          <w:sz w:val="15"/>
          <w:szCs w:val="15"/>
          <w:b w:val="1"/>
          <w:bCs w:val="1"/>
          <w:color w:val="auto"/>
        </w:rPr>
        <w:t>3</w:t>
      </w:r>
      <w:r>
        <w:rPr>
          <w:rFonts w:ascii="Arial" w:cs="Arial" w:eastAsia="Arial" w:hAnsi="Arial"/>
          <w:sz w:val="15"/>
          <w:szCs w:val="15"/>
          <w:color w:val="auto"/>
        </w:rPr>
        <w:t xml:space="preserve"> of </w:t>
      </w:r>
      <w:r>
        <w:rPr>
          <w:rFonts w:ascii="Arial" w:cs="Arial" w:eastAsia="Arial" w:hAnsi="Arial"/>
          <w:sz w:val="15"/>
          <w:szCs w:val="15"/>
          <w:b w:val="1"/>
          <w:bCs w:val="1"/>
          <w:color w:val="auto"/>
        </w:rPr>
        <w:t>3</w:t>
      </w:r>
    </w:p>
    <w:p>
      <w:pPr>
        <w:sectPr>
          <w:pgSz w:w="11900" w:h="16838" w:orient="portrait"/>
          <w:cols w:equalWidth="0" w:num="1">
            <w:col w:w="11420"/>
          </w:cols>
          <w:pgMar w:left="240" w:top="131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10.37.2</w:t>
      </w:r>
    </w:p>
    <w:p>
      <w:pPr>
        <w:spacing w:after="0" w:line="218"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5 The North Colonnade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355090" cy="283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55090" cy="283210"/>
                    </a:xfrm>
                    <a:prstGeom prst="rect">
                      <a:avLst/>
                    </a:prstGeom>
                    <a:noFill/>
                  </pic:spPr>
                </pic:pic>
              </a:graphicData>
            </a:graphic>
          </wp:anchor>
        </w:drawing>
      </w:r>
    </w:p>
    <w:p>
      <w:pPr>
        <w:ind w:left="8040"/>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E14 4BB</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United Kingdom</w:t>
      </w:r>
    </w:p>
    <w:p>
      <w:pPr>
        <w:spacing w:after="0" w:line="20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Tel: +44 (0)20 7623 23 23</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NATIONAL CINEMEDIA, LLC (the “Counterparty”)</w:t>
      </w:r>
    </w:p>
    <w:p>
      <w:pPr>
        <w:spacing w:after="0" w:line="134" w:lineRule="exact"/>
        <w:rPr>
          <w:sz w:val="20"/>
          <w:szCs w:val="20"/>
          <w:color w:val="auto"/>
        </w:rPr>
      </w:pPr>
    </w:p>
    <w:p>
      <w:pPr>
        <w:sectPr>
          <w:pgSz w:w="11900" w:h="16838" w:orient="portrait"/>
          <w:cols w:equalWidth="0" w:num="2">
            <w:col w:w="1000" w:space="720"/>
            <w:col w:w="97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David Oddo</w:t>
      </w:r>
    </w:p>
    <w:p>
      <w:pPr>
        <w:spacing w:after="0" w:line="134" w:lineRule="exact"/>
        <w:rPr>
          <w:sz w:val="20"/>
          <w:szCs w:val="20"/>
          <w:color w:val="auto"/>
        </w:rPr>
      </w:pPr>
    </w:p>
    <w:p>
      <w:pPr>
        <w:sectPr>
          <w:pgSz w:w="11900" w:h="16838" w:orient="portrait"/>
          <w:cols w:equalWidth="0" w:num="2">
            <w:col w:w="1000" w:space="720"/>
            <w:col w:w="97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Fax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0013037928829</w:t>
      </w:r>
    </w:p>
    <w:p>
      <w:pPr>
        <w:spacing w:after="0" w:line="145" w:lineRule="exact"/>
        <w:rPr>
          <w:sz w:val="20"/>
          <w:szCs w:val="20"/>
          <w:color w:val="auto"/>
        </w:rPr>
      </w:pPr>
    </w:p>
    <w:p>
      <w:pPr>
        <w:sectPr>
          <w:pgSz w:w="11900" w:h="16838" w:orient="portrait"/>
          <w:cols w:equalWidth="0" w:num="2">
            <w:col w:w="1000" w:space="720"/>
            <w:col w:w="97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BARCLAYS BANK PLC (LONDON HEAD OFFICE) (“Barclays”)</w:t>
      </w:r>
    </w:p>
    <w:p>
      <w:pPr>
        <w:spacing w:after="0" w:line="134" w:lineRule="exact"/>
        <w:rPr>
          <w:sz w:val="20"/>
          <w:szCs w:val="20"/>
          <w:color w:val="auto"/>
        </w:rPr>
      </w:pPr>
    </w:p>
    <w:p>
      <w:pPr>
        <w:sectPr>
          <w:pgSz w:w="11900" w:h="16838" w:orient="portrait"/>
          <w:cols w:equalWidth="0" w:num="2">
            <w:col w:w="1000" w:space="720"/>
            <w:col w:w="97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December 13, 2012</w:t>
      </w:r>
    </w:p>
    <w:p>
      <w:pPr>
        <w:spacing w:after="0" w:line="151" w:lineRule="exact"/>
        <w:rPr>
          <w:sz w:val="20"/>
          <w:szCs w:val="20"/>
          <w:color w:val="auto"/>
        </w:rPr>
      </w:pPr>
    </w:p>
    <w:p>
      <w:pPr>
        <w:sectPr>
          <w:pgSz w:w="11900" w:h="16838" w:orient="portrait"/>
          <w:cols w:equalWidth="0" w:num="2">
            <w:col w:w="1000" w:space="720"/>
            <w:col w:w="97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nyk0d28e0f2 / 3700890B / </w:t>
      </w:r>
      <w:r>
        <w:rPr>
          <w:rFonts w:ascii="Arial" w:cs="Arial" w:eastAsia="Arial" w:hAnsi="Arial"/>
          <w:sz w:val="15"/>
          <w:szCs w:val="15"/>
          <w:b w:val="1"/>
          <w:bCs w:val="1"/>
          <w:color w:val="auto"/>
        </w:rPr>
        <w:t>11674032</w:t>
      </w:r>
    </w:p>
    <w:p>
      <w:pPr>
        <w:spacing w:after="0" w:line="200" w:lineRule="exact"/>
        <w:rPr>
          <w:sz w:val="20"/>
          <w:szCs w:val="20"/>
          <w:color w:val="auto"/>
        </w:rPr>
      </w:pPr>
    </w:p>
    <w:p>
      <w:pPr>
        <w:sectPr>
          <w:pgSz w:w="11900" w:h="16838" w:orient="portrait"/>
          <w:cols w:equalWidth="0" w:num="2">
            <w:col w:w="1000" w:space="720"/>
            <w:col w:w="9700"/>
          </w:cols>
          <w:pgMar w:left="240" w:top="125" w:right="239" w:bottom="1440" w:gutter="0" w:footer="0" w:header="0"/>
          <w:type w:val="continuous"/>
        </w:sectPr>
      </w:pPr>
    </w:p>
    <w:p>
      <w:pPr>
        <w:spacing w:after="0" w:line="168" w:lineRule="exact"/>
        <w:rPr>
          <w:sz w:val="20"/>
          <w:szCs w:val="20"/>
          <w:color w:val="auto"/>
        </w:rPr>
      </w:pPr>
    </w:p>
    <w:p>
      <w:pPr>
        <w:ind w:right="3540" w:firstLine="3549"/>
        <w:spacing w:after="0" w:line="440" w:lineRule="auto"/>
        <w:rPr>
          <w:sz w:val="20"/>
          <w:szCs w:val="20"/>
          <w:color w:val="auto"/>
        </w:rPr>
      </w:pPr>
      <w:r>
        <w:rPr>
          <w:rFonts w:ascii="Arial" w:cs="Arial" w:eastAsia="Arial" w:hAnsi="Arial"/>
          <w:sz w:val="18"/>
          <w:szCs w:val="18"/>
          <w:b w:val="1"/>
          <w:bCs w:val="1"/>
          <w:u w:val="single" w:color="auto"/>
          <w:color w:val="auto"/>
        </w:rPr>
        <w:t xml:space="preserve">Amended Cancellation of Interest Rate Swap Transaction </w:t>
      </w:r>
      <w:r>
        <w:rPr>
          <w:rFonts w:ascii="Arial" w:cs="Arial" w:eastAsia="Arial" w:hAnsi="Arial"/>
          <w:sz w:val="18"/>
          <w:szCs w:val="18"/>
          <w:color w:val="auto"/>
        </w:rPr>
        <w:t>THIS CANCELLATION AGREEMENT is made on November 26, 2012 Between Barclays and Counterparty</w:t>
      </w:r>
    </w:p>
    <w:p>
      <w:pPr>
        <w:spacing w:after="0" w:line="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WHEREAS Barclays and Counterparty have entered into a certain transaction detailed in the attached Schedule which is subject to the ISDA Master Agreement dated as of February 4, 2010, as amended or supplemented (the “Transaction” and the “Agreement” respectively), </w:t>
      </w:r>
      <w:r>
        <w:rPr>
          <w:rFonts w:ascii="Arial" w:cs="Arial" w:eastAsia="Arial" w:hAnsi="Arial"/>
          <w:sz w:val="16"/>
          <w:szCs w:val="16"/>
          <w:b w:val="1"/>
          <w:bCs w:val="1"/>
          <w:color w:val="auto"/>
        </w:rPr>
        <w:t>the</w:t>
      </w:r>
      <w:r>
        <w:rPr>
          <w:rFonts w:ascii="Arial" w:cs="Arial" w:eastAsia="Arial" w:hAnsi="Arial"/>
          <w:sz w:val="16"/>
          <w:szCs w:val="16"/>
          <w:color w:val="auto"/>
        </w:rPr>
        <w:t xml:space="preserve"> parties </w:t>
      </w:r>
      <w:r>
        <w:rPr>
          <w:rFonts w:ascii="Arial" w:cs="Arial" w:eastAsia="Arial" w:hAnsi="Arial"/>
          <w:sz w:val="16"/>
          <w:szCs w:val="16"/>
          <w:b w:val="1"/>
          <w:bCs w:val="1"/>
          <w:color w:val="auto"/>
        </w:rPr>
        <w:t>hereto</w:t>
      </w:r>
      <w:r>
        <w:rPr>
          <w:rFonts w:ascii="Arial" w:cs="Arial" w:eastAsia="Arial" w:hAnsi="Arial"/>
          <w:sz w:val="16"/>
          <w:szCs w:val="16"/>
          <w:color w:val="auto"/>
        </w:rPr>
        <w:t xml:space="preserve"> have agreed to cancel the Transaction upon the following terms. The purpose of this Cancellation of Transaction agreement (this </w:t>
      </w:r>
      <w:r>
        <w:rPr>
          <w:rFonts w:ascii="Arial" w:cs="Arial" w:eastAsia="Arial" w:hAnsi="Arial"/>
          <w:sz w:val="16"/>
          <w:szCs w:val="16"/>
          <w:b w:val="1"/>
          <w:bCs w:val="1"/>
          <w:color w:val="auto"/>
        </w:rPr>
        <w:t>Confirmation</w:t>
      </w:r>
      <w:r>
        <w:rPr>
          <w:rFonts w:ascii="Arial" w:cs="Arial" w:eastAsia="Arial" w:hAnsi="Arial"/>
          <w:sz w:val="16"/>
          <w:szCs w:val="16"/>
          <w:color w:val="auto"/>
        </w:rPr>
        <w:t xml:space="preserve">) is to confirm the terms and conditions of the Cancellation of Transaction agreed between us on the Cancellation Date specified below (the </w:t>
      </w:r>
      <w:r>
        <w:rPr>
          <w:rFonts w:ascii="Arial" w:cs="Arial" w:eastAsia="Arial" w:hAnsi="Arial"/>
          <w:sz w:val="16"/>
          <w:szCs w:val="16"/>
          <w:b w:val="1"/>
          <w:bCs w:val="1"/>
          <w:color w:val="auto"/>
        </w:rPr>
        <w:t>Transaction</w:t>
      </w:r>
      <w:r>
        <w:rPr>
          <w:rFonts w:ascii="Arial" w:cs="Arial" w:eastAsia="Arial" w:hAnsi="Arial"/>
          <w:sz w:val="16"/>
          <w:szCs w:val="16"/>
          <w:color w:val="auto"/>
        </w:rPr>
        <w:t>). This Confirmation constitutes a “Confirmation” as referred to in the ISDA Master Agreement specified above.</w:t>
      </w:r>
    </w:p>
    <w:p>
      <w:pPr>
        <w:sectPr>
          <w:pgSz w:w="11900" w:h="16838" w:orient="portrait"/>
          <w:cols w:equalWidth="0" w:num="1">
            <w:col w:w="11420"/>
          </w:cols>
          <w:pgMar w:left="240" w:top="125" w:right="2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Cancellation Date: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November 26, 2012</w:t>
      </w:r>
    </w:p>
    <w:p>
      <w:pPr>
        <w:spacing w:after="0" w:line="145"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Cancellation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6,339,600.00</w:t>
      </w:r>
    </w:p>
    <w:p>
      <w:pPr>
        <w:spacing w:after="0" w:line="134"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Counterparty</w:t>
      </w:r>
    </w:p>
    <w:p>
      <w:pPr>
        <w:spacing w:after="0" w:line="145"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Payee: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Barclays</w:t>
      </w:r>
    </w:p>
    <w:p>
      <w:pPr>
        <w:spacing w:after="0" w:line="134"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26, 2012</w:t>
      </w:r>
    </w:p>
    <w:p>
      <w:pPr>
        <w:spacing w:after="0" w:line="145"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Barclays Account Details: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Correspondent: BARCLAYS BANK PLC-NEW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BIC: BARCUS33XXX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050019228</w:t>
      </w:r>
    </w:p>
    <w:p>
      <w:pPr>
        <w:spacing w:after="0" w:line="105"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Barclays Account Details: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Beneficiary: Barclays Bank PLC</w:t>
      </w:r>
    </w:p>
    <w:p>
      <w:pPr>
        <w:spacing w:after="0" w:line="194"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ind w:right="260" w:firstLine="8"/>
        <w:spacing w:after="0" w:line="268"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consideration of the payment of the Cancellation Fee by the Payer to the Payee on the Payment Date, the Transaction is hereby cancelled with effect from the Cancellation Date such that no further rights or obligations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Barclays offers premier investment banking products and services to its clients through Barclays Bank PLC, Barclays Bank PLC is authorised and regulated by the UK Financial Services Authority and a member of the London Stock Exchange. Barclays Bank PLC is registered in England No. 1026167. Registered Office: 1 Churchill Place, London E14 5HP.</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shall arise in relation to either party, except that, any obligation of either party under the Transaction which became due on or before the Cancellation Date shall remain due until paid or discharged;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Page 1 of 3 -</w:t>
      </w:r>
    </w:p>
    <w:p>
      <w:pPr>
        <w:sectPr>
          <w:pgSz w:w="11900" w:h="16838" w:orient="portrait"/>
          <w:cols w:equalWidth="0" w:num="1">
            <w:col w:w="11420"/>
          </w:cols>
          <w:pgMar w:left="240" w:top="125" w:right="239" w:bottom="1440" w:gutter="0" w:footer="0" w:header="0"/>
          <w:type w:val="continuous"/>
        </w:sectPr>
      </w:pPr>
    </w:p>
    <w:bookmarkStart w:id="124" w:name="page125"/>
    <w:bookmarkEnd w:id="124"/>
    <w:p>
      <w:pPr>
        <w:ind w:left="180" w:hanging="172"/>
        <w:spacing w:after="0"/>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Counterparty hereby releases Barclays from any and all obligations and liability after the Cancellation Date under or in connection with the Transaction.</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Barclays hereby releases Counterparty from any and all obligations and liability after the Cancellation Date under or in connection with the Transaction.</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foregoing is the entire agreement and understanding between the parties with respect to the subject matter hereof.</w:t>
      </w:r>
    </w:p>
    <w:p>
      <w:pPr>
        <w:spacing w:after="0" w:line="171" w:lineRule="exact"/>
        <w:rPr>
          <w:rFonts w:ascii="Arial" w:cs="Arial" w:eastAsia="Arial" w:hAnsi="Arial"/>
          <w:sz w:val="18"/>
          <w:szCs w:val="18"/>
          <w:color w:val="auto"/>
        </w:rPr>
      </w:pPr>
    </w:p>
    <w:p>
      <w:pPr>
        <w:ind w:firstLine="8"/>
        <w:spacing w:after="0" w:line="268" w:lineRule="auto"/>
        <w:tabs>
          <w:tab w:leader="none" w:pos="1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Capitalised terms used herein and not defined in this Cancellation Agreement will have the meanings ascribed to them in the Agreement. Any reference to the singular shall include the plural.</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Cancellation Agreement shall be governed by and construed in accordance with the governing law of the Agreement.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SCHEDULE</w:t>
            </w:r>
          </w:p>
        </w:tc>
      </w:tr>
      <w:tr>
        <w:trPr>
          <w:trHeight w:val="545"/>
        </w:trPr>
        <w:tc>
          <w:tcPr>
            <w:tcW w:w="2460" w:type="dxa"/>
            <w:vAlign w:val="bottom"/>
          </w:tcPr>
          <w:p>
            <w:pPr>
              <w:spacing w:after="0"/>
              <w:rPr>
                <w:sz w:val="20"/>
                <w:szCs w:val="20"/>
                <w:color w:val="auto"/>
              </w:rPr>
            </w:pPr>
            <w:r>
              <w:rPr>
                <w:rFonts w:ascii="Arial" w:cs="Arial" w:eastAsia="Arial" w:hAnsi="Arial"/>
                <w:sz w:val="18"/>
                <w:szCs w:val="18"/>
                <w:b w:val="1"/>
                <w:bCs w:val="1"/>
                <w:color w:val="auto"/>
              </w:rPr>
              <w:t>Reference:</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nyk0d28e0f2</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Type of Transaction:</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Interest Rate Swap Transaction</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February 4, 2010</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Notional Amount:</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USD 56,250,000.00</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Effective Date:</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December 14, 2009</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Termination Date:</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February 13, 2015</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Fixed Rate Payer:</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Counterparty</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Floating Rate Payer:</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Barclays</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Fixed Rate:</w:t>
            </w:r>
          </w:p>
        </w:tc>
        <w:tc>
          <w:tcPr>
            <w:tcW w:w="3740" w:type="dxa"/>
            <w:vAlign w:val="bottom"/>
            <w:gridSpan w:val="2"/>
          </w:tcPr>
          <w:p>
            <w:pPr>
              <w:ind w:left="900"/>
              <w:spacing w:after="0"/>
              <w:rPr>
                <w:sz w:val="20"/>
                <w:szCs w:val="20"/>
                <w:color w:val="auto"/>
              </w:rPr>
            </w:pPr>
            <w:r>
              <w:rPr>
                <w:rFonts w:ascii="Arial" w:cs="Arial" w:eastAsia="Arial" w:hAnsi="Arial"/>
                <w:sz w:val="18"/>
                <w:szCs w:val="18"/>
                <w:color w:val="auto"/>
              </w:rPr>
              <w:t>4.984% per annum</w:t>
            </w:r>
          </w:p>
        </w:tc>
      </w:tr>
    </w:tbl>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Please confirm that the foregoing correctly sets forth all the terms and conditions of our agreement with respect to the Swap Transaction by responding within three (3) Business Days by promptly signing in the space provided below and faxing the signed copy to Incoming Transaction Documentation, Barclays Global OTC Transaction Documentation &amp; Management, Global Operations, Fax +(1) 212-412-1211, Tel +(1) 212-412-3990, Email: NYRatesDerivativesConfirmation@barclays.com.</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Page 2 of 3 -</w:t>
      </w:r>
    </w:p>
    <w:p>
      <w:pPr>
        <w:sectPr>
          <w:pgSz w:w="11900" w:h="16838" w:orient="portrait"/>
          <w:cols w:equalWidth="0" w:num="1">
            <w:col w:w="11280"/>
          </w:cols>
          <w:pgMar w:left="240" w:top="280" w:right="379" w:bottom="1440" w:gutter="0" w:footer="0" w:header="0"/>
        </w:sectPr>
      </w:pPr>
    </w:p>
    <w:bookmarkStart w:id="125" w:name="page126"/>
    <w:bookmarkEnd w:id="125"/>
    <w:p>
      <w:pPr>
        <w:spacing w:after="0"/>
        <w:tabs>
          <w:tab w:leader="none" w:pos="6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and on behalf of</w:t>
      </w:r>
      <w:r>
        <w:rPr>
          <w:sz w:val="20"/>
          <w:szCs w:val="20"/>
          <w:color w:val="auto"/>
        </w:rPr>
        <w:tab/>
      </w:r>
      <w:r>
        <w:rPr>
          <w:rFonts w:ascii="Arial" w:cs="Arial" w:eastAsia="Arial" w:hAnsi="Arial"/>
          <w:sz w:val="16"/>
          <w:szCs w:val="16"/>
          <w:color w:val="auto"/>
        </w:rPr>
        <w:t>For and on behalf of</w:t>
      </w:r>
    </w:p>
    <w:p>
      <w:pPr>
        <w:spacing w:after="0" w:line="1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BARCLAYS BANK PLC</w:t>
      </w:r>
      <w:r>
        <w:rPr>
          <w:sz w:val="20"/>
          <w:szCs w:val="20"/>
          <w:color w:val="auto"/>
        </w:rPr>
        <w:tab/>
      </w:r>
      <w:r>
        <w:rPr>
          <w:rFonts w:ascii="Arial" w:cs="Arial" w:eastAsia="Arial" w:hAnsi="Arial"/>
          <w:sz w:val="16"/>
          <w:szCs w:val="16"/>
          <w:color w:val="auto"/>
        </w:rPr>
        <w:t>NATIONAL CINEMEDIA, LLC</w:t>
      </w:r>
    </w:p>
    <w:p>
      <w:pPr>
        <w:spacing w:after="0" w:line="226" w:lineRule="exact"/>
        <w:rPr>
          <w:sz w:val="20"/>
          <w:szCs w:val="20"/>
          <w:color w:val="auto"/>
        </w:rPr>
      </w:pPr>
    </w:p>
    <w:p>
      <w:pPr>
        <w:jc w:val="right"/>
        <w:ind w:right="1019"/>
        <w:spacing w:after="0"/>
        <w:rPr>
          <w:sz w:val="20"/>
          <w:szCs w:val="20"/>
          <w:color w:val="auto"/>
        </w:rPr>
      </w:pPr>
      <w:r>
        <w:rPr>
          <w:rFonts w:ascii="Arial" w:cs="Arial" w:eastAsia="Arial" w:hAnsi="Arial"/>
          <w:sz w:val="18"/>
          <w:szCs w:val="18"/>
          <w:b w:val="1"/>
          <w:bCs w:val="1"/>
          <w:color w:val="auto"/>
        </w:rPr>
        <w:t>By: National CineMedia, Inc. its Manager</w:t>
      </w:r>
    </w:p>
    <w:p>
      <w:pPr>
        <w:sectPr>
          <w:pgSz w:w="11900" w:h="16838" w:orient="portrait"/>
          <w:cols w:equalWidth="0" w:num="1">
            <w:col w:w="10219"/>
          </w:cols>
          <w:pgMar w:left="240" w:top="280"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Robert Chibowski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NAME: Robert Chibowski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14 December 2012</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10795</wp:posOffset>
            </wp:positionV>
            <wp:extent cx="34734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NAME: Gary W. Ferrera</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Authorised Signatory EVP/CFO</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Date: 1/11/13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Page 3 of 3 -</w:t>
      </w:r>
    </w:p>
    <w:p>
      <w:pPr>
        <w:sectPr>
          <w:pgSz w:w="11900" w:h="16838" w:orient="portrait"/>
          <w:cols w:equalWidth="0" w:num="2">
            <w:col w:w="4500" w:space="720"/>
            <w:col w:w="4999"/>
          </w:cols>
          <w:pgMar w:left="240" w:top="280" w:right="1440"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333-176055 on Form S-3 and in Registration Statement No. 333-176054, No. 333-158836 and No. 333-140652 on Form S-8 of our reports dated February 21, 2013 relating to the consolidated financial statements of National CineMedia, Inc., and the effectiveness of National CineMedia, Inc.’s internal control over financial reporting, appearing in the Annual Report on Form 10-K, of National CineMedia, Inc. for the year ended December 27,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90"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90"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for the period ending December 27, 2012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26"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Annual Report on Form 10-K for the period ending December 27, 2012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62" w:lineRule="exact"/>
        <w:rPr>
          <w:sz w:val="20"/>
          <w:szCs w:val="20"/>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lvl w:ilvl="1">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2"/>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3"/>
    </w:lvl>
  </w:abstractNum>
  <w:abstractNum w:abstractNumId="28">
    <w:nsid w:val="79A1DEAA"/>
    <w:multiLevelType w:val="hybridMultilevel"/>
    <w:lvl w:ilvl="0">
      <w:lvlJc w:val="left"/>
      <w:lvlText w:val="(%1)"/>
      <w:numFmt w:val="lowerLetter"/>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9"/>
    </w:lvl>
  </w:abstractNum>
  <w:abstractNum w:abstractNumId="35">
    <w:nsid w:val="23F9C13C"/>
    <w:multiLevelType w:val="hybridMultilevel"/>
    <w:lvl w:ilvl="0">
      <w:lvlJc w:val="left"/>
      <w:lvlText w:val="(%1)"/>
      <w:numFmt w:val="decimal"/>
      <w:start w:val="35"/>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2"/>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2"/>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3"/>
    </w:lvl>
  </w:abstractNum>
  <w:abstractNum w:abstractNumId="47">
    <w:nsid w:val="10233C99"/>
    <w:multiLevelType w:val="hybridMultilevel"/>
    <w:lvl w:ilvl="0">
      <w:lvlJc w:val="left"/>
      <w:lvlText w:val="%1."/>
      <w:numFmt w:val="decimal"/>
      <w:start w:val="14"/>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3"/>
    </w:lvl>
  </w:abstractNum>
  <w:abstractNum w:abstractNumId="51">
    <w:nsid w:val="77AE35EB"/>
    <w:multiLevelType w:val="hybridMultilevel"/>
    <w:lvl w:ilvl="0">
      <w:lvlJc w:val="left"/>
      <w:lvlText w:val="%1."/>
      <w:numFmt w:val="decimal"/>
      <w:start w:val="9"/>
    </w:lvl>
  </w:abstractNum>
  <w:abstractNum w:abstractNumId="52">
    <w:nsid w:val="579BE4F1"/>
    <w:multiLevelType w:val="hybridMultilevel"/>
    <w:lvl w:ilvl="0">
      <w:lvlJc w:val="left"/>
      <w:lvlText w:val="%1."/>
      <w:numFmt w:val="decimal"/>
      <w:start w:val="10"/>
    </w:lvl>
  </w:abstractNum>
  <w:abstractNum w:abstractNumId="53">
    <w:nsid w:val="310C50B3"/>
    <w:multiLevelType w:val="hybridMultilevel"/>
    <w:lvl w:ilvl="0">
      <w:lvlJc w:val="left"/>
      <w:lvlText w:val="%1."/>
      <w:numFmt w:val="decimal"/>
      <w:start w:val="14"/>
    </w:lvl>
  </w:abstractNum>
  <w:abstractNum w:abstractNumId="54">
    <w:nsid w:val="5FF87E05"/>
    <w:multiLevelType w:val="hybridMultilevel"/>
    <w:lvl w:ilvl="0">
      <w:lvlJc w:val="left"/>
      <w:lvlText w:val="%1."/>
      <w:numFmt w:val="decimal"/>
      <w:start w:val="16"/>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3"/>
    </w:lvl>
  </w:abstractNum>
  <w:abstractNum w:abstractNumId="57">
    <w:nsid w:val="1DBABF00"/>
    <w:multiLevelType w:val="hybridMultilevel"/>
    <w:lvl w:ilvl="0">
      <w:lvlJc w:val="left"/>
      <w:lvlText w:val="%1."/>
      <w:numFmt w:val="decimal"/>
      <w:start w:val="7"/>
    </w:lvl>
  </w:abstractNum>
  <w:abstractNum w:abstractNumId="58">
    <w:nsid w:val="4AD084E9"/>
    <w:multiLevelType w:val="hybridMultilevel"/>
    <w:lvl w:ilvl="0">
      <w:lvlJc w:val="left"/>
      <w:lvlText w:val="%1."/>
      <w:numFmt w:val="decimal"/>
      <w:start w:val="9"/>
    </w:lvl>
  </w:abstractNum>
  <w:abstractNum w:abstractNumId="59">
    <w:nsid w:val="1F48EAA1"/>
    <w:multiLevelType w:val="hybridMultilevel"/>
    <w:lvl w:ilvl="0">
      <w:lvlJc w:val="left"/>
      <w:lvlText w:val="%1."/>
      <w:numFmt w:val="decimal"/>
      <w:start w:val="11"/>
    </w:lvl>
  </w:abstractNum>
  <w:abstractNum w:abstractNumId="60">
    <w:nsid w:val="1381823A"/>
    <w:multiLevelType w:val="hybridMultilevel"/>
    <w:lvl w:ilvl="0">
      <w:lvlJc w:val="left"/>
      <w:lvlText w:val="%1."/>
      <w:numFmt w:val="decimal"/>
      <w:start w:val="15"/>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2"/>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decimal"/>
      <w:start w:val="5"/>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2019-12-07T14:38:21Z</dcterms:created>
  <dcterms:modified xsi:type="dcterms:W3CDTF">2019-12-07T14:38:21Z</dcterms:modified>
</cp:coreProperties>
</file>