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90170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109855</wp:posOffset>
            </wp:positionV>
            <wp:extent cx="1603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29, 2018</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42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333-176056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102870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223520</wp:posOffset>
            </wp:positionV>
            <wp:extent cx="1732280"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150495</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ind w:left="1319"/>
              <w:spacing w:after="0"/>
              <w:rPr>
                <w:sz w:val="20"/>
                <w:szCs w:val="20"/>
                <w:color w:val="auto"/>
              </w:rPr>
            </w:pPr>
            <w:r>
              <w:rPr>
                <w:rFonts w:ascii="Arial" w:cs="Arial" w:eastAsia="Arial" w:hAnsi="Arial"/>
                <w:sz w:val="18"/>
                <w:szCs w:val="18"/>
                <w:b w:val="1"/>
                <w:bCs w:val="1"/>
                <w:color w:val="auto"/>
                <w:w w:val="91"/>
              </w:rPr>
              <w:t>20-2632505</w:t>
            </w:r>
          </w:p>
        </w:tc>
      </w:tr>
      <w:tr>
        <w:trPr>
          <w:trHeight w:val="186"/>
        </w:trPr>
        <w:tc>
          <w:tcPr>
            <w:tcW w:w="5240" w:type="dxa"/>
            <w:vAlign w:val="bottom"/>
          </w:tcPr>
          <w:p>
            <w:pPr>
              <w:jc w:val="center"/>
              <w:ind w:right="1317"/>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00" w:type="dxa"/>
            <w:vAlign w:val="bottom"/>
          </w:tcPr>
          <w:p>
            <w:pPr>
              <w:jc w:val="center"/>
              <w:ind w:left="13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9"/>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88"/>
              </w:rPr>
              <w:t>9110 East Nichols Avenue, Suite 200</w:t>
            </w:r>
          </w:p>
        </w:tc>
        <w:tc>
          <w:tcPr>
            <w:tcW w:w="3600" w:type="dxa"/>
            <w:vAlign w:val="bottom"/>
          </w:tcPr>
          <w:p>
            <w:pPr>
              <w:spacing w:after="0"/>
              <w:rPr>
                <w:sz w:val="24"/>
                <w:szCs w:val="24"/>
                <w:color w:val="auto"/>
              </w:rPr>
            </w:pPr>
          </w:p>
        </w:tc>
      </w:tr>
      <w:tr>
        <w:trPr>
          <w:trHeight w:val="212"/>
        </w:trPr>
        <w:tc>
          <w:tcPr>
            <w:tcW w:w="5240" w:type="dxa"/>
            <w:vAlign w:val="bottom"/>
          </w:tcPr>
          <w:p>
            <w:pPr>
              <w:jc w:val="center"/>
              <w:ind w:right="1317"/>
              <w:spacing w:after="0"/>
              <w:rPr>
                <w:sz w:val="20"/>
                <w:szCs w:val="20"/>
                <w:color w:val="auto"/>
              </w:rPr>
            </w:pPr>
            <w:r>
              <w:rPr>
                <w:rFonts w:ascii="Arial" w:cs="Arial" w:eastAsia="Arial" w:hAnsi="Arial"/>
                <w:sz w:val="18"/>
                <w:szCs w:val="18"/>
                <w:b w:val="1"/>
                <w:bCs w:val="1"/>
                <w:color w:val="auto"/>
                <w:w w:val="90"/>
              </w:rPr>
              <w:t>Centennial, Colorado</w:t>
            </w:r>
          </w:p>
        </w:tc>
        <w:tc>
          <w:tcPr>
            <w:tcW w:w="3600" w:type="dxa"/>
            <w:vAlign w:val="bottom"/>
          </w:tcPr>
          <w:p>
            <w:pPr>
              <w:jc w:val="center"/>
              <w:ind w:left="1339"/>
              <w:spacing w:after="0"/>
              <w:rPr>
                <w:sz w:val="20"/>
                <w:szCs w:val="20"/>
                <w:color w:val="auto"/>
              </w:rPr>
            </w:pPr>
            <w:r>
              <w:rPr>
                <w:rFonts w:ascii="Arial" w:cs="Arial" w:eastAsia="Arial" w:hAnsi="Arial"/>
                <w:sz w:val="18"/>
                <w:szCs w:val="18"/>
                <w:b w:val="1"/>
                <w:bCs w:val="1"/>
                <w:color w:val="auto"/>
                <w:w w:val="89"/>
              </w:rPr>
              <w:t>80112-3405</w:t>
            </w:r>
          </w:p>
        </w:tc>
      </w:tr>
      <w:tr>
        <w:trPr>
          <w:trHeight w:val="186"/>
        </w:trPr>
        <w:tc>
          <w:tcPr>
            <w:tcW w:w="5240" w:type="dxa"/>
            <w:vAlign w:val="bottom"/>
          </w:tcPr>
          <w:p>
            <w:pPr>
              <w:jc w:val="center"/>
              <w:ind w:right="133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600" w:type="dxa"/>
            <w:vAlign w:val="bottom"/>
          </w:tcPr>
          <w:p>
            <w:pPr>
              <w:jc w:val="center"/>
              <w:ind w:left="1339"/>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102870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spacing w:after="0"/>
              <w:rPr>
                <w:sz w:val="19"/>
                <w:szCs w:val="19"/>
                <w:color w:val="auto"/>
              </w:rPr>
            </w:pPr>
          </w:p>
        </w:tc>
        <w:tc>
          <w:tcPr>
            <w:tcW w:w="350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80"/>
              <w:spacing w:after="0"/>
              <w:rPr>
                <w:sz w:val="20"/>
                <w:szCs w:val="20"/>
                <w:color w:val="auto"/>
              </w:rPr>
            </w:pPr>
            <w:r>
              <w:rPr>
                <w:rFonts w:ascii="Arial" w:cs="Arial" w:eastAsia="Arial" w:hAnsi="Arial"/>
                <w:sz w:val="18"/>
                <w:szCs w:val="18"/>
                <w:color w:val="auto"/>
              </w:rPr>
              <w:t>(Do not check if a smaller reporting company)</w:t>
            </w:r>
          </w:p>
        </w:tc>
        <w:tc>
          <w:tcPr>
            <w:tcW w:w="3500" w:type="dxa"/>
            <w:vAlign w:val="bottom"/>
          </w:tcPr>
          <w:p>
            <w:pPr>
              <w:ind w:left="106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method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As of May 3, 2018, the registrant had 157,564,977 common membership units outstanding. The common membership units are not publicly traded.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438150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340" w:type="dxa"/>
            <w:vAlign w:val="bottom"/>
            <w:gridSpan w:val="10"/>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800" w:type="dxa"/>
            <w:vAlign w:val="bottom"/>
            <w:gridSpan w:val="3"/>
            <w:vMerge w:val="restart"/>
          </w:tcPr>
          <w:p>
            <w:pPr>
              <w:spacing w:after="0"/>
              <w:rPr>
                <w:sz w:val="24"/>
                <w:szCs w:val="24"/>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vMerge w:val="continue"/>
          </w:tcPr>
          <w:p>
            <w:pPr>
              <w:spacing w:after="0"/>
              <w:rPr>
                <w:sz w:val="14"/>
                <w:szCs w:val="14"/>
                <w:color w:val="auto"/>
              </w:rPr>
            </w:pPr>
          </w:p>
        </w:tc>
        <w:tc>
          <w:tcPr>
            <w:tcW w:w="4800" w:type="dxa"/>
            <w:vAlign w:val="bottom"/>
            <w:gridSpan w:val="3"/>
            <w:vMerge w:val="continue"/>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480" w:type="dxa"/>
            <w:vAlign w:val="bottom"/>
            <w:gridSpan w:val="14"/>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Balance Sheets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Condensed Statements of Income</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Statements of Cash Flows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5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Financial Statements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3520" w:type="dxa"/>
            <w:vAlign w:val="bottom"/>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998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680" w:type="dxa"/>
            <w:vAlign w:val="bottom"/>
            <w:gridSpan w:val="7"/>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40" w:type="dxa"/>
            <w:vAlign w:val="bottom"/>
            <w:gridSpan w:val="6"/>
          </w:tcPr>
          <w:p>
            <w:pPr>
              <w:jc w:val="center"/>
              <w:ind w:right="4560"/>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w:t>
              </w:r>
            </w:hyperlink>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56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640" w:type="dxa"/>
            <w:vAlign w:val="bottom"/>
            <w:tcBorders>
              <w:top w:val="single" w:sz="8" w:color="0000EE"/>
            </w:tcBorders>
            <w:gridSpan w:val="3"/>
          </w:tcPr>
          <w:p>
            <w:pPr>
              <w:spacing w:after="0"/>
              <w:rPr>
                <w:sz w:val="24"/>
                <w:szCs w:val="24"/>
                <w:color w:val="auto"/>
              </w:rPr>
            </w:pPr>
          </w:p>
        </w:tc>
        <w:tc>
          <w:tcPr>
            <w:tcW w:w="4780" w:type="dxa"/>
            <w:vAlign w:val="bottom"/>
            <w:gridSpan w:val="2"/>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660" w:type="dxa"/>
            <w:vAlign w:val="bottom"/>
            <w:gridSpan w:val="15"/>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98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17"/>
                <w:szCs w:val="17"/>
                <w:color w:val="auto"/>
              </w:rPr>
            </w:pPr>
          </w:p>
        </w:tc>
        <w:tc>
          <w:tcPr>
            <w:tcW w:w="5640" w:type="dxa"/>
            <w:vAlign w:val="bottom"/>
            <w:gridSpan w:val="6"/>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98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8220" w:type="dxa"/>
            <w:vAlign w:val="bottom"/>
            <w:gridSpan w:val="13"/>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680" w:type="dxa"/>
            <w:vAlign w:val="bottom"/>
            <w:gridSpan w:val="16"/>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92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784"/>
        </w:trPr>
        <w:tc>
          <w:tcPr>
            <w:tcW w:w="760" w:type="dxa"/>
            <w:vAlign w:val="bottom"/>
            <w:tcBorders>
              <w:top w:val="single" w:sz="8" w:color="0000EE"/>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29,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28,</w:t>
            </w:r>
          </w:p>
        </w:tc>
      </w:tr>
      <w:tr>
        <w:trPr>
          <w:trHeight w:val="171"/>
        </w:trPr>
        <w:tc>
          <w:tcPr>
            <w:tcW w:w="78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Receivables, net of allowance of $5.7 and $6.0, respectively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Prepaid administrative fees to managing member</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receivable - founding members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8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 of accumulated depreciation of $72.9 and $70.4,</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rPr>
                <w:sz w:val="20"/>
                <w:szCs w:val="20"/>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Intangible assets, net of accumulated amortization of $152.1 and $145.4,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724.2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717.2</w:t>
            </w:r>
          </w:p>
        </w:tc>
        <w:tc>
          <w:tcPr>
            <w:tcW w:w="100" w:type="dxa"/>
            <w:vAlign w:val="bottom"/>
          </w:tcPr>
          <w:p>
            <w:pPr>
              <w:spacing w:after="0"/>
              <w:rPr>
                <w:sz w:val="20"/>
                <w:szCs w:val="20"/>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notes receivable, net of current portion - founding members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 net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758.3</w:t>
            </w:r>
          </w:p>
        </w:tc>
        <w:tc>
          <w:tcPr>
            <w:tcW w:w="100" w:type="dxa"/>
            <w:vAlign w:val="bottom"/>
            <w:shd w:val="clear" w:color="auto" w:fill="CFF0FC"/>
          </w:tcPr>
          <w:p>
            <w:pPr>
              <w:spacing w:after="0"/>
              <w:rPr>
                <w:sz w:val="19"/>
                <w:szCs w:val="19"/>
                <w:color w:val="auto"/>
              </w:rPr>
            </w:pPr>
          </w:p>
        </w:tc>
      </w:tr>
      <w:tr>
        <w:trPr>
          <w:trHeight w:val="26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932.7</w:t>
            </w:r>
          </w:p>
        </w:tc>
        <w:tc>
          <w:tcPr>
            <w:tcW w:w="100" w:type="dxa"/>
            <w:vAlign w:val="bottom"/>
            <w:tcBorders>
              <w:bottom w:val="single" w:sz="8" w:color="CFF0FC"/>
            </w:tcBorders>
          </w:tcPr>
          <w:p>
            <w:pPr>
              <w:spacing w:after="0"/>
              <w:rPr>
                <w:sz w:val="22"/>
                <w:szCs w:val="22"/>
                <w:color w:val="auto"/>
              </w:rPr>
            </w:pP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Amounts due to founding members, net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Amounts due to managing member,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Accrued payroll and related expenses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debt, net of debt issuance costs of $8.2 and $8.7, respectively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923.3</w:t>
            </w: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925.4</w:t>
            </w:r>
          </w:p>
        </w:tc>
        <w:tc>
          <w:tcPr>
            <w:tcW w:w="100" w:type="dxa"/>
            <w:vAlign w:val="bottom"/>
            <w:shd w:val="clear" w:color="auto" w:fill="CFF0FC"/>
          </w:tcPr>
          <w:p>
            <w:pPr>
              <w:spacing w:after="0"/>
              <w:rPr>
                <w:sz w:val="19"/>
                <w:szCs w:val="19"/>
                <w:color w:val="auto"/>
              </w:rPr>
            </w:pPr>
          </w:p>
        </w:tc>
      </w:tr>
      <w:tr>
        <w:trPr>
          <w:trHeight w:val="223"/>
        </w:trPr>
        <w:tc>
          <w:tcPr>
            <w:tcW w:w="788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19"/>
                <w:szCs w:val="19"/>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MEMBERS’ EQUITY/(DEFICIT)</w:t>
            </w:r>
          </w:p>
        </w:tc>
        <w:tc>
          <w:tcPr>
            <w:tcW w:w="2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(116.0)</w:t>
            </w:r>
          </w:p>
        </w:tc>
      </w:tr>
      <w:tr>
        <w:trPr>
          <w:trHeight w:val="223"/>
        </w:trPr>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EQUITY/(DEFICIT)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758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March 29,</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tcPr>
          <w:p>
            <w:pPr>
              <w:jc w:val="right"/>
              <w:ind w:right="472"/>
              <w:spacing w:after="0" w:line="133" w:lineRule="exact"/>
              <w:rPr>
                <w:sz w:val="20"/>
                <w:szCs w:val="20"/>
                <w:color w:val="auto"/>
              </w:rPr>
            </w:pPr>
            <w:r>
              <w:rPr>
                <w:rFonts w:ascii="Arial" w:cs="Arial" w:eastAsia="Arial" w:hAnsi="Arial"/>
                <w:sz w:val="14"/>
                <w:szCs w:val="14"/>
                <w:b w:val="1"/>
                <w:bCs w:val="1"/>
                <w:color w:val="auto"/>
                <w:w w:val="95"/>
              </w:rPr>
              <w:t>March 30,</w:t>
            </w:r>
          </w:p>
        </w:tc>
        <w:tc>
          <w:tcPr>
            <w:tcW w:w="100" w:type="dxa"/>
            <w:vAlign w:val="bottom"/>
          </w:tcPr>
          <w:p>
            <w:pPr>
              <w:spacing w:after="0"/>
              <w:rPr>
                <w:sz w:val="11"/>
                <w:szCs w:val="11"/>
                <w:color w:val="auto"/>
              </w:rPr>
            </w:pPr>
          </w:p>
        </w:tc>
      </w:tr>
      <w:tr>
        <w:trPr>
          <w:trHeight w:val="171"/>
        </w:trPr>
        <w:tc>
          <w:tcPr>
            <w:tcW w:w="7580" w:type="dxa"/>
            <w:vAlign w:val="bottom"/>
            <w:tcBorders>
              <w:bottom w:val="single" w:sz="8" w:color="CFF2FA"/>
            </w:tcBorders>
          </w:tcPr>
          <w:p>
            <w:pPr>
              <w:spacing w:after="0"/>
              <w:rPr>
                <w:sz w:val="14"/>
                <w:szCs w:val="14"/>
                <w:color w:val="auto"/>
              </w:rPr>
            </w:pPr>
          </w:p>
        </w:tc>
        <w:tc>
          <w:tcPr>
            <w:tcW w:w="118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CFF2FA"/>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2FA"/>
            </w:tcBorders>
          </w:tcPr>
          <w:p>
            <w:pPr>
              <w:spacing w:after="0"/>
              <w:rPr>
                <w:sz w:val="14"/>
                <w:szCs w:val="14"/>
                <w:color w:val="auto"/>
              </w:rPr>
            </w:pPr>
          </w:p>
        </w:tc>
      </w:tr>
      <w:tr>
        <w:trPr>
          <w:trHeight w:val="209"/>
        </w:trPr>
        <w:tc>
          <w:tcPr>
            <w:tcW w:w="7580" w:type="dxa"/>
            <w:vAlign w:val="bottom"/>
            <w:shd w:val="clear" w:color="auto" w:fill="CFF2FA"/>
          </w:tcPr>
          <w:p>
            <w:pPr>
              <w:spacing w:after="0"/>
              <w:rPr>
                <w:sz w:val="20"/>
                <w:szCs w:val="20"/>
                <w:color w:val="auto"/>
              </w:rPr>
            </w:pPr>
            <w:r>
              <w:rPr>
                <w:rFonts w:ascii="Arial" w:cs="Arial" w:eastAsia="Arial" w:hAnsi="Arial"/>
                <w:sz w:val="18"/>
                <w:szCs w:val="18"/>
                <w:color w:val="auto"/>
              </w:rPr>
              <w:t>REVENUE (including revenue from founding members</w:t>
            </w:r>
          </w:p>
        </w:tc>
        <w:tc>
          <w:tcPr>
            <w:tcW w:w="1180" w:type="dxa"/>
            <w:vAlign w:val="bottom"/>
            <w:shd w:val="clear" w:color="auto" w:fill="CFF2FA"/>
          </w:tcPr>
          <w:p>
            <w:pPr>
              <w:spacing w:after="0"/>
              <w:rPr>
                <w:sz w:val="18"/>
                <w:szCs w:val="18"/>
                <w:color w:val="auto"/>
              </w:rPr>
            </w:pPr>
          </w:p>
        </w:tc>
        <w:tc>
          <w:tcPr>
            <w:tcW w:w="520" w:type="dxa"/>
            <w:vAlign w:val="bottom"/>
            <w:shd w:val="clear" w:color="auto" w:fill="CFF2FA"/>
          </w:tcPr>
          <w:p>
            <w:pPr>
              <w:spacing w:after="0"/>
              <w:rPr>
                <w:sz w:val="18"/>
                <w:szCs w:val="18"/>
                <w:color w:val="auto"/>
              </w:rPr>
            </w:pPr>
          </w:p>
        </w:tc>
        <w:tc>
          <w:tcPr>
            <w:tcW w:w="320" w:type="dxa"/>
            <w:vAlign w:val="bottom"/>
            <w:shd w:val="clear" w:color="auto" w:fill="CFF2FA"/>
          </w:tcPr>
          <w:p>
            <w:pPr>
              <w:spacing w:after="0"/>
              <w:rPr>
                <w:sz w:val="18"/>
                <w:szCs w:val="18"/>
                <w:color w:val="auto"/>
              </w:rPr>
            </w:pPr>
          </w:p>
        </w:tc>
        <w:tc>
          <w:tcPr>
            <w:tcW w:w="520" w:type="dxa"/>
            <w:vAlign w:val="bottom"/>
            <w:shd w:val="clear" w:color="auto" w:fill="CFF2FA"/>
          </w:tcPr>
          <w:p>
            <w:pPr>
              <w:spacing w:after="0"/>
              <w:rPr>
                <w:sz w:val="18"/>
                <w:szCs w:val="18"/>
                <w:color w:val="auto"/>
              </w:rPr>
            </w:pPr>
          </w:p>
        </w:tc>
        <w:tc>
          <w:tcPr>
            <w:tcW w:w="1200" w:type="dxa"/>
            <w:vAlign w:val="bottom"/>
            <w:shd w:val="clear" w:color="auto" w:fill="CFF2FA"/>
          </w:tcPr>
          <w:p>
            <w:pPr>
              <w:spacing w:after="0"/>
              <w:rPr>
                <w:sz w:val="18"/>
                <w:szCs w:val="18"/>
                <w:color w:val="auto"/>
              </w:rPr>
            </w:pPr>
          </w:p>
        </w:tc>
        <w:tc>
          <w:tcPr>
            <w:tcW w:w="100" w:type="dxa"/>
            <w:vAlign w:val="bottom"/>
            <w:shd w:val="clear" w:color="auto" w:fill="CFF2FA"/>
          </w:tcPr>
          <w:p>
            <w:pPr>
              <w:spacing w:after="0"/>
              <w:rPr>
                <w:sz w:val="18"/>
                <w:szCs w:val="18"/>
                <w:color w:val="auto"/>
              </w:rPr>
            </w:pPr>
          </w:p>
        </w:tc>
      </w:tr>
      <w:tr>
        <w:trPr>
          <w:trHeight w:val="230"/>
        </w:trPr>
        <w:tc>
          <w:tcPr>
            <w:tcW w:w="7580" w:type="dxa"/>
            <w:vAlign w:val="bottom"/>
            <w:shd w:val="clear" w:color="auto" w:fill="CFF2FA"/>
          </w:tcPr>
          <w:p>
            <w:pPr>
              <w:ind w:left="140"/>
              <w:spacing w:after="0"/>
              <w:rPr>
                <w:sz w:val="20"/>
                <w:szCs w:val="20"/>
                <w:color w:val="auto"/>
              </w:rPr>
            </w:pPr>
            <w:r>
              <w:rPr>
                <w:rFonts w:ascii="Arial" w:cs="Arial" w:eastAsia="Arial" w:hAnsi="Arial"/>
                <w:sz w:val="18"/>
                <w:szCs w:val="18"/>
                <w:color w:val="auto"/>
              </w:rPr>
              <w:t>of $8.0 and $8.4, respectively)</w:t>
            </w:r>
          </w:p>
        </w:tc>
        <w:tc>
          <w:tcPr>
            <w:tcW w:w="1180" w:type="dxa"/>
            <w:vAlign w:val="bottom"/>
            <w:shd w:val="clear" w:color="auto" w:fill="CFF2FA"/>
          </w:tcPr>
          <w:p>
            <w:pPr>
              <w:jc w:val="right"/>
              <w:ind w:right="10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80.2</w:t>
            </w:r>
          </w:p>
        </w:tc>
        <w:tc>
          <w:tcPr>
            <w:tcW w:w="320" w:type="dxa"/>
            <w:vAlign w:val="bottom"/>
            <w:shd w:val="clear" w:color="auto" w:fill="CFF2FA"/>
          </w:tcPr>
          <w:p>
            <w:pPr>
              <w:spacing w:after="0"/>
              <w:rPr>
                <w:sz w:val="20"/>
                <w:szCs w:val="20"/>
                <w:color w:val="auto"/>
              </w:rPr>
            </w:pPr>
          </w:p>
        </w:tc>
        <w:tc>
          <w:tcPr>
            <w:tcW w:w="520" w:type="dxa"/>
            <w:vAlign w:val="bottom"/>
            <w:shd w:val="clear" w:color="auto" w:fill="CFF2FA"/>
          </w:tcPr>
          <w:p>
            <w:pPr>
              <w:jc w:val="right"/>
              <w:ind w:right="3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FF2FA"/>
          </w:tcPr>
          <w:p>
            <w:pPr>
              <w:spacing w:after="0"/>
              <w:rPr>
                <w:sz w:val="20"/>
                <w:szCs w:val="20"/>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OPERATING EXPENSES:</w:t>
            </w: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Advertising operating costs</w:t>
            </w:r>
          </w:p>
        </w:tc>
        <w:tc>
          <w:tcPr>
            <w:tcW w:w="1180" w:type="dxa"/>
            <w:vAlign w:val="bottom"/>
            <w:shd w:val="clear" w:color="auto" w:fill="CFF2FA"/>
          </w:tcPr>
          <w:p>
            <w:pPr>
              <w:spacing w:after="0"/>
              <w:rPr>
                <w:sz w:val="19"/>
                <w:szCs w:val="19"/>
                <w:color w:val="auto"/>
              </w:rPr>
            </w:pPr>
          </w:p>
        </w:tc>
        <w:tc>
          <w:tcPr>
            <w:tcW w:w="5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2FA"/>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Network costs</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30"/>
        </w:trPr>
        <w:tc>
          <w:tcPr>
            <w:tcW w:w="7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Theater access fees—founding members</w:t>
            </w:r>
          </w:p>
        </w:tc>
        <w:tc>
          <w:tcPr>
            <w:tcW w:w="1180" w:type="dxa"/>
            <w:vAlign w:val="bottom"/>
            <w:shd w:val="clear" w:color="auto" w:fill="CFF2FA"/>
          </w:tcPr>
          <w:p>
            <w:pPr>
              <w:spacing w:after="0"/>
              <w:rPr>
                <w:sz w:val="19"/>
                <w:szCs w:val="19"/>
                <w:color w:val="auto"/>
              </w:rPr>
            </w:pPr>
          </w:p>
        </w:tc>
        <w:tc>
          <w:tcPr>
            <w:tcW w:w="5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2FA"/>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Selling and marketing costs</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r>
      <w:tr>
        <w:trPr>
          <w:trHeight w:val="230"/>
        </w:trPr>
        <w:tc>
          <w:tcPr>
            <w:tcW w:w="7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Administrative and other costs</w:t>
            </w:r>
          </w:p>
        </w:tc>
        <w:tc>
          <w:tcPr>
            <w:tcW w:w="1180" w:type="dxa"/>
            <w:vAlign w:val="bottom"/>
            <w:shd w:val="clear" w:color="auto" w:fill="CFF2FA"/>
          </w:tcPr>
          <w:p>
            <w:pPr>
              <w:spacing w:after="0"/>
              <w:rPr>
                <w:sz w:val="19"/>
                <w:szCs w:val="19"/>
                <w:color w:val="auto"/>
              </w:rPr>
            </w:pPr>
          </w:p>
        </w:tc>
        <w:tc>
          <w:tcPr>
            <w:tcW w:w="5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2FA"/>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Administrative fee—managing member</w:t>
            </w:r>
          </w:p>
        </w:tc>
        <w:tc>
          <w:tcPr>
            <w:tcW w:w="1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30"/>
        </w:trPr>
        <w:tc>
          <w:tcPr>
            <w:tcW w:w="7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bottom w:val="single" w:sz="8" w:color="auto"/>
            </w:tcBorders>
            <w:shd w:val="clear" w:color="auto" w:fill="CFF2FA"/>
          </w:tcPr>
          <w:p>
            <w:pPr>
              <w:spacing w:after="0"/>
              <w:rPr>
                <w:sz w:val="19"/>
                <w:szCs w:val="19"/>
                <w:color w:val="auto"/>
              </w:rPr>
            </w:pPr>
          </w:p>
        </w:tc>
        <w:tc>
          <w:tcPr>
            <w:tcW w:w="5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FF2FA"/>
          </w:tcPr>
          <w:p>
            <w:pPr>
              <w:spacing w:after="0"/>
              <w:rPr>
                <w:sz w:val="19"/>
                <w:szCs w:val="19"/>
                <w:color w:val="auto"/>
              </w:rPr>
            </w:pPr>
          </w:p>
        </w:tc>
        <w:tc>
          <w:tcPr>
            <w:tcW w:w="520" w:type="dxa"/>
            <w:vAlign w:val="bottom"/>
            <w:tcBorders>
              <w:bottom w:val="single" w:sz="8" w:color="auto"/>
            </w:tcBorders>
            <w:shd w:val="clear" w:color="auto" w:fill="CFF2FA"/>
          </w:tcPr>
          <w:p>
            <w:pPr>
              <w:spacing w:after="0"/>
              <w:rPr>
                <w:sz w:val="19"/>
                <w:szCs w:val="19"/>
                <w:color w:val="auto"/>
              </w:rPr>
            </w:pP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2FA"/>
          </w:tcPr>
          <w:p>
            <w:pPr>
              <w:spacing w:after="0"/>
              <w:rPr>
                <w:sz w:val="19"/>
                <w:szCs w:val="19"/>
                <w:color w:val="auto"/>
              </w:rPr>
            </w:pPr>
          </w:p>
        </w:tc>
      </w:tr>
      <w:tr>
        <w:trPr>
          <w:trHeight w:val="223"/>
        </w:trPr>
        <w:tc>
          <w:tcPr>
            <w:tcW w:w="7580" w:type="dxa"/>
            <w:vAlign w:val="bottom"/>
            <w:tcBorders>
              <w:bottom w:val="single" w:sz="8" w:color="CFF2FA"/>
            </w:tcBorders>
          </w:tcPr>
          <w:p>
            <w:pPr>
              <w:ind w:left="62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320" w:type="dxa"/>
            <w:vAlign w:val="bottom"/>
            <w:tcBorders>
              <w:bottom w:val="single" w:sz="8" w:color="CFF2FA"/>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FF2FA"/>
            </w:tcBorders>
          </w:tcPr>
          <w:p>
            <w:pPr>
              <w:spacing w:after="0"/>
              <w:rPr>
                <w:sz w:val="19"/>
                <w:szCs w:val="19"/>
                <w:color w:val="auto"/>
              </w:rPr>
            </w:pPr>
          </w:p>
        </w:tc>
      </w:tr>
      <w:tr>
        <w:trPr>
          <w:trHeight w:val="223"/>
        </w:trPr>
        <w:tc>
          <w:tcPr>
            <w:tcW w:w="7580" w:type="dxa"/>
            <w:vAlign w:val="bottom"/>
            <w:shd w:val="clear" w:color="auto" w:fill="CFF2FA"/>
          </w:tcPr>
          <w:p>
            <w:pPr>
              <w:ind w:left="62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shd w:val="clear" w:color="auto" w:fill="CFF2FA"/>
          </w:tcPr>
          <w:p>
            <w:pPr>
              <w:spacing w:after="0"/>
              <w:rPr>
                <w:sz w:val="19"/>
                <w:szCs w:val="19"/>
                <w:color w:val="auto"/>
              </w:rPr>
            </w:pPr>
          </w:p>
        </w:tc>
        <w:tc>
          <w:tcPr>
            <w:tcW w:w="5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FF2FA"/>
          </w:tcPr>
          <w:p>
            <w:pPr>
              <w:spacing w:after="0"/>
              <w:rPr>
                <w:sz w:val="19"/>
                <w:szCs w:val="19"/>
                <w:color w:val="auto"/>
              </w:rPr>
            </w:pPr>
          </w:p>
        </w:tc>
        <w:tc>
          <w:tcPr>
            <w:tcW w:w="520" w:type="dxa"/>
            <w:vAlign w:val="bottom"/>
            <w:tcBorders>
              <w:bottom w:val="single" w:sz="8" w:color="auto"/>
            </w:tcBorders>
            <w:shd w:val="clear" w:color="auto" w:fill="CFF2FA"/>
          </w:tcPr>
          <w:p>
            <w:pPr>
              <w:spacing w:after="0"/>
              <w:rPr>
                <w:sz w:val="19"/>
                <w:szCs w:val="19"/>
                <w:color w:val="auto"/>
              </w:rPr>
            </w:pP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2FA"/>
          </w:tcPr>
          <w:p>
            <w:pPr>
              <w:spacing w:after="0"/>
              <w:rPr>
                <w:sz w:val="19"/>
                <w:szCs w:val="19"/>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NON-OPERATING EXPENSES:</w:t>
            </w: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Interest on borrowings</w:t>
            </w:r>
          </w:p>
        </w:tc>
        <w:tc>
          <w:tcPr>
            <w:tcW w:w="1180" w:type="dxa"/>
            <w:vAlign w:val="bottom"/>
            <w:shd w:val="clear" w:color="auto" w:fill="CFF2FA"/>
          </w:tcPr>
          <w:p>
            <w:pPr>
              <w:spacing w:after="0"/>
              <w:rPr>
                <w:sz w:val="19"/>
                <w:szCs w:val="19"/>
                <w:color w:val="auto"/>
              </w:rPr>
            </w:pPr>
          </w:p>
        </w:tc>
        <w:tc>
          <w:tcPr>
            <w:tcW w:w="5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FF2FA"/>
          </w:tcPr>
          <w:p>
            <w:pPr>
              <w:spacing w:after="0"/>
              <w:rPr>
                <w:sz w:val="19"/>
                <w:szCs w:val="19"/>
                <w:color w:val="auto"/>
              </w:rPr>
            </w:pPr>
          </w:p>
        </w:tc>
        <w:tc>
          <w:tcPr>
            <w:tcW w:w="520" w:type="dxa"/>
            <w:vAlign w:val="bottom"/>
            <w:shd w:val="clear" w:color="auto" w:fill="CFF2FA"/>
          </w:tcPr>
          <w:p>
            <w:pPr>
              <w:spacing w:after="0"/>
              <w:rPr>
                <w:sz w:val="19"/>
                <w:szCs w:val="19"/>
                <w:color w:val="auto"/>
              </w:rPr>
            </w:pPr>
          </w:p>
        </w:tc>
        <w:tc>
          <w:tcPr>
            <w:tcW w:w="12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FF2FA"/>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18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30"/>
        </w:trPr>
        <w:tc>
          <w:tcPr>
            <w:tcW w:w="7580" w:type="dxa"/>
            <w:vAlign w:val="bottom"/>
            <w:shd w:val="clear" w:color="auto" w:fill="CFF2FA"/>
          </w:tcPr>
          <w:p>
            <w:pPr>
              <w:ind w:left="260"/>
              <w:spacing w:after="0"/>
              <w:rPr>
                <w:sz w:val="20"/>
                <w:szCs w:val="20"/>
                <w:color w:val="auto"/>
              </w:rPr>
            </w:pPr>
            <w:r>
              <w:rPr>
                <w:rFonts w:ascii="Arial" w:cs="Arial" w:eastAsia="Arial" w:hAnsi="Arial"/>
                <w:sz w:val="18"/>
                <w:szCs w:val="18"/>
                <w:color w:val="auto"/>
              </w:rPr>
              <w:t>Other non-operating income</w:t>
            </w:r>
          </w:p>
        </w:tc>
        <w:tc>
          <w:tcPr>
            <w:tcW w:w="1180" w:type="dxa"/>
            <w:vAlign w:val="bottom"/>
            <w:shd w:val="clear" w:color="auto" w:fill="CFF2FA"/>
          </w:tcPr>
          <w:p>
            <w:pPr>
              <w:spacing w:after="0"/>
              <w:rPr>
                <w:sz w:val="19"/>
                <w:szCs w:val="19"/>
                <w:color w:val="auto"/>
              </w:rPr>
            </w:pPr>
          </w:p>
        </w:tc>
        <w:tc>
          <w:tcPr>
            <w:tcW w:w="840" w:type="dxa"/>
            <w:vAlign w:val="bottom"/>
            <w:gridSpan w:val="2"/>
            <w:shd w:val="clear" w:color="auto" w:fill="CFF2FA"/>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2FA"/>
          </w:tcPr>
          <w:p>
            <w:pPr>
              <w:spacing w:after="0"/>
              <w:rPr>
                <w:sz w:val="19"/>
                <w:szCs w:val="19"/>
                <w:color w:val="auto"/>
              </w:rPr>
            </w:pPr>
          </w:p>
        </w:tc>
        <w:tc>
          <w:tcPr>
            <w:tcW w:w="130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(0.1)</w:t>
            </w:r>
          </w:p>
        </w:tc>
      </w:tr>
      <w:tr>
        <w:trPr>
          <w:trHeight w:val="223"/>
        </w:trPr>
        <w:tc>
          <w:tcPr>
            <w:tcW w:w="7580" w:type="dxa"/>
            <w:vAlign w:val="bottom"/>
            <w:tcBorders>
              <w:bottom w:val="single" w:sz="8" w:color="CFF2FA"/>
            </w:tcBorders>
          </w:tcPr>
          <w:p>
            <w:pPr>
              <w:ind w:left="62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20" w:type="dxa"/>
            <w:vAlign w:val="bottom"/>
            <w:tcBorders>
              <w:bottom w:val="single" w:sz="8" w:color="CFF2FA"/>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FF2FA"/>
            </w:tcBorders>
          </w:tcPr>
          <w:p>
            <w:pPr>
              <w:spacing w:after="0"/>
              <w:rPr>
                <w:sz w:val="19"/>
                <w:szCs w:val="19"/>
                <w:color w:val="auto"/>
              </w:rPr>
            </w:pPr>
          </w:p>
        </w:tc>
      </w:tr>
      <w:tr>
        <w:trPr>
          <w:trHeight w:val="223"/>
        </w:trPr>
        <w:tc>
          <w:tcPr>
            <w:tcW w:w="7580" w:type="dxa"/>
            <w:vAlign w:val="bottom"/>
            <w:shd w:val="clear" w:color="auto" w:fill="CFF2FA"/>
          </w:tcPr>
          <w:p>
            <w:pPr>
              <w:spacing w:after="0"/>
              <w:rPr>
                <w:sz w:val="20"/>
                <w:szCs w:val="20"/>
                <w:color w:val="auto"/>
              </w:rPr>
            </w:pPr>
            <w:r>
              <w:rPr>
                <w:rFonts w:ascii="Arial" w:cs="Arial" w:eastAsia="Arial" w:hAnsi="Arial"/>
                <w:sz w:val="18"/>
                <w:szCs w:val="18"/>
                <w:color w:val="auto"/>
              </w:rPr>
              <w:t>LOSS BEFORE INCOME TAXES</w:t>
            </w:r>
          </w:p>
        </w:tc>
        <w:tc>
          <w:tcPr>
            <w:tcW w:w="1180" w:type="dxa"/>
            <w:vAlign w:val="bottom"/>
            <w:tcBorders>
              <w:bottom w:val="single" w:sz="8" w:color="auto"/>
            </w:tcBorders>
            <w:shd w:val="clear" w:color="auto" w:fill="CFF2FA"/>
          </w:tcPr>
          <w:p>
            <w:pPr>
              <w:spacing w:after="0"/>
              <w:rPr>
                <w:sz w:val="19"/>
                <w:szCs w:val="19"/>
                <w:color w:val="auto"/>
              </w:rPr>
            </w:pPr>
          </w:p>
        </w:tc>
        <w:tc>
          <w:tcPr>
            <w:tcW w:w="5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FF2FA"/>
          </w:tcPr>
          <w:p>
            <w:pPr>
              <w:spacing w:after="0"/>
              <w:rPr>
                <w:sz w:val="19"/>
                <w:szCs w:val="19"/>
                <w:color w:val="auto"/>
              </w:rPr>
            </w:pPr>
          </w:p>
        </w:tc>
        <w:tc>
          <w:tcPr>
            <w:tcW w:w="520" w:type="dxa"/>
            <w:vAlign w:val="bottom"/>
            <w:tcBorders>
              <w:bottom w:val="single" w:sz="8" w:color="auto"/>
            </w:tcBorders>
            <w:shd w:val="clear" w:color="auto" w:fill="CFF2FA"/>
          </w:tcPr>
          <w:p>
            <w:pPr>
              <w:spacing w:after="0"/>
              <w:rPr>
                <w:sz w:val="19"/>
                <w:szCs w:val="19"/>
                <w:color w:val="auto"/>
              </w:rPr>
            </w:pP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FF2FA"/>
          </w:tcPr>
          <w:p>
            <w:pPr>
              <w:spacing w:after="0"/>
              <w:rPr>
                <w:sz w:val="19"/>
                <w:szCs w:val="19"/>
                <w:color w:val="auto"/>
              </w:rPr>
            </w:pPr>
          </w:p>
        </w:tc>
      </w:tr>
      <w:tr>
        <w:trPr>
          <w:trHeight w:val="223"/>
        </w:trPr>
        <w:tc>
          <w:tcPr>
            <w:tcW w:w="7580" w:type="dxa"/>
            <w:vAlign w:val="bottom"/>
            <w:tcBorders>
              <w:bottom w:val="single" w:sz="8" w:color="CFF2FA"/>
            </w:tcBorders>
          </w:tcPr>
          <w:p>
            <w:pPr>
              <w:ind w:left="38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CFF2FA"/>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FF2FA"/>
            </w:tcBorders>
          </w:tcPr>
          <w:p>
            <w:pPr>
              <w:spacing w:after="0"/>
              <w:rPr>
                <w:sz w:val="19"/>
                <w:szCs w:val="19"/>
                <w:color w:val="auto"/>
              </w:rPr>
            </w:pPr>
          </w:p>
        </w:tc>
      </w:tr>
      <w:tr>
        <w:trPr>
          <w:trHeight w:val="223"/>
        </w:trPr>
        <w:tc>
          <w:tcPr>
            <w:tcW w:w="7580" w:type="dxa"/>
            <w:vAlign w:val="bottom"/>
            <w:tcBorders>
              <w:bottom w:val="single" w:sz="8" w:color="CFF2FA"/>
            </w:tcBorders>
            <w:shd w:val="clear" w:color="auto" w:fill="CFF2FA"/>
          </w:tcPr>
          <w:p>
            <w:pPr>
              <w:spacing w:after="0"/>
              <w:rPr>
                <w:sz w:val="20"/>
                <w:szCs w:val="20"/>
                <w:color w:val="auto"/>
              </w:rPr>
            </w:pPr>
            <w:r>
              <w:rPr>
                <w:rFonts w:ascii="Arial" w:cs="Arial" w:eastAsia="Arial" w:hAnsi="Arial"/>
                <w:sz w:val="18"/>
                <w:szCs w:val="18"/>
                <w:color w:val="auto"/>
              </w:rPr>
              <w:t>NET LOSS</w:t>
            </w:r>
          </w:p>
        </w:tc>
        <w:tc>
          <w:tcPr>
            <w:tcW w:w="1180" w:type="dxa"/>
            <w:vAlign w:val="bottom"/>
            <w:tcBorders>
              <w:bottom w:val="single" w:sz="8" w:color="auto"/>
            </w:tcBorders>
            <w:shd w:val="clear" w:color="auto" w:fill="CFF2FA"/>
          </w:tcPr>
          <w:p>
            <w:pPr>
              <w:jc w:val="right"/>
              <w:ind w:right="10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FF2FA"/>
            </w:tcBorders>
            <w:shd w:val="clear" w:color="auto" w:fill="CFF2FA"/>
          </w:tcPr>
          <w:p>
            <w:pPr>
              <w:spacing w:after="0"/>
              <w:rPr>
                <w:sz w:val="19"/>
                <w:szCs w:val="19"/>
                <w:color w:val="auto"/>
              </w:rPr>
            </w:pPr>
          </w:p>
        </w:tc>
        <w:tc>
          <w:tcPr>
            <w:tcW w:w="520" w:type="dxa"/>
            <w:vAlign w:val="bottom"/>
            <w:tcBorders>
              <w:bottom w:val="single" w:sz="8" w:color="auto"/>
            </w:tcBorders>
            <w:shd w:val="clear" w:color="auto" w:fill="CFF2FA"/>
          </w:tcPr>
          <w:p>
            <w:pPr>
              <w:jc w:val="right"/>
              <w:ind w:right="3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2FA"/>
            </w:tcBorders>
            <w:shd w:val="clear" w:color="auto" w:fill="CFF2FA"/>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0" w:type="dxa"/>
            <w:vAlign w:val="bottom"/>
            <w:tcBorders>
              <w:bottom w:val="single" w:sz="8" w:color="auto"/>
            </w:tcBorders>
            <w:gridSpan w:val="5"/>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6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March 29,</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March 30,</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1"/>
        </w:trPr>
        <w:tc>
          <w:tcPr>
            <w:tcW w:w="6680" w:type="dxa"/>
            <w:vAlign w:val="bottom"/>
          </w:tcPr>
          <w:p>
            <w:pPr>
              <w:spacing w:after="0"/>
              <w:rPr>
                <w:sz w:val="14"/>
                <w:szCs w:val="14"/>
                <w:color w:val="auto"/>
              </w:rPr>
            </w:pPr>
          </w:p>
        </w:tc>
        <w:tc>
          <w:tcPr>
            <w:tcW w:w="232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320" w:type="dxa"/>
            <w:vAlign w:val="bottom"/>
            <w:gridSpan w:val="2"/>
          </w:tcPr>
          <w:p>
            <w:pPr>
              <w:jc w:val="right"/>
              <w:ind w:right="96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140" w:type="dxa"/>
            <w:vAlign w:val="bottom"/>
            <w:gridSpan w:val="2"/>
          </w:tcPr>
          <w:p>
            <w:pPr>
              <w:jc w:val="right"/>
              <w:ind w:right="999"/>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5"/>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Adjustments to reconcile net loss to net cash provided by operating</w:t>
            </w:r>
          </w:p>
        </w:tc>
        <w:tc>
          <w:tcPr>
            <w:tcW w:w="1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activities:</w:t>
            </w:r>
          </w:p>
        </w:tc>
        <w:tc>
          <w:tcPr>
            <w:tcW w:w="1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share-based compensation</w:t>
            </w:r>
          </w:p>
        </w:tc>
        <w:tc>
          <w:tcPr>
            <w:tcW w:w="1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Impairment on investment</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Amortization of debt issuance costs</w:t>
            </w:r>
          </w:p>
        </w:tc>
        <w:tc>
          <w:tcPr>
            <w:tcW w:w="1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Other</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Receivables, net</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Amounts due to founding members and managing member</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r>
      <w:tr>
        <w:trPr>
          <w:trHeight w:val="230"/>
        </w:trPr>
        <w:tc>
          <w:tcPr>
            <w:tcW w:w="66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6680" w:type="dxa"/>
            <w:vAlign w:val="bottom"/>
          </w:tcPr>
          <w:p>
            <w:pPr>
              <w:ind w:left="740"/>
              <w:spacing w:after="0"/>
              <w:rPr>
                <w:sz w:val="20"/>
                <w:szCs w:val="20"/>
                <w:color w:val="auto"/>
              </w:rPr>
            </w:pPr>
            <w:r>
              <w:rPr>
                <w:rFonts w:ascii="Arial" w:cs="Arial" w:eastAsia="Arial" w:hAnsi="Arial"/>
                <w:sz w:val="18"/>
                <w:szCs w:val="18"/>
                <w:color w:val="auto"/>
              </w:rPr>
              <w:t>Other, net</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r>
      <w:tr>
        <w:trPr>
          <w:trHeight w:val="223"/>
        </w:trPr>
        <w:tc>
          <w:tcPr>
            <w:tcW w:w="66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1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w:t>
            </w: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Purchases of intangible assets from network affiliates</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notes receivable - founding members</w:t>
            </w:r>
          </w:p>
        </w:tc>
        <w:tc>
          <w:tcPr>
            <w:tcW w:w="11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Proceeds from borrowings</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Repayments of borrowings</w:t>
            </w:r>
          </w:p>
        </w:tc>
        <w:tc>
          <w:tcPr>
            <w:tcW w:w="1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(37.0)</w:t>
            </w: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(35.0)</w:t>
            </w:r>
          </w:p>
        </w:tc>
      </w:tr>
      <w:tr>
        <w:trPr>
          <w:trHeight w:val="215"/>
        </w:trPr>
        <w:tc>
          <w:tcPr>
            <w:tcW w:w="6680" w:type="dxa"/>
            <w:vAlign w:val="bottom"/>
          </w:tcPr>
          <w:p>
            <w:pPr>
              <w:ind w:left="500"/>
              <w:spacing w:after="0"/>
              <w:rPr>
                <w:sz w:val="20"/>
                <w:szCs w:val="20"/>
                <w:color w:val="auto"/>
              </w:rPr>
            </w:pPr>
            <w:r>
              <w:rPr>
                <w:rFonts w:ascii="Arial" w:cs="Arial" w:eastAsia="Arial" w:hAnsi="Arial"/>
                <w:sz w:val="18"/>
                <w:szCs w:val="18"/>
                <w:color w:val="auto"/>
              </w:rPr>
              <w:t>Founding member integration payments and other encumbered</w:t>
            </w: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680" w:type="dxa"/>
            <w:vAlign w:val="bottom"/>
          </w:tcPr>
          <w:p>
            <w:pPr>
              <w:ind w:left="640"/>
              <w:spacing w:after="0"/>
              <w:rPr>
                <w:sz w:val="20"/>
                <w:szCs w:val="20"/>
                <w:color w:val="auto"/>
              </w:rPr>
            </w:pPr>
            <w:r>
              <w:rPr>
                <w:rFonts w:ascii="Arial" w:cs="Arial" w:eastAsia="Arial" w:hAnsi="Arial"/>
                <w:sz w:val="18"/>
                <w:szCs w:val="18"/>
                <w:color w:val="auto"/>
              </w:rPr>
              <w:t>theater payments</w:t>
            </w: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Distributions to founding members and managing member</w:t>
            </w:r>
          </w:p>
        </w:tc>
        <w:tc>
          <w:tcPr>
            <w:tcW w:w="1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(74.5)</w:t>
            </w:r>
          </w:p>
        </w:tc>
        <w:tc>
          <w:tcPr>
            <w:tcW w:w="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(70.8)</w:t>
            </w:r>
          </w:p>
        </w:tc>
      </w:tr>
      <w:tr>
        <w:trPr>
          <w:trHeight w:val="230"/>
        </w:trPr>
        <w:tc>
          <w:tcPr>
            <w:tcW w:w="6680" w:type="dxa"/>
            <w:vAlign w:val="bottom"/>
          </w:tcPr>
          <w:p>
            <w:pPr>
              <w:ind w:left="500"/>
              <w:spacing w:after="0"/>
              <w:rPr>
                <w:sz w:val="20"/>
                <w:szCs w:val="20"/>
                <w:color w:val="auto"/>
              </w:rPr>
            </w:pPr>
            <w:r>
              <w:rPr>
                <w:rFonts w:ascii="Arial" w:cs="Arial" w:eastAsia="Arial" w:hAnsi="Arial"/>
                <w:sz w:val="18"/>
                <w:szCs w:val="18"/>
                <w:color w:val="auto"/>
              </w:rPr>
              <w:t>Unit settlement for share-based compensation</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r>
      <w:tr>
        <w:trPr>
          <w:trHeight w:val="223"/>
        </w:trPr>
        <w:tc>
          <w:tcPr>
            <w:tcW w:w="668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(45.8)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(54.2)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CHANGE IN CASH, CASH EQUIVALENTS AND RESTRICTED CASH:</w:t>
            </w: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r>
      <w:tr>
        <w:trPr>
          <w:trHeight w:val="230"/>
        </w:trPr>
        <w:tc>
          <w:tcPr>
            <w:tcW w:w="6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18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r>
      <w:tr>
        <w:trPr>
          <w:trHeight w:val="223"/>
        </w:trPr>
        <w:tc>
          <w:tcPr>
            <w:tcW w:w="6680" w:type="dxa"/>
            <w:vAlign w:val="bottom"/>
          </w:tcPr>
          <w:p>
            <w:pPr>
              <w:ind w:left="500"/>
              <w:spacing w:after="0"/>
              <w:rPr>
                <w:sz w:val="20"/>
                <w:szCs w:val="20"/>
                <w:color w:val="auto"/>
              </w:rPr>
            </w:pPr>
            <w:r>
              <w:rPr>
                <w:rFonts w:ascii="Arial" w:cs="Arial" w:eastAsia="Arial" w:hAnsi="Arial"/>
                <w:sz w:val="18"/>
                <w:szCs w:val="18"/>
                <w:color w:val="auto"/>
              </w:rPr>
              <w:t>Cash, cash equivalents and restricted cash at end of period</w:t>
            </w:r>
          </w:p>
        </w:tc>
        <w:tc>
          <w:tcPr>
            <w:tcW w:w="1180" w:type="dxa"/>
            <w:vAlign w:val="bottom"/>
          </w:tcPr>
          <w:p>
            <w:pPr>
              <w:spacing w:after="0"/>
              <w:rPr>
                <w:sz w:val="19"/>
                <w:szCs w:val="19"/>
                <w:color w:val="auto"/>
              </w:rPr>
            </w:pPr>
          </w:p>
        </w:tc>
        <w:tc>
          <w:tcPr>
            <w:tcW w:w="1140" w:type="dxa"/>
            <w:vAlign w:val="bottom"/>
            <w:tcBorders>
              <w:bottom w:val="single" w:sz="8" w:color="auto"/>
            </w:tcBorders>
          </w:tcPr>
          <w:p>
            <w:pPr>
              <w:jc w:val="right"/>
              <w:ind w:right="96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99"/>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2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r>
      <w:tr>
        <w:trPr>
          <w:trHeight w:val="133"/>
        </w:trPr>
        <w:tc>
          <w:tcPr>
            <w:tcW w:w="6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97"/>
              <w:spacing w:after="0" w:line="133" w:lineRule="exact"/>
              <w:rPr>
                <w:sz w:val="20"/>
                <w:szCs w:val="20"/>
                <w:color w:val="auto"/>
              </w:rPr>
            </w:pPr>
            <w:r>
              <w:rPr>
                <w:rFonts w:ascii="Arial" w:cs="Arial" w:eastAsia="Arial" w:hAnsi="Arial"/>
                <w:sz w:val="14"/>
                <w:szCs w:val="14"/>
                <w:b w:val="1"/>
                <w:bCs w:val="1"/>
                <w:color w:val="auto"/>
              </w:rPr>
              <w:t>March 29,</w:t>
            </w: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415"/>
              <w:spacing w:after="0" w:line="133" w:lineRule="exact"/>
              <w:rPr>
                <w:sz w:val="20"/>
                <w:szCs w:val="20"/>
                <w:color w:val="auto"/>
              </w:rPr>
            </w:pPr>
            <w:r>
              <w:rPr>
                <w:rFonts w:ascii="Arial" w:cs="Arial" w:eastAsia="Arial" w:hAnsi="Arial"/>
                <w:sz w:val="14"/>
                <w:szCs w:val="14"/>
                <w:b w:val="1"/>
                <w:bCs w:val="1"/>
                <w:color w:val="auto"/>
              </w:rPr>
              <w:t>March 30,</w:t>
            </w:r>
          </w:p>
        </w:tc>
        <w:tc>
          <w:tcPr>
            <w:tcW w:w="120" w:type="dxa"/>
            <w:vAlign w:val="bottom"/>
          </w:tcPr>
          <w:p>
            <w:pPr>
              <w:spacing w:after="0"/>
              <w:rPr>
                <w:sz w:val="11"/>
                <w:szCs w:val="11"/>
                <w:color w:val="auto"/>
              </w:rPr>
            </w:pPr>
          </w:p>
        </w:tc>
      </w:tr>
      <w:tr>
        <w:trPr>
          <w:trHeight w:val="171"/>
        </w:trPr>
        <w:tc>
          <w:tcPr>
            <w:tcW w:w="6460" w:type="dxa"/>
            <w:vAlign w:val="bottom"/>
            <w:tcBorders>
              <w:bottom w:val="single" w:sz="8" w:color="CFF0FC"/>
            </w:tcBorders>
          </w:tcPr>
          <w:p>
            <w:pPr>
              <w:spacing w:after="0"/>
              <w:rPr>
                <w:sz w:val="14"/>
                <w:szCs w:val="14"/>
                <w:color w:val="auto"/>
              </w:rPr>
            </w:pPr>
          </w:p>
        </w:tc>
        <w:tc>
          <w:tcPr>
            <w:tcW w:w="13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Purchase of an intangible asset with NCM LLC equity</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distributions to founding members and managing member</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r>
      <w:tr>
        <w:trPr>
          <w:trHeight w:val="215"/>
        </w:trPr>
        <w:tc>
          <w:tcPr>
            <w:tcW w:w="6460" w:type="dxa"/>
            <w:vAlign w:val="bottom"/>
          </w:tcPr>
          <w:p>
            <w:pPr>
              <w:ind w:left="260"/>
              <w:spacing w:after="0"/>
              <w:rPr>
                <w:sz w:val="20"/>
                <w:szCs w:val="20"/>
                <w:color w:val="auto"/>
              </w:rPr>
            </w:pPr>
            <w:r>
              <w:rPr>
                <w:rFonts w:ascii="Arial" w:cs="Arial" w:eastAsia="Arial" w:hAnsi="Arial"/>
                <w:sz w:val="18"/>
                <w:szCs w:val="18"/>
                <w:color w:val="auto"/>
              </w:rPr>
              <w:t>Accrued integration and other encumbered theater payments due</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460" w:type="dxa"/>
            <w:vAlign w:val="bottom"/>
          </w:tcPr>
          <w:p>
            <w:pPr>
              <w:ind w:left="380"/>
              <w:spacing w:after="0"/>
              <w:rPr>
                <w:sz w:val="20"/>
                <w:szCs w:val="20"/>
                <w:color w:val="auto"/>
              </w:rPr>
            </w:pPr>
            <w:r>
              <w:rPr>
                <w:rFonts w:ascii="Arial" w:cs="Arial" w:eastAsia="Arial" w:hAnsi="Arial"/>
                <w:sz w:val="18"/>
                <w:szCs w:val="18"/>
                <w:color w:val="auto"/>
              </w:rPr>
              <w:t>from founding members</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r>
      <w:tr>
        <w:trPr>
          <w:trHeight w:val="230"/>
        </w:trPr>
        <w:tc>
          <w:tcPr>
            <w:tcW w:w="6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income taxes, net of refunds</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National CineMedia, LLC (“NCM LLC”, “the Company” or “we”) commenced operations on April 1, 2005 and is owned by National CineMedia, Inc. (“NCM, Inc.”, “manager” or “managing member”), American Multi-Cinema, Inc. and AMC ShowPlace Theatres, Inc., wholly owned subsidiaries of AMC Entertainment, Inc. (“AMC”), Regal Cinemas, Inc. and Regal CineMedia Holdings, LLC, wholly owned subsidiaries of Cineworld Group plc and Regal Entertainment Group (“Regal”) and Cinemark Media, Inc. and Cinemark USA, Inc., wholly owned subsidiaries of Cinemark Holdings, Inc. (“Cinemark”). AMC, Regal and Cinemark and their affiliates are referred to in this document as “founding members”. NCM LLC operates the largest digital in-theater network in North America, allowing NCM LLC to sell advertising under long-term exhibitor services agreements (“ESAs”) with the founding members (approximately 19 years remaining as of March 29, 2018) and certain third-party theater circuits, referred to in this document as “network affiliates” under long-term network affiliate agreements, which have terms from one to twenty years.</w:t>
      </w:r>
    </w:p>
    <w:p>
      <w:pPr>
        <w:spacing w:after="0" w:line="7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As of March 29, 2018, NCM LLC had 157,564,977 common membership units outstanding, of which 76,904,155 (48.8%) were owned by NCM, Inc., 30,403,438 (19.3%) were owned by Regal, 28,779,904 (18.3%) were owned by Cinemark and 21,477,480 (13.6%) were owned by AMC. The membership units held by the founding members are exchangeable into NCM, Inc. common stock on a one-for-one basis.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The Company has prepared the unaudited Condensed Financial Statements and related notes of NCM LLC in accordance with accounting principles generally accepted in the United States of America (“GAAP”) for interim financial information and the rules and regulations of the Securities and Exchange Commission (“SEC”). Accordingly, certain information and footnote disclosures typically included in an annual report have been condensed or omitted for this quarterly report. The balance sheet as of December 28, 2017 is derived from the audited financial statements of NCM LLC. Therefore, the unaudited Condensed Financial Statements should be read in conjunction with the NCM LLC audited Financial Statements and notes thereto included in the Company’s annual report on Form 10-K filed for the fiscal year ended December 28, 2017.</w:t>
      </w:r>
    </w:p>
    <w:p>
      <w:pPr>
        <w:spacing w:after="0" w:line="70"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4—</w:t>
      </w:r>
      <w:r>
        <w:rPr>
          <w:rFonts w:ascii="Arial" w:cs="Arial" w:eastAsia="Arial" w:hAnsi="Arial"/>
          <w:sz w:val="17"/>
          <w:szCs w:val="17"/>
          <w:i w:val="1"/>
          <w:iCs w:val="1"/>
          <w:color w:val="auto"/>
        </w:rPr>
        <w:t>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Party Transactions</w:t>
      </w:r>
      <w:r>
        <w:rPr>
          <w:rFonts w:ascii="Arial" w:cs="Arial" w:eastAsia="Arial" w:hAnsi="Arial"/>
          <w:sz w:val="17"/>
          <w:szCs w:val="17"/>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6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 affect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share-based compensation. Actual results could differ from those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760" w:firstLine="555"/>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28, 2017 contain a complete discussion of the Company’s significant accounting policies. Following is additional information related to the Company’s accounting policies.</w:t>
      </w:r>
    </w:p>
    <w:p>
      <w:pPr>
        <w:spacing w:after="0" w:line="16" w:lineRule="exact"/>
        <w:rPr>
          <w:sz w:val="20"/>
          <w:szCs w:val="20"/>
          <w:color w:val="auto"/>
        </w:rPr>
      </w:pPr>
    </w:p>
    <w:p>
      <w:pPr>
        <w:ind w:right="280" w:firstLine="673"/>
        <w:spacing w:after="0" w:line="276"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—The Company derives revenue principally from the advertising business, which includes on-screen and lobby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 advertising and lobby promotions and advertising on entertainment websites and mobile applications owned by the Company and other companies. Revenue is recognized over time as the customer receives the benefits provided by the Company’s advertising services and the Company has the right to payment for performance to date. The Company considers the terms of each arrangement to determine the appropriate accounting treatment as more fully discussed in Note 2—</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w:t>
      </w:r>
    </w:p>
    <w:p>
      <w:pPr>
        <w:spacing w:after="0" w:line="64"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b w:val="1"/>
          <w:bCs w:val="1"/>
          <w:i w:val="1"/>
          <w:iCs w:val="1"/>
          <w:color w:val="auto"/>
        </w:rPr>
        <w:t>Concentration of Credit Risk and Significant Customers</w:t>
      </w:r>
      <w:r>
        <w:rPr>
          <w:rFonts w:ascii="Arial" w:cs="Arial" w:eastAsia="Arial" w:hAnsi="Arial"/>
          <w:sz w:val="18"/>
          <w:szCs w:val="18"/>
          <w:color w:val="auto"/>
        </w:rPr>
        <w:t>—Bad debts are provided for using the allowance for doubtful accounts method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experience and management’s evaluation of outstanding receivables at the end of the period. Receivables are written off when management determines amounts are uncollectible. Trade accounts receivable are uncollateralized and represent a large number of geographically dispersed debtors. The collectability risk with respect to</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national and regional advertising is reduced by transacting with founding members or large, national advertising agencies who have strong reputations in the advertising industry and clients with stable financial positions. The Company has smaller contracts with thousands of local clients that are not individually significant. As of March 29, 2018 and December 28, 2017, there were no advertising agency groups or individual customers through which the Company sources national advertising revenue representing more than 10% of the Company’s outstanding gross receivable balance. During the three months ended March 29, 2018 and March 30, 2017, the Company had no customers that accounted for more than 10% of revenue.</w:t>
      </w:r>
    </w:p>
    <w:p>
      <w:pPr>
        <w:spacing w:after="0" w:line="50"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color w:val="auto"/>
        </w:rPr>
        <w:t>—The management services agreement between NCM LLC and NCM, Inc. provides that NCM LLC may participate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NCM, Inc. Equity Incentive Plan. NCM, Inc. has issued stock options and restricted stock to certain employees and restricted stock units to its independent directors under the NCM, Inc. Equity Incentive Plan. The Company has not granted stock options since 2012. In 2017 and 2018, the restricted stock grants for Company officers vest upon the achievement of NCM, Inc. performance measures and/or service conditions, while non-officer grants vest only upon the achievement of service conditions. Compensation expense of restricted stock that vests upon the achievement of NCM, Inc.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The recognized expense, including equity based compensation costs of NCM, Inc. employees, is included in the operating results of NCM LLC. Upon the exercise of options or the vesting of restricted stock, NCM, Inc. has the right to acquire from NCM LLC a number of common units equal to the number of NCM, Inc. shares being issued. In consideration for such units, NCM, Inc. contributes to NCM LLC the consideration received for the exercise of options or vesting of shares of restricted stock. During the three months ended March 29, 2018 and March 30, 2017, NCM, Inc. acquired 661,933 and 720,989 units, respectively, due to the vesting of restricted stock and restricted stock units and exercise of stock options and contributed $0.0 million and $0.6 million to NCM LLC for stock option exercises for the three months ended March 29, 2018 and March 30, 2017,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 xml:space="preserve">During the first quarter of 2018, the Company adopted Accounting Standards Update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using the modified retrospective transition method. The Company identified the same performance obligations under ASU 2014-09 as compared with deliverables and separate units of account previously identified. ASU 2014-09 impacted the accounting for barter transactions where the Company exchanges advertising time for products and services used principally for selling and marketing activities. The Company historically recognized revenue for these transactions at the estimated fair value of the advertising exchanged based on the fair value received for similar advertising from cash paying customers. In accordance with the new guidance, the Company will recognize revenue for these transactions based upon the fair value of the products and services received, rather than the value of the advertising provided. The modified retrospective transition method allows entities to apply the new revenue standard prospectively and record a cumulative-effect adjustment to the opening balance of retained earnings in the period the new revenue standard is first applied. Upon the adoption of ASU 2014-09 on December 29, 2017, the Company recorded an $0.2 million cumulative-effect adjustment related to the change in accounting for barter transactions on contracts that are not completed as of December 29, 2017 in the unaudited Balance Sheet. The Company’s adoption of ASU 2014-09 did not have a material impact on the unaudited Condensed Financial Statements. The Company has incorporated additional disclosures in Note 2—</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 the unaudited Condensed Financial Statements to comply with ASU 2014-09.</w:t>
      </w:r>
    </w:p>
    <w:p>
      <w:pPr>
        <w:spacing w:after="0" w:line="61"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 xml:space="preserve">During the first quarter of 2018, the Company adopted Accounting Standards Update 2016-01, </w:t>
      </w:r>
      <w:r>
        <w:rPr>
          <w:rFonts w:ascii="Arial" w:cs="Arial" w:eastAsia="Arial" w:hAnsi="Arial"/>
          <w:sz w:val="16"/>
          <w:szCs w:val="16"/>
          <w:i w:val="1"/>
          <w:iCs w:val="1"/>
          <w:color w:val="auto"/>
        </w:rPr>
        <w:t>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which requires equity investments that are not accounted for under the equity method of accounting to be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fair value with changes recognized in earnings (rather than reported through other comprehensive income) and updates certain presentation and disclosure requirements. In February 2018, the FASB issued Accounting Standards Update 2018-03, </w:t>
      </w:r>
      <w:r>
        <w:rPr>
          <w:rFonts w:ascii="Arial" w:cs="Arial" w:eastAsia="Arial" w:hAnsi="Arial"/>
          <w:sz w:val="16"/>
          <w:szCs w:val="16"/>
          <w:i w:val="1"/>
          <w:iCs w:val="1"/>
          <w:color w:val="auto"/>
        </w:rPr>
        <w:t>Technical Corrections and Improvements to Financial Instruments</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 Overall (Subtopic 825-10): Recognition and Measurement of Financial Assets and Financial Liabilities </w:t>
      </w:r>
      <w:r>
        <w:rPr>
          <w:rFonts w:ascii="Arial" w:cs="Arial" w:eastAsia="Arial" w:hAnsi="Arial"/>
          <w:sz w:val="18"/>
          <w:szCs w:val="18"/>
          <w:color w:val="auto"/>
        </w:rPr>
        <w:t>(“ASU 2018-03”). These amendments clarify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on certain topics referred to in ASU 2016-01. No changes to the methodology utilized to value the Company’s investments were necessary upon adoption of the ASU 2016-01. The Company has incorporated changes to disclosures in its notes to the unaudited Condensed Financial Statements to comply with ASU 2016-01.</w:t>
      </w:r>
    </w:p>
    <w:p>
      <w:pPr>
        <w:spacing w:after="0" w:line="82"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 xml:space="preserve">During the first quarter of 2018, the Company adopted Accounting Standards Update 2016-15, </w:t>
      </w:r>
      <w:r>
        <w:rPr>
          <w:rFonts w:ascii="Arial" w:cs="Arial" w:eastAsia="Arial" w:hAnsi="Arial"/>
          <w:sz w:val="18"/>
          <w:szCs w:val="18"/>
          <w:i w:val="1"/>
          <w:iCs w:val="1"/>
          <w:color w:val="auto"/>
        </w:rPr>
        <w:t>Statement of Cash Flows (Topic 230):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Cash Receipts and Cash Payments </w:t>
      </w:r>
      <w:r>
        <w:rPr>
          <w:rFonts w:ascii="Arial" w:cs="Arial" w:eastAsia="Arial" w:hAnsi="Arial"/>
          <w:sz w:val="18"/>
          <w:szCs w:val="18"/>
          <w:color w:val="auto"/>
        </w:rPr>
        <w:t>(“ASU 2016-15”) on a retrospective basis.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ASU 2016-15 provides guidance on certain cash receipts and cash payments presented and classified in the statement of cash flows. The adoption of ASU 2016-15 did not have a material impact on the unaudited Condensed Financial Statements or notes thereto.</w:t>
      </w:r>
    </w:p>
    <w:p>
      <w:pPr>
        <w:spacing w:after="0" w:line="62"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 xml:space="preserve">During the first quarter of 2018, the Company adopted Accounting Standards Update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on a retrospective basis. ASU 2016-18 requires that the reconciliation of the beginning-of-period and end-of-period amounts shown in the statement of cash flows include restricted cash and restricted cash equivalents. The Company has adjusted the Condensed Statement of Cash Flow for the three months ended March 30, 2017 to include the restricted cash balance within the aforementioned captions. The adoption of ASU 2016-18 had no other impact on the unaudited Condensed Financial Statements or notes thereto.</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100" w:firstLine="555"/>
        <w:spacing w:after="0" w:line="272"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(“ASU 2016-02”). ASU 2016-02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currently evaluating the impact that adopting this guidance will have on the unaudited Condensed Financial Statements or notes thereto.</w:t>
      </w:r>
    </w:p>
    <w:p>
      <w:pPr>
        <w:spacing w:after="0" w:line="70"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 xml:space="preserve">In June 2016, the FASB issued Accounting Standards Update 2016-13, </w:t>
      </w:r>
      <w:r>
        <w:rPr>
          <w:rFonts w:ascii="Arial" w:cs="Arial" w:eastAsia="Arial" w:hAnsi="Arial"/>
          <w:sz w:val="18"/>
          <w:szCs w:val="18"/>
          <w:i w:val="1"/>
          <w:iCs w:val="1"/>
          <w:color w:val="auto"/>
        </w:rPr>
        <w:t>Financial Instruments – 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Losses on Financial Statements (“</w:t>
      </w:r>
      <w:r>
        <w:rPr>
          <w:rFonts w:ascii="Arial" w:cs="Arial" w:eastAsia="Arial" w:hAnsi="Arial"/>
          <w:sz w:val="18"/>
          <w:szCs w:val="18"/>
          <w:color w:val="auto"/>
        </w:rPr>
        <w:t>ASU 2016-13”), which requires a financial asset (or group of financial assets) measured at amortized cost basis to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at the net amount expected to be collected. The allowance for credit losses is a valuation account that is deducted from the amortized cost basis of the financial asset(s) to present the net carrying value at the amount expected to be collected on the financial asset. ASU 2016-13 is effective for fiscal years beginning after December 15, 2019, including interim periods within those fiscal years, with early adoption permitted and is to be adopted on a modified retrospective basis. The Company is currently evaluating the impact that adopting this guidance will have on the unaudited Condensed Financial Statements or notes thereto.</w:t>
      </w:r>
    </w:p>
    <w:p>
      <w:pPr>
        <w:spacing w:after="0" w:line="81"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 xml:space="preserve">In March 2018, the FASB issued Accounting Standards Update 2018-04, </w:t>
      </w:r>
      <w:r>
        <w:rPr>
          <w:rFonts w:ascii="Arial" w:cs="Arial" w:eastAsia="Arial" w:hAnsi="Arial"/>
          <w:sz w:val="16"/>
          <w:szCs w:val="16"/>
          <w:i w:val="1"/>
          <w:iCs w:val="1"/>
          <w:color w:val="auto"/>
        </w:rPr>
        <w:t>Investments – Debt Securities (Topic 320) and Regulated Operations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980): Amendments to SEC Paragraphs Pursuant to SEC Staff Accounting Bulletin No. 117 and SEC Release No. 33-9273 </w:t>
      </w:r>
      <w:r>
        <w:rPr>
          <w:rFonts w:ascii="Arial" w:cs="Arial" w:eastAsia="Arial" w:hAnsi="Arial"/>
          <w:sz w:val="16"/>
          <w:szCs w:val="16"/>
          <w:color w:val="auto"/>
        </w:rPr>
        <w:t>(“ASU 2018-04”), which amends</w:t>
      </w:r>
      <w:r>
        <w:rPr>
          <w:rFonts w:ascii="Arial" w:cs="Arial" w:eastAsia="Arial" w:hAnsi="Arial"/>
          <w:sz w:val="16"/>
          <w:szCs w:val="16"/>
          <w:i w:val="1"/>
          <w:iCs w:val="1"/>
          <w:color w:val="auto"/>
        </w:rPr>
        <w:t xml:space="preserve"> </w:t>
      </w:r>
      <w:r>
        <w:rPr>
          <w:rFonts w:ascii="Arial" w:cs="Arial" w:eastAsia="Arial" w:hAnsi="Arial"/>
          <w:sz w:val="16"/>
          <w:szCs w:val="16"/>
          <w:color w:val="auto"/>
        </w:rPr>
        <w:t>and supersedes variance paragraphs that contain SEC guidance in ASC 320, Investments-Debt Securities and ASC 980, Regulated Operations. The Company is currently evaluating the impact that adopting this guidance will have on the unaudited Condensed Consolidated Financial Statements or notes thereto.</w:t>
      </w:r>
    </w:p>
    <w:p>
      <w:pPr>
        <w:spacing w:after="0" w:line="46"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 or notes thereto.</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REVENUE FROM CONTRACTS WITH CUSTOMERS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On December 29, 2017, the Company adopted ASU 2014-09. The following disclosures have been added in accordance with ASU 2014-09.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 xml:space="preserve">The Company derives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xml:space="preserve">, the Company’s cinema advertising and entertainment pre-show. The Company also sells advertising through the Lobby Entertainment Network (“LEN”), a series of strategically-placed screens located in movie theater lobbies, as well as other forms of advertising and promotions in theater lobbies. In addition, the Company sells online and mobile advertising through the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digital product. The Company also has a long-term agreement to exhibit the advertising of the founding members’ beverage suppliers.</w:t>
      </w:r>
    </w:p>
    <w:p>
      <w:pPr>
        <w:spacing w:after="0" w:line="80" w:lineRule="exact"/>
        <w:rPr>
          <w:sz w:val="20"/>
          <w:szCs w:val="20"/>
          <w:color w:val="auto"/>
        </w:rPr>
      </w:pPr>
    </w:p>
    <w:p>
      <w:pPr>
        <w:ind w:firstLine="673"/>
        <w:spacing w:after="0" w:line="302" w:lineRule="auto"/>
        <w:rPr>
          <w:sz w:val="20"/>
          <w:szCs w:val="20"/>
          <w:color w:val="auto"/>
        </w:rPr>
      </w:pPr>
      <w:r>
        <w:rPr>
          <w:rFonts w:ascii="Arial" w:cs="Arial" w:eastAsia="Arial" w:hAnsi="Arial"/>
          <w:sz w:val="16"/>
          <w:szCs w:val="16"/>
          <w:color w:val="auto"/>
        </w:rPr>
        <w:t xml:space="preserve">National advertising, including advertising under the beverage concessionaire and PSA agreements, is sold on a cost per thousand “CPM” basis. The Company recognizes national advertising over time as impressions (or theater attendees) are delivered. National advertising is also sold to content partners. The content partners provide the Company with original entertainment content segments, typically 90 seconds in length, that are entertaining, informative, or educational in nature in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and they make commitments to buy a portion of the Company’s advertising inventory at a specified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CPM. The Company recognizes revenue for the content segments ratably over time as the content segments air. Local and regional advertising is sold on a per-screen, per-week basis and to a lesser extent on a CPM basis. The Company recognizes local on-screen advertising revenue over the period in which the advertising airs as dictated by the underlying sales contracts. When sold separately, LEN advertising and lobby promotions are sold based on length and breadth of the promotion. The Company recognizes revenue derived from lobby network and promotions over time when the advertising is displayed in theater lobbies. The Company sells online and mobile advertising on a CPM basis. The Company recognizes revenue from branded entertainment websites and mobile applications over time as the online or mobile impressions are served.</w:t>
      </w:r>
    </w:p>
    <w:p>
      <w:pPr>
        <w:spacing w:after="0" w:line="70" w:lineRule="exact"/>
        <w:rPr>
          <w:sz w:val="20"/>
          <w:szCs w:val="20"/>
          <w:color w:val="auto"/>
        </w:rPr>
      </w:pPr>
    </w:p>
    <w:p>
      <w:pPr>
        <w:ind w:firstLine="673"/>
        <w:spacing w:after="0" w:line="276" w:lineRule="auto"/>
        <w:rPr>
          <w:sz w:val="20"/>
          <w:szCs w:val="20"/>
          <w:color w:val="auto"/>
        </w:rPr>
      </w:pPr>
      <w:r>
        <w:rPr>
          <w:rFonts w:ascii="Arial" w:cs="Arial" w:eastAsia="Arial" w:hAnsi="Arial"/>
          <w:sz w:val="17"/>
          <w:szCs w:val="17"/>
          <w:color w:val="auto"/>
        </w:rPr>
        <w:t>Customer contracts often include multiple advertising services to reach the movie goer at multiple points during a theater experience. The Company considers each of these advertising services to represent distinct performance obligations of the contract and allocates a portion of the transaction price to each service based upon the standalone selling price of the service, when available. When standalone selling prices are not available or not applicable given the nature of the customer, the Company allocates the transaction price based upon all information that is reasonably available and maximizes the use of observable inputs. Methods utilized include the adjusted market and expected cost-plus margin approaches.</w:t>
      </w:r>
    </w:p>
    <w:p>
      <w:pPr>
        <w:spacing w:after="0" w:line="64" w:lineRule="exact"/>
        <w:rPr>
          <w:sz w:val="20"/>
          <w:szCs w:val="20"/>
          <w:color w:val="auto"/>
        </w:rPr>
      </w:pPr>
    </w:p>
    <w:p>
      <w:pPr>
        <w:ind w:right="340" w:firstLine="673"/>
        <w:spacing w:after="0" w:line="312" w:lineRule="auto"/>
        <w:rPr>
          <w:sz w:val="20"/>
          <w:szCs w:val="20"/>
          <w:color w:val="auto"/>
        </w:rPr>
      </w:pPr>
      <w:r>
        <w:rPr>
          <w:rFonts w:ascii="Arial" w:cs="Arial" w:eastAsia="Arial" w:hAnsi="Arial"/>
          <w:sz w:val="16"/>
          <w:szCs w:val="16"/>
          <w:color w:val="auto"/>
        </w:rPr>
        <w:t>The Company enters into barter transactions that exchange advertising program time for products and services used principally for selling and marketing activities. The Company records barter transactions at the estimated fair value of the products and services received. Revenues for advertising barter transactions are recognized when advertising is provided, and products and services received are charged to expense when used.</w:t>
      </w:r>
    </w:p>
    <w:p>
      <w:pPr>
        <w:spacing w:after="0" w:line="39"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The Company makes contractual guarantees to deliver a specified number of impressions to view the customers’ advertising. If those contracted number of impressions are not delivered, the Company will run additional advertising to deliver the contracted impressions at a later date. The deferred portion of the revenue associated with undelivered impressions is referred to as a make-good provision. In rare cases, the Company will make a cash refund of the portion of the contract related to the undelivered impressions. Given the limited history of cash settlements of the make-good provision, the Company recognizes revenue on the guaranteed contracts as the impressions are delivered and no reserve for variable consideration is recorded. The Company defers the revenue associated with the make-good until the advertising airs to the theater attendance specified in the advertising contract. The make-good provision is recorded within accrued expenses in the Condensed Balance Sheets. As of March 29, 2018 and December 28, 2017, the Company had a make-good provision of $1.9 million and $5.5 million, respectively.</w:t>
      </w:r>
    </w:p>
    <w:p>
      <w:pPr>
        <w:spacing w:after="0" w:line="71"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The Company recognizes revenue as the performance obligation for the advertising services is satisfied. Invoices are generated following the processing of each revenue contract and payment is due from the customer within 30 days of the invoice date. Customers select to pay the invoice in full at the start of a contract or through equal monthly installments over the course of the contract. The Company records deferred revenue when cash payments are received, or invoices are issued, in advance of revenue being earned. Deferred revenue is classified as a current liability as it is expected to be earned within the next twelve months.</w:t>
      </w:r>
    </w:p>
    <w:p>
      <w:pPr>
        <w:spacing w:after="0" w:line="80"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The Company has certain contracts, with two-year terms that are noncancelable following a specified date within the contract period. The estimated revenue expected to be recognized in the future related to these contracted performance obligations that are unsatisfied (or partially unsatisfied) as of March 29, 2018, was $13.2 million, $5.5 million of which is expected to be recognized in 2018 and $7.7 million is expected to be recognized in 2019.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420" w:firstLine="555"/>
        <w:spacing w:after="0" w:line="308" w:lineRule="auto"/>
        <w:rPr>
          <w:sz w:val="20"/>
          <w:szCs w:val="20"/>
          <w:color w:val="auto"/>
        </w:rPr>
      </w:pPr>
      <w:r>
        <w:rPr>
          <w:rFonts w:ascii="Arial" w:cs="Arial" w:eastAsia="Arial" w:hAnsi="Arial"/>
          <w:sz w:val="17"/>
          <w:szCs w:val="17"/>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revenue from contracts with customers for the three-month periods ended March 29, 2018 and March 30, 2017:</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w w:val="98"/>
              </w:rPr>
              <w:t>Three months ended</w:t>
            </w:r>
          </w:p>
        </w:tc>
        <w:tc>
          <w:tcPr>
            <w:tcW w:w="1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33"/>
        </w:trPr>
        <w:tc>
          <w:tcPr>
            <w:tcW w:w="4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460" w:type="dxa"/>
            <w:vAlign w:val="bottom"/>
          </w:tcPr>
          <w:p>
            <w:pPr>
              <w:jc w:val="right"/>
              <w:ind w:right="46"/>
              <w:spacing w:after="0" w:line="133" w:lineRule="exact"/>
              <w:rPr>
                <w:sz w:val="20"/>
                <w:szCs w:val="20"/>
                <w:color w:val="auto"/>
              </w:rPr>
            </w:pPr>
            <w:r>
              <w:rPr>
                <w:rFonts w:ascii="Arial" w:cs="Arial" w:eastAsia="Arial" w:hAnsi="Arial"/>
                <w:sz w:val="14"/>
                <w:szCs w:val="14"/>
                <w:b w:val="1"/>
                <w:bCs w:val="1"/>
                <w:color w:val="auto"/>
              </w:rPr>
              <w:t>March 29,</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80" w:type="dxa"/>
            <w:vAlign w:val="bottom"/>
          </w:tcPr>
          <w:p>
            <w:pPr>
              <w:jc w:val="right"/>
              <w:ind w:right="656"/>
              <w:spacing w:after="0" w:line="133" w:lineRule="exact"/>
              <w:rPr>
                <w:sz w:val="20"/>
                <w:szCs w:val="20"/>
                <w:color w:val="auto"/>
              </w:rPr>
            </w:pPr>
            <w:r>
              <w:rPr>
                <w:rFonts w:ascii="Arial" w:cs="Arial" w:eastAsia="Arial" w:hAnsi="Arial"/>
                <w:sz w:val="14"/>
                <w:szCs w:val="14"/>
                <w:b w:val="1"/>
                <w:bCs w:val="1"/>
                <w:color w:val="auto"/>
              </w:rPr>
              <w:t>March 30,</w:t>
            </w:r>
          </w:p>
        </w:tc>
        <w:tc>
          <w:tcPr>
            <w:tcW w:w="120" w:type="dxa"/>
            <w:vAlign w:val="bottom"/>
          </w:tcPr>
          <w:p>
            <w:pPr>
              <w:spacing w:after="0"/>
              <w:rPr>
                <w:sz w:val="11"/>
                <w:szCs w:val="11"/>
                <w:color w:val="auto"/>
              </w:rPr>
            </w:pPr>
          </w:p>
        </w:tc>
      </w:tr>
      <w:tr>
        <w:trPr>
          <w:trHeight w:val="171"/>
        </w:trPr>
        <w:tc>
          <w:tcPr>
            <w:tcW w:w="4440" w:type="dxa"/>
            <w:vAlign w:val="bottom"/>
          </w:tcPr>
          <w:p>
            <w:pPr>
              <w:spacing w:after="0"/>
              <w:rPr>
                <w:sz w:val="14"/>
                <w:szCs w:val="14"/>
                <w:color w:val="auto"/>
              </w:rPr>
            </w:pPr>
          </w:p>
        </w:tc>
        <w:tc>
          <w:tcPr>
            <w:tcW w:w="2740" w:type="dxa"/>
            <w:vAlign w:val="bottom"/>
            <w:gridSpan w:val="2"/>
          </w:tcPr>
          <w:p>
            <w:pPr>
              <w:jc w:val="right"/>
              <w:ind w:right="226"/>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jc w:val="right"/>
              <w:ind w:right="816"/>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128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ind w:right="130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1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r>
      <w:tr>
        <w:trPr>
          <w:trHeight w:val="215"/>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w:t>
            </w:r>
          </w:p>
        </w:tc>
        <w:tc>
          <w:tcPr>
            <w:tcW w:w="1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beverage concessionaire agreements</w:t>
            </w:r>
          </w:p>
        </w:tc>
        <w:tc>
          <w:tcPr>
            <w:tcW w:w="1280" w:type="dxa"/>
            <w:vAlign w:val="bottom"/>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20"/>
                <w:szCs w:val="20"/>
                <w:color w:val="auto"/>
              </w:rPr>
            </w:pPr>
          </w:p>
        </w:tc>
      </w:tr>
      <w:tr>
        <w:trPr>
          <w:trHeight w:val="223"/>
        </w:trPr>
        <w:tc>
          <w:tcPr>
            <w:tcW w:w="444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1280" w:type="dxa"/>
            <w:vAlign w:val="bottom"/>
          </w:tcPr>
          <w:p>
            <w:pPr>
              <w:spacing w:after="0"/>
              <w:rPr>
                <w:sz w:val="19"/>
                <w:szCs w:val="19"/>
                <w:color w:val="auto"/>
              </w:rPr>
            </w:pPr>
          </w:p>
        </w:tc>
        <w:tc>
          <w:tcPr>
            <w:tcW w:w="1460" w:type="dxa"/>
            <w:vAlign w:val="bottom"/>
            <w:tcBorders>
              <w:bottom w:val="single" w:sz="8" w:color="auto"/>
            </w:tcBorders>
          </w:tcPr>
          <w:p>
            <w:pPr>
              <w:jc w:val="right"/>
              <w:ind w:right="130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changes in deferred revenue for the three months ended March 29, 2018 were as follows (in millions):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33"/>
        </w:trPr>
        <w:tc>
          <w:tcPr>
            <w:tcW w:w="5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tcPr>
          <w:p>
            <w:pPr>
              <w:jc w:val="center"/>
              <w:ind w:right="198"/>
              <w:spacing w:after="0" w:line="133" w:lineRule="exact"/>
              <w:rPr>
                <w:sz w:val="20"/>
                <w:szCs w:val="20"/>
                <w:color w:val="auto"/>
              </w:rPr>
            </w:pPr>
            <w:r>
              <w:rPr>
                <w:rFonts w:ascii="Arial" w:cs="Arial" w:eastAsia="Arial" w:hAnsi="Arial"/>
                <w:sz w:val="14"/>
                <w:szCs w:val="14"/>
                <w:b w:val="1"/>
                <w:bCs w:val="1"/>
                <w:color w:val="auto"/>
                <w:w w:val="99"/>
              </w:rPr>
              <w:t>March 29,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7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5760" w:type="dxa"/>
            <w:vAlign w:val="bottom"/>
          </w:tcPr>
          <w:p>
            <w:pPr>
              <w:ind w:left="240"/>
              <w:spacing w:after="0"/>
              <w:rPr>
                <w:sz w:val="20"/>
                <w:szCs w:val="20"/>
                <w:color w:val="auto"/>
              </w:rPr>
            </w:pPr>
            <w:r>
              <w:rPr>
                <w:rFonts w:ascii="Arial" w:cs="Arial" w:eastAsia="Arial" w:hAnsi="Arial"/>
                <w:sz w:val="18"/>
                <w:szCs w:val="18"/>
                <w:color w:val="auto"/>
              </w:rPr>
              <w:t>Performance obligations satisfied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 contract liabilities</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555"/>
        <w:spacing w:after="0" w:line="277" w:lineRule="auto"/>
        <w:rPr>
          <w:sz w:val="20"/>
          <w:szCs w:val="20"/>
          <w:color w:val="auto"/>
        </w:rPr>
      </w:pPr>
      <w:r>
        <w:rPr>
          <w:rFonts w:ascii="Arial" w:cs="Arial" w:eastAsia="Arial" w:hAnsi="Arial"/>
          <w:sz w:val="18"/>
          <w:szCs w:val="18"/>
          <w:color w:val="auto"/>
        </w:rPr>
        <w:t>Unbilled accounts receivable is classified as a current asset as it is expected to be billed within the next twelve months. As of March 29, 2018 and December 28, 2017, the Company had $5.9 million and $10.6 million in unbilled accounts receivable,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 and Exemptions</w:t>
      </w:r>
    </w:p>
    <w:p>
      <w:pPr>
        <w:spacing w:after="0" w:line="117" w:lineRule="exact"/>
        <w:rPr>
          <w:sz w:val="20"/>
          <w:szCs w:val="20"/>
          <w:color w:val="auto"/>
        </w:rPr>
      </w:pPr>
    </w:p>
    <w:p>
      <w:pPr>
        <w:ind w:right="460" w:firstLine="555"/>
        <w:spacing w:after="0" w:line="277" w:lineRule="auto"/>
        <w:rPr>
          <w:sz w:val="20"/>
          <w:szCs w:val="20"/>
          <w:color w:val="auto"/>
        </w:rPr>
      </w:pPr>
      <w:r>
        <w:rPr>
          <w:rFonts w:ascii="Arial" w:cs="Arial" w:eastAsia="Arial" w:hAnsi="Arial"/>
          <w:sz w:val="18"/>
          <w:szCs w:val="18"/>
          <w:color w:val="auto"/>
        </w:rPr>
        <w:t>The Company expenses sales commissions when incurred as the amortization period would have been one year or less. These costs are recorded within sales and marketing expenses in the Condensed Statement of Income.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does not disclose the value of unsatisfied performance obligations for contracts with an original expected length of one year or less.</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INTANGIBLE ASSETS</w:t>
      </w:r>
    </w:p>
    <w:p>
      <w:pPr>
        <w:spacing w:after="0" w:line="121" w:lineRule="exact"/>
        <w:rPr>
          <w:sz w:val="20"/>
          <w:szCs w:val="20"/>
          <w:color w:val="auto"/>
        </w:rPr>
      </w:pPr>
    </w:p>
    <w:p>
      <w:pPr>
        <w:ind w:right="160" w:firstLine="555"/>
        <w:spacing w:after="0" w:line="273" w:lineRule="auto"/>
        <w:rPr>
          <w:sz w:val="20"/>
          <w:szCs w:val="20"/>
          <w:color w:val="auto"/>
        </w:rPr>
      </w:pPr>
      <w:r>
        <w:rPr>
          <w:rFonts w:ascii="Arial" w:cs="Arial" w:eastAsia="Arial" w:hAnsi="Arial"/>
          <w:sz w:val="17"/>
          <w:szCs w:val="17"/>
          <w:color w:val="auto"/>
        </w:rPr>
        <w:t>Intangible assets consist of contractual rights to provide the Company’s services within the theaters of the founding members and network affiliates and are stated at cost, net of accumulated amortization. The Company’s intangible assets with its founding members are recorded at the fair market value of NCM, Inc.’s publicly traded stock as of the date on which the common membership units were issued. The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w:t>
      </w:r>
    </w:p>
    <w:p>
      <w:pPr>
        <w:spacing w:after="0" w:line="70"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 In accordance with the Common Unit Adjustment Agreement with the founding members, on an annual basis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determines the amount of common membership units to be issued to or returned by the founding members based on theater additions or dispositions during the previous year. In addition, the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During the first quarter of 2018, the Company issued 2,821,710 (3,736,860 issued, net of 915,150 returned) common membership units to the founding members for the rights to exclusive access to the theater screens and attendees added, net of dispositions by the founding members to the Company’s network during the 2017 fiscal year and NCM LLC recorded a net intangible asset of $15.9 million during the first quarter of 2018 as a result of the Common Unit Adjustment.</w:t>
      </w:r>
    </w:p>
    <w:p>
      <w:pPr>
        <w:spacing w:after="0" w:line="79"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During the first quarter of 2017, the Company issued 2,351,029 common membership units to the founding members for the rights to exclusive access to the theater screens and attendees added, net of dispositions by the founding members to the Company’s network during the 2016 fiscal year. Also during the first quarter of 2017, NCM, Inc. and NCM LLC entered into a binding Memorandum of Understanding (“MOU”) with AMC to effectuate aspects of a final judgment (the “Final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Judgment”) entered into by the Department of Justice (the “DOJ”) in connection with AMC’s acquisition of Carmike Cinemas, Inc. (“Carmike”). Pursuant to the MOU, the Company issued 18,425,423 common membership units to AMC in respect of the annual attendance at such Carmike theaters in accordance with the Common Unit Adjustment Agreement during the first quarter of 2017. AMC’s acquisition of Carmike meets the criteria for a Common Unit Adjustment because it resulted in an extraordinary attendance increase of approximately 9.5%. Further, the Final Judgment required AMC to transfer advertising rights to 17 theaters from NCM LLC to another advertising provider. Pursuant to the MOU, AMC surrendered 4,657,673 common membership units in respect of such theaters. The 4,657,673 common membership units were comprised of (i) 2,850,453 common membership units pursuant to the adjustment for divested theaters in the Common Unit Adjustment Agreement and (ii) an additional 1,807,220 common membership units valued at $25.0 million to compensate for NCM LLC’s lost operating income for these theaters during the 10-year term of the Final Judgment. To facilitate the theater transfers, during the first quarter of 2017, AMC and Regal entered into an amendment of its ESA with the Company and Cinemark entered into a waiver of certain rights under its ESA. The Company recorded a net intangible asset of $201.8 million during the first quarter of 2017 related to these transactions.</w:t>
      </w:r>
    </w:p>
    <w:p>
      <w:pPr>
        <w:spacing w:after="0" w:line="61" w:lineRule="exact"/>
        <w:rPr>
          <w:sz w:val="20"/>
          <w:szCs w:val="20"/>
          <w:color w:val="auto"/>
        </w:rPr>
      </w:pPr>
    </w:p>
    <w:p>
      <w:pPr>
        <w:ind w:firstLine="555"/>
        <w:spacing w:after="0" w:line="285" w:lineRule="auto"/>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 with respect to any acquired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theaters are subject to an existing on-screen advertising agreement with an alternative provider, AMC will make integration payments to NCM LLC. The integration payments will continue until the earlier of (i) the date the theaters are transferred to the Company’s network or (ii) the expiration of the ESA. Integration payments are calculated based upon the advertising cash flow that the Company would have generated if it had exclusive access to sell advertising in the theaters with pre-existing advertising agreements. The ESA additionally entitles the Company to payments related to the founding members’ on-screen advertising commitments under their beverage concessionaire agreements for encumbered theaters. These payments are also accounted for as a reduction to the intangible asset. During the three months ended March 29, 2018 and March 30, 2017, the Company recorded a reduction to net intangible assets of $2.2 million and $0.4 million, respectively, related to integration and other encumbered theater payments. These payments received from AMC related to their acquisitions of theaters from Carmike and Rave Cinemas and from Cinemark related to their acquisition of theaters from Rave Cinemas. During the three months ended March 29, 2018 and March 30, 2017, AMC and Cinemark paid a total of $9.4 million and $1.0 million, respectively, in integration and other encumbered theater payments (as payments are made one quarter and one month in arrears, respectively).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RELATED PARTY TRANSACTIONS</w:t>
      </w:r>
    </w:p>
    <w:p>
      <w:pPr>
        <w:spacing w:after="0" w:line="121" w:lineRule="exact"/>
        <w:rPr>
          <w:sz w:val="20"/>
          <w:szCs w:val="20"/>
          <w:color w:val="auto"/>
        </w:rPr>
      </w:pPr>
    </w:p>
    <w:p>
      <w:pPr>
        <w:ind w:firstLine="555"/>
        <w:spacing w:after="0" w:line="308" w:lineRule="auto"/>
        <w:rPr>
          <w:sz w:val="20"/>
          <w:szCs w:val="20"/>
          <w:color w:val="auto"/>
        </w:rPr>
      </w:pPr>
      <w:r>
        <w:rPr>
          <w:rFonts w:ascii="Arial" w:cs="Arial" w:eastAsia="Arial" w:hAnsi="Arial"/>
          <w:sz w:val="17"/>
          <w:szCs w:val="17"/>
          <w:b w:val="1"/>
          <w:bCs w:val="1"/>
          <w:i w:val="1"/>
          <w:iCs w:val="1"/>
          <w:color w:val="auto"/>
        </w:rPr>
        <w:t>Founding Member and Managing Member Transactions</w:t>
      </w:r>
      <w:r>
        <w:rPr>
          <w:rFonts w:ascii="Arial" w:cs="Arial" w:eastAsia="Arial" w:hAnsi="Arial"/>
          <w:sz w:val="17"/>
          <w:szCs w:val="17"/>
          <w:i w:val="1"/>
          <w:iCs w:val="1"/>
          <w:color w:val="auto"/>
        </w:rPr>
        <w:t>—</w:t>
      </w:r>
      <w:r>
        <w:rPr>
          <w:rFonts w:ascii="Arial" w:cs="Arial" w:eastAsia="Arial" w:hAnsi="Arial"/>
          <w:sz w:val="17"/>
          <w:szCs w:val="17"/>
          <w:color w:val="auto"/>
        </w:rPr>
        <w:t>In connection with NCM, Inc.’s initial public offering (“IPO”), the Company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agreements to define and regulate the relationships among NCM LLC, NCM, Inc. and the founding members. They include the following:</w:t>
      </w:r>
    </w:p>
    <w:p>
      <w:pPr>
        <w:spacing w:after="0" w:line="34" w:lineRule="exact"/>
        <w:rPr>
          <w:sz w:val="20"/>
          <w:szCs w:val="20"/>
          <w:color w:val="auto"/>
        </w:rPr>
      </w:pPr>
    </w:p>
    <w:p>
      <w:pPr>
        <w:ind w:left="1120" w:right="20" w:hanging="558"/>
        <w:spacing w:after="0" w:line="272" w:lineRule="auto"/>
        <w:tabs>
          <w:tab w:leader="none" w:pos="11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ESAs</w:t>
      </w:r>
      <w:r>
        <w:rPr>
          <w:rFonts w:ascii="Arial" w:cs="Arial" w:eastAsia="Arial" w:hAnsi="Arial"/>
          <w:sz w:val="17"/>
          <w:szCs w:val="17"/>
          <w:color w:val="auto"/>
        </w:rPr>
        <w:t>. 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use of the lobby entertainment network (“LEN”) and rights to sell and display certain lobby promotions. Further, 30 to 60 seconds of advertising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sold to the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w:t>
      </w:r>
    </w:p>
    <w:p>
      <w:pPr>
        <w:spacing w:after="0" w:line="64" w:lineRule="exact"/>
        <w:rPr>
          <w:rFonts w:ascii="Arial" w:cs="Arial" w:eastAsia="Arial" w:hAnsi="Arial"/>
          <w:sz w:val="17"/>
          <w:szCs w:val="17"/>
          <w:color w:val="auto"/>
        </w:rPr>
      </w:pPr>
    </w:p>
    <w:p>
      <w:pPr>
        <w:ind w:left="1120" w:right="20" w:hanging="558"/>
        <w:spacing w:after="0" w:line="266" w:lineRule="auto"/>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theaters or sale or closure of theaters that are operated by each founding member and included in the Company’s network.</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2" w:name="page13"/>
    <w:bookmarkEnd w:id="12"/>
    <w:p>
      <w:pPr>
        <w:jc w:val="center"/>
        <w:ind w:right="52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ind w:left="560" w:right="120" w:hanging="558"/>
        <w:spacing w:after="0" w:line="303"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NCM, Inc.’s IPO, NCM LLC was granted a perpetual, royalty-free license from the founding</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to use certain proprietary software that existed at the time for the delivery of digital advertising and other content through the DCN to screens in the U.S. NCM LLC has made improvements to this software since NCM, Inc.’s IPO date and the Company owns those improvements, except for improvements that were developed jointly by NCM LLC and the founding members, if any.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8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Included in the Condensed Statements of Income:</w:t>
            </w:r>
          </w:p>
        </w:tc>
        <w:tc>
          <w:tcPr>
            <w:tcW w:w="860" w:type="dxa"/>
            <w:vAlign w:val="bottom"/>
          </w:tcPr>
          <w:p>
            <w:pPr>
              <w:spacing w:after="0"/>
              <w:rPr>
                <w:sz w:val="11"/>
                <w:szCs w:val="11"/>
                <w:color w:val="auto"/>
              </w:rPr>
            </w:pPr>
          </w:p>
        </w:tc>
        <w:tc>
          <w:tcPr>
            <w:tcW w:w="1520" w:type="dxa"/>
            <w:vAlign w:val="bottom"/>
          </w:tcPr>
          <w:p>
            <w:pPr>
              <w:jc w:val="center"/>
              <w:ind w:left="588"/>
              <w:spacing w:after="0" w:line="133" w:lineRule="exact"/>
              <w:rPr>
                <w:sz w:val="20"/>
                <w:szCs w:val="20"/>
                <w:color w:val="auto"/>
              </w:rPr>
            </w:pPr>
            <w:r>
              <w:rPr>
                <w:rFonts w:ascii="Arial" w:cs="Arial" w:eastAsia="Arial" w:hAnsi="Arial"/>
                <w:sz w:val="14"/>
                <w:szCs w:val="14"/>
                <w:b w:val="1"/>
                <w:bCs w:val="1"/>
                <w:color w:val="auto"/>
                <w:w w:val="95"/>
              </w:rPr>
              <w:t>March 29,</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jc w:val="right"/>
              <w:ind w:right="695"/>
              <w:spacing w:after="0" w:line="133" w:lineRule="exact"/>
              <w:rPr>
                <w:sz w:val="20"/>
                <w:szCs w:val="20"/>
                <w:color w:val="auto"/>
              </w:rPr>
            </w:pPr>
            <w:r>
              <w:rPr>
                <w:rFonts w:ascii="Arial" w:cs="Arial" w:eastAsia="Arial" w:hAnsi="Arial"/>
                <w:sz w:val="14"/>
                <w:szCs w:val="14"/>
                <w:b w:val="1"/>
                <w:bCs w:val="1"/>
                <w:color w:val="auto"/>
              </w:rPr>
              <w:t>March 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80" w:type="dxa"/>
            <w:vAlign w:val="bottom"/>
            <w:gridSpan w:val="5"/>
            <w:vMerge w:val="continue"/>
          </w:tcPr>
          <w:p>
            <w:pPr>
              <w:spacing w:after="0"/>
              <w:rPr>
                <w:sz w:val="14"/>
                <w:szCs w:val="14"/>
                <w:color w:val="auto"/>
              </w:rPr>
            </w:pPr>
          </w:p>
        </w:tc>
        <w:tc>
          <w:tcPr>
            <w:tcW w:w="23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tcPr>
          <w:p>
            <w:pPr>
              <w:jc w:val="right"/>
              <w:ind w:right="87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 w:type="dxa"/>
            <w:vAlign w:val="bottom"/>
            <w:tcBorders>
              <w:top w:val="single" w:sz="8" w:color="CFF2FA"/>
            </w:tcBorders>
            <w:shd w:val="clear" w:color="auto" w:fill="CFF2FA"/>
          </w:tcPr>
          <w:p>
            <w:pPr>
              <w:spacing w:after="0"/>
              <w:rPr>
                <w:sz w:val="15"/>
                <w:szCs w:val="15"/>
                <w:color w:val="auto"/>
              </w:rPr>
            </w:pPr>
          </w:p>
        </w:tc>
        <w:tc>
          <w:tcPr>
            <w:tcW w:w="4440" w:type="dxa"/>
            <w:vAlign w:val="bottom"/>
            <w:tcBorders>
              <w:top w:val="single" w:sz="8" w:color="CFF2FA"/>
            </w:tcBorders>
            <w:gridSpan w:val="4"/>
            <w:shd w:val="clear" w:color="auto" w:fill="CFF2FA"/>
          </w:tcPr>
          <w:p>
            <w:pPr>
              <w:spacing w:after="0" w:line="182" w:lineRule="exact"/>
              <w:rPr>
                <w:sz w:val="20"/>
                <w:szCs w:val="20"/>
                <w:color w:val="auto"/>
              </w:rPr>
            </w:pPr>
            <w:r>
              <w:rPr>
                <w:rFonts w:ascii="Arial" w:cs="Arial" w:eastAsia="Arial" w:hAnsi="Arial"/>
                <w:sz w:val="18"/>
                <w:szCs w:val="18"/>
                <w:color w:val="auto"/>
              </w:rPr>
              <w:t>Revenue:</w:t>
            </w:r>
          </w:p>
        </w:tc>
        <w:tc>
          <w:tcPr>
            <w:tcW w:w="860" w:type="dxa"/>
            <w:vAlign w:val="bottom"/>
            <w:tcBorders>
              <w:top w:val="single" w:sz="8" w:color="CFF2FA"/>
            </w:tcBorders>
            <w:shd w:val="clear" w:color="auto" w:fill="CFF2FA"/>
          </w:tcPr>
          <w:p>
            <w:pPr>
              <w:spacing w:after="0"/>
              <w:rPr>
                <w:sz w:val="15"/>
                <w:szCs w:val="15"/>
                <w:color w:val="auto"/>
              </w:rPr>
            </w:pPr>
          </w:p>
        </w:tc>
        <w:tc>
          <w:tcPr>
            <w:tcW w:w="1520" w:type="dxa"/>
            <w:vAlign w:val="bottom"/>
            <w:tcBorders>
              <w:top w:val="single" w:sz="8" w:color="auto"/>
            </w:tcBorders>
            <w:shd w:val="clear" w:color="auto" w:fill="CFF2FA"/>
          </w:tcPr>
          <w:p>
            <w:pPr>
              <w:spacing w:after="0"/>
              <w:rPr>
                <w:sz w:val="15"/>
                <w:szCs w:val="15"/>
                <w:color w:val="auto"/>
              </w:rPr>
            </w:pPr>
          </w:p>
        </w:tc>
        <w:tc>
          <w:tcPr>
            <w:tcW w:w="680" w:type="dxa"/>
            <w:vAlign w:val="bottom"/>
            <w:tcBorders>
              <w:top w:val="single" w:sz="8" w:color="auto"/>
            </w:tcBorders>
            <w:shd w:val="clear" w:color="auto" w:fill="CFF2FA"/>
          </w:tcPr>
          <w:p>
            <w:pPr>
              <w:spacing w:after="0"/>
              <w:rPr>
                <w:sz w:val="15"/>
                <w:szCs w:val="15"/>
                <w:color w:val="auto"/>
              </w:rPr>
            </w:pPr>
          </w:p>
        </w:tc>
        <w:tc>
          <w:tcPr>
            <w:tcW w:w="260" w:type="dxa"/>
            <w:vAlign w:val="bottom"/>
            <w:tcBorders>
              <w:top w:val="single" w:sz="8" w:color="CFF2FA"/>
            </w:tcBorders>
            <w:shd w:val="clear" w:color="auto" w:fill="CFF2FA"/>
          </w:tcPr>
          <w:p>
            <w:pPr>
              <w:spacing w:after="0"/>
              <w:rPr>
                <w:sz w:val="15"/>
                <w:szCs w:val="15"/>
                <w:color w:val="auto"/>
              </w:rPr>
            </w:pPr>
          </w:p>
        </w:tc>
        <w:tc>
          <w:tcPr>
            <w:tcW w:w="620" w:type="dxa"/>
            <w:vAlign w:val="bottom"/>
            <w:tcBorders>
              <w:top w:val="single" w:sz="8" w:color="auto"/>
            </w:tcBorders>
            <w:shd w:val="clear" w:color="auto" w:fill="CFF2FA"/>
          </w:tcPr>
          <w:p>
            <w:pPr>
              <w:spacing w:after="0"/>
              <w:rPr>
                <w:sz w:val="15"/>
                <w:szCs w:val="15"/>
                <w:color w:val="auto"/>
              </w:rPr>
            </w:pPr>
          </w:p>
        </w:tc>
        <w:tc>
          <w:tcPr>
            <w:tcW w:w="1540" w:type="dxa"/>
            <w:vAlign w:val="bottom"/>
            <w:tcBorders>
              <w:top w:val="single" w:sz="8" w:color="auto"/>
            </w:tcBorders>
            <w:shd w:val="clear" w:color="auto" w:fill="CFF2FA"/>
          </w:tcPr>
          <w:p>
            <w:pPr>
              <w:spacing w:after="0"/>
              <w:rPr>
                <w:sz w:val="15"/>
                <w:szCs w:val="15"/>
                <w:color w:val="auto"/>
              </w:rPr>
            </w:pPr>
          </w:p>
        </w:tc>
        <w:tc>
          <w:tcPr>
            <w:tcW w:w="120" w:type="dxa"/>
            <w:vAlign w:val="bottom"/>
            <w:tcBorders>
              <w:top w:val="single" w:sz="8" w:color="CFF2FA"/>
            </w:tcBorders>
            <w:shd w:val="clear" w:color="auto" w:fill="CFF2FA"/>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2FA"/>
            </w:tcBorders>
            <w:shd w:val="clear" w:color="auto" w:fill="CFF2FA"/>
          </w:tcPr>
          <w:p>
            <w:pPr>
              <w:spacing w:after="0" w:line="20" w:lineRule="exact"/>
              <w:rPr>
                <w:sz w:val="1"/>
                <w:szCs w:val="1"/>
                <w:color w:val="auto"/>
              </w:rPr>
            </w:pPr>
          </w:p>
        </w:tc>
        <w:tc>
          <w:tcPr>
            <w:tcW w:w="680" w:type="dxa"/>
            <w:vAlign w:val="bottom"/>
            <w:tcBorders>
              <w:top w:val="single" w:sz="8" w:color="auto"/>
            </w:tcBorders>
            <w:shd w:val="clear" w:color="auto" w:fill="CFF2FA"/>
          </w:tcPr>
          <w:p>
            <w:pPr>
              <w:spacing w:after="0" w:line="20" w:lineRule="exact"/>
              <w:rPr>
                <w:sz w:val="1"/>
                <w:szCs w:val="1"/>
                <w:color w:val="auto"/>
              </w:rPr>
            </w:pPr>
          </w:p>
        </w:tc>
        <w:tc>
          <w:tcPr>
            <w:tcW w:w="800" w:type="dxa"/>
            <w:vAlign w:val="bottom"/>
            <w:tcBorders>
              <w:top w:val="single" w:sz="8" w:color="CFF2FA"/>
            </w:tcBorders>
            <w:shd w:val="clear" w:color="auto" w:fill="CFF2FA"/>
          </w:tcPr>
          <w:p>
            <w:pPr>
              <w:spacing w:after="0" w:line="20" w:lineRule="exact"/>
              <w:rPr>
                <w:sz w:val="1"/>
                <w:szCs w:val="1"/>
                <w:color w:val="auto"/>
              </w:rPr>
            </w:pPr>
          </w:p>
        </w:tc>
        <w:tc>
          <w:tcPr>
            <w:tcW w:w="320" w:type="dxa"/>
            <w:vAlign w:val="bottom"/>
            <w:tcBorders>
              <w:top w:val="single" w:sz="8" w:color="CFF2FA"/>
            </w:tcBorders>
            <w:shd w:val="clear" w:color="auto" w:fill="CFF2FA"/>
          </w:tcPr>
          <w:p>
            <w:pPr>
              <w:spacing w:after="0" w:line="20" w:lineRule="exact"/>
              <w:rPr>
                <w:sz w:val="1"/>
                <w:szCs w:val="1"/>
                <w:color w:val="auto"/>
              </w:rPr>
            </w:pPr>
          </w:p>
        </w:tc>
        <w:tc>
          <w:tcPr>
            <w:tcW w:w="2640" w:type="dxa"/>
            <w:vAlign w:val="bottom"/>
            <w:tcBorders>
              <w:top w:val="single" w:sz="8" w:color="CFF2FA"/>
            </w:tcBorders>
            <w:shd w:val="clear" w:color="auto" w:fill="CFF2FA"/>
          </w:tcPr>
          <w:p>
            <w:pPr>
              <w:spacing w:after="0" w:line="20" w:lineRule="exact"/>
              <w:rPr>
                <w:sz w:val="1"/>
                <w:szCs w:val="1"/>
                <w:color w:val="auto"/>
              </w:rPr>
            </w:pPr>
          </w:p>
        </w:tc>
        <w:tc>
          <w:tcPr>
            <w:tcW w:w="860" w:type="dxa"/>
            <w:vAlign w:val="bottom"/>
            <w:tcBorders>
              <w:top w:val="single" w:sz="8" w:color="CFF2FA"/>
            </w:tcBorders>
            <w:shd w:val="clear" w:color="auto" w:fill="CFF2FA"/>
          </w:tcPr>
          <w:p>
            <w:pPr>
              <w:spacing w:after="0" w:line="20" w:lineRule="exact"/>
              <w:rPr>
                <w:sz w:val="1"/>
                <w:szCs w:val="1"/>
                <w:color w:val="auto"/>
              </w:rPr>
            </w:pPr>
          </w:p>
        </w:tc>
        <w:tc>
          <w:tcPr>
            <w:tcW w:w="1520" w:type="dxa"/>
            <w:vAlign w:val="bottom"/>
            <w:tcBorders>
              <w:top w:val="single" w:sz="8" w:color="CFF2FA"/>
            </w:tcBorders>
            <w:shd w:val="clear" w:color="auto" w:fill="CFF2FA"/>
          </w:tcPr>
          <w:p>
            <w:pPr>
              <w:spacing w:after="0" w:line="20" w:lineRule="exact"/>
              <w:rPr>
                <w:sz w:val="1"/>
                <w:szCs w:val="1"/>
                <w:color w:val="auto"/>
              </w:rPr>
            </w:pPr>
          </w:p>
        </w:tc>
        <w:tc>
          <w:tcPr>
            <w:tcW w:w="680" w:type="dxa"/>
            <w:vAlign w:val="bottom"/>
            <w:tcBorders>
              <w:top w:val="single" w:sz="8" w:color="CFF2FA"/>
            </w:tcBorders>
            <w:shd w:val="clear" w:color="auto" w:fill="CFF2FA"/>
          </w:tcPr>
          <w:p>
            <w:pPr>
              <w:spacing w:after="0" w:line="20" w:lineRule="exact"/>
              <w:rPr>
                <w:sz w:val="1"/>
                <w:szCs w:val="1"/>
                <w:color w:val="auto"/>
              </w:rPr>
            </w:pPr>
          </w:p>
        </w:tc>
        <w:tc>
          <w:tcPr>
            <w:tcW w:w="260" w:type="dxa"/>
            <w:vAlign w:val="bottom"/>
            <w:tcBorders>
              <w:top w:val="single" w:sz="8" w:color="CFF2FA"/>
            </w:tcBorders>
            <w:shd w:val="clear" w:color="auto" w:fill="CFF2FA"/>
          </w:tcPr>
          <w:p>
            <w:pPr>
              <w:spacing w:after="0" w:line="20" w:lineRule="exact"/>
              <w:rPr>
                <w:sz w:val="1"/>
                <w:szCs w:val="1"/>
                <w:color w:val="auto"/>
              </w:rPr>
            </w:pPr>
          </w:p>
        </w:tc>
        <w:tc>
          <w:tcPr>
            <w:tcW w:w="620" w:type="dxa"/>
            <w:vAlign w:val="bottom"/>
            <w:tcBorders>
              <w:top w:val="single" w:sz="8" w:color="CFF2FA"/>
            </w:tcBorders>
            <w:shd w:val="clear" w:color="auto" w:fill="CFF2FA"/>
          </w:tcPr>
          <w:p>
            <w:pPr>
              <w:spacing w:after="0" w:line="20" w:lineRule="exact"/>
              <w:rPr>
                <w:sz w:val="1"/>
                <w:szCs w:val="1"/>
                <w:color w:val="auto"/>
              </w:rPr>
            </w:pPr>
          </w:p>
        </w:tc>
        <w:tc>
          <w:tcPr>
            <w:tcW w:w="1540" w:type="dxa"/>
            <w:vAlign w:val="bottom"/>
            <w:tcBorders>
              <w:top w:val="single" w:sz="8" w:color="CFF2FA"/>
            </w:tcBorders>
            <w:shd w:val="clear" w:color="auto" w:fill="CFF2FA"/>
          </w:tcPr>
          <w:p>
            <w:pPr>
              <w:spacing w:after="0" w:line="20" w:lineRule="exact"/>
              <w:rPr>
                <w:sz w:val="1"/>
                <w:szCs w:val="1"/>
                <w:color w:val="auto"/>
              </w:rPr>
            </w:pPr>
          </w:p>
        </w:tc>
        <w:tc>
          <w:tcPr>
            <w:tcW w:w="120" w:type="dxa"/>
            <w:vAlign w:val="bottom"/>
            <w:tcBorders>
              <w:top w:val="single" w:sz="8" w:color="CFF2FA"/>
            </w:tcBorders>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440" w:type="dxa"/>
            <w:vAlign w:val="bottom"/>
            <w:gridSpan w:val="4"/>
          </w:tcPr>
          <w:p>
            <w:pPr>
              <w:ind w:left="140"/>
              <w:spacing w:after="0"/>
              <w:rPr>
                <w:sz w:val="20"/>
                <w:szCs w:val="20"/>
                <w:color w:val="auto"/>
              </w:rPr>
            </w:pPr>
            <w:r>
              <w:rPr>
                <w:rFonts w:ascii="Arial" w:cs="Arial" w:eastAsia="Arial" w:hAnsi="Arial"/>
                <w:sz w:val="18"/>
                <w:szCs w:val="18"/>
                <w:color w:val="auto"/>
              </w:rPr>
              <w:t>Beverage concessionaire revenue (included in</w:t>
            </w: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440" w:type="dxa"/>
            <w:vAlign w:val="bottom"/>
            <w:gridSpan w:val="4"/>
          </w:tcPr>
          <w:p>
            <w:pPr>
              <w:ind w:left="260"/>
              <w:spacing w:after="0"/>
              <w:rPr>
                <w:sz w:val="20"/>
                <w:szCs w:val="20"/>
                <w:color w:val="auto"/>
              </w:rPr>
            </w:pPr>
            <w:r>
              <w:rPr>
                <w:rFonts w:ascii="Arial" w:cs="Arial" w:eastAsia="Arial" w:hAnsi="Arial"/>
                <w:sz w:val="18"/>
                <w:szCs w:val="18"/>
                <w:color w:val="auto"/>
              </w:rPr>
              <w:t xml:space="preserve">advertising revenue) </w:t>
            </w:r>
            <w:r>
              <w:rPr>
                <w:rFonts w:ascii="Arial" w:cs="Arial" w:eastAsia="Arial" w:hAnsi="Arial"/>
                <w:sz w:val="18"/>
                <w:szCs w:val="18"/>
                <w:i w:val="1"/>
                <w:iCs w:val="1"/>
                <w:color w:val="auto"/>
              </w:rPr>
              <w:t>(1)</w:t>
            </w:r>
          </w:p>
        </w:tc>
        <w:tc>
          <w:tcPr>
            <w:tcW w:w="2380" w:type="dxa"/>
            <w:vAlign w:val="bottom"/>
            <w:gridSpan w:val="2"/>
          </w:tcPr>
          <w:p>
            <w:pPr>
              <w:jc w:val="right"/>
              <w:ind w:right="136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 w:type="dxa"/>
            <w:vAlign w:val="bottom"/>
            <w:tcBorders>
              <w:bottom w:val="single" w:sz="8" w:color="CFF2FA"/>
            </w:tcBorders>
            <w:shd w:val="clear" w:color="auto" w:fill="CFF2FA"/>
          </w:tcPr>
          <w:p>
            <w:pPr>
              <w:spacing w:after="0"/>
              <w:rPr>
                <w:sz w:val="18"/>
                <w:szCs w:val="18"/>
                <w:color w:val="auto"/>
              </w:rPr>
            </w:pPr>
          </w:p>
        </w:tc>
        <w:tc>
          <w:tcPr>
            <w:tcW w:w="1480" w:type="dxa"/>
            <w:vAlign w:val="bottom"/>
            <w:tcBorders>
              <w:bottom w:val="single" w:sz="8" w:color="auto"/>
            </w:tcBorders>
            <w:gridSpan w:val="2"/>
            <w:shd w:val="clear" w:color="auto" w:fill="CFF2FA"/>
          </w:tcPr>
          <w:p>
            <w:pPr>
              <w:spacing w:after="0" w:line="189" w:lineRule="exact"/>
              <w:rPr>
                <w:sz w:val="20"/>
                <w:szCs w:val="20"/>
                <w:color w:val="auto"/>
              </w:rPr>
            </w:pPr>
            <w:r>
              <w:rPr>
                <w:rFonts w:ascii="Arial" w:cs="Arial" w:eastAsia="Arial" w:hAnsi="Arial"/>
                <w:sz w:val="18"/>
                <w:szCs w:val="18"/>
                <w:color w:val="auto"/>
                <w:w w:val="87"/>
              </w:rPr>
              <w:t>Operating expenses:</w:t>
            </w:r>
          </w:p>
        </w:tc>
        <w:tc>
          <w:tcPr>
            <w:tcW w:w="2960" w:type="dxa"/>
            <w:vAlign w:val="bottom"/>
            <w:tcBorders>
              <w:bottom w:val="single" w:sz="8" w:color="CFF2FA"/>
            </w:tcBorders>
            <w:gridSpan w:val="2"/>
            <w:shd w:val="clear" w:color="auto" w:fill="CFF2FA"/>
          </w:tcPr>
          <w:p>
            <w:pPr>
              <w:spacing w:after="0"/>
              <w:rPr>
                <w:sz w:val="18"/>
                <w:szCs w:val="18"/>
                <w:color w:val="auto"/>
              </w:rPr>
            </w:pPr>
          </w:p>
        </w:tc>
        <w:tc>
          <w:tcPr>
            <w:tcW w:w="860" w:type="dxa"/>
            <w:vAlign w:val="bottom"/>
            <w:tcBorders>
              <w:bottom w:val="single" w:sz="8" w:color="CFF2FA"/>
            </w:tcBorders>
            <w:shd w:val="clear" w:color="auto" w:fill="CFF2FA"/>
          </w:tcPr>
          <w:p>
            <w:pPr>
              <w:spacing w:after="0"/>
              <w:rPr>
                <w:sz w:val="18"/>
                <w:szCs w:val="18"/>
                <w:color w:val="auto"/>
              </w:rPr>
            </w:pPr>
          </w:p>
        </w:tc>
        <w:tc>
          <w:tcPr>
            <w:tcW w:w="1520" w:type="dxa"/>
            <w:vAlign w:val="bottom"/>
            <w:tcBorders>
              <w:bottom w:val="single" w:sz="8" w:color="CFF2FA"/>
            </w:tcBorders>
            <w:shd w:val="clear" w:color="auto" w:fill="CFF2FA"/>
          </w:tcPr>
          <w:p>
            <w:pPr>
              <w:spacing w:after="0"/>
              <w:rPr>
                <w:sz w:val="18"/>
                <w:szCs w:val="18"/>
                <w:color w:val="auto"/>
              </w:rPr>
            </w:pPr>
          </w:p>
        </w:tc>
        <w:tc>
          <w:tcPr>
            <w:tcW w:w="680" w:type="dxa"/>
            <w:vAlign w:val="bottom"/>
            <w:tcBorders>
              <w:bottom w:val="single" w:sz="8" w:color="CFF2FA"/>
            </w:tcBorders>
            <w:shd w:val="clear" w:color="auto" w:fill="CFF2FA"/>
          </w:tcPr>
          <w:p>
            <w:pPr>
              <w:spacing w:after="0"/>
              <w:rPr>
                <w:sz w:val="18"/>
                <w:szCs w:val="18"/>
                <w:color w:val="auto"/>
              </w:rPr>
            </w:pPr>
          </w:p>
        </w:tc>
        <w:tc>
          <w:tcPr>
            <w:tcW w:w="260" w:type="dxa"/>
            <w:vAlign w:val="bottom"/>
            <w:tcBorders>
              <w:bottom w:val="single" w:sz="8" w:color="CFF2FA"/>
            </w:tcBorders>
            <w:shd w:val="clear" w:color="auto" w:fill="CFF2FA"/>
          </w:tcPr>
          <w:p>
            <w:pPr>
              <w:spacing w:after="0"/>
              <w:rPr>
                <w:sz w:val="18"/>
                <w:szCs w:val="18"/>
                <w:color w:val="auto"/>
              </w:rPr>
            </w:pPr>
          </w:p>
        </w:tc>
        <w:tc>
          <w:tcPr>
            <w:tcW w:w="620" w:type="dxa"/>
            <w:vAlign w:val="bottom"/>
            <w:tcBorders>
              <w:bottom w:val="single" w:sz="8" w:color="CFF2FA"/>
            </w:tcBorders>
            <w:shd w:val="clear" w:color="auto" w:fill="CFF2FA"/>
          </w:tcPr>
          <w:p>
            <w:pPr>
              <w:spacing w:after="0"/>
              <w:rPr>
                <w:sz w:val="18"/>
                <w:szCs w:val="18"/>
                <w:color w:val="auto"/>
              </w:rPr>
            </w:pPr>
          </w:p>
        </w:tc>
        <w:tc>
          <w:tcPr>
            <w:tcW w:w="1540" w:type="dxa"/>
            <w:vAlign w:val="bottom"/>
            <w:tcBorders>
              <w:bottom w:val="single" w:sz="8" w:color="CFF2FA"/>
            </w:tcBorders>
            <w:shd w:val="clear" w:color="auto" w:fill="CFF2FA"/>
          </w:tcPr>
          <w:p>
            <w:pPr>
              <w:spacing w:after="0"/>
              <w:rPr>
                <w:sz w:val="18"/>
                <w:szCs w:val="18"/>
                <w:color w:val="auto"/>
              </w:rPr>
            </w:pPr>
          </w:p>
        </w:tc>
        <w:tc>
          <w:tcPr>
            <w:tcW w:w="120" w:type="dxa"/>
            <w:vAlign w:val="bottom"/>
            <w:tcBorders>
              <w:bottom w:val="single" w:sz="8" w:color="CFF2FA"/>
            </w:tcBorders>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440" w:type="dxa"/>
            <w:vAlign w:val="bottom"/>
            <w:gridSpan w:val="4"/>
          </w:tcPr>
          <w:p>
            <w:pPr>
              <w:ind w:left="140"/>
              <w:spacing w:after="0"/>
              <w:rPr>
                <w:sz w:val="20"/>
                <w:szCs w:val="20"/>
                <w:color w:val="auto"/>
              </w:rPr>
            </w:pPr>
            <w:r>
              <w:rPr>
                <w:rFonts w:ascii="Arial" w:cs="Arial" w:eastAsia="Arial" w:hAnsi="Arial"/>
                <w:sz w:val="18"/>
                <w:szCs w:val="18"/>
                <w:color w:val="auto"/>
              </w:rPr>
              <w:t xml:space="preserve">Theater access fee </w:t>
            </w:r>
            <w:r>
              <w:rPr>
                <w:rFonts w:ascii="Arial" w:cs="Arial" w:eastAsia="Arial" w:hAnsi="Arial"/>
                <w:sz w:val="18"/>
                <w:szCs w:val="18"/>
                <w:i w:val="1"/>
                <w:iCs w:val="1"/>
                <w:color w:val="auto"/>
              </w:rPr>
              <w:t>(2)</w:t>
            </w:r>
          </w:p>
        </w:tc>
        <w:tc>
          <w:tcPr>
            <w:tcW w:w="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CFF2FA"/>
          </w:tcPr>
          <w:p>
            <w:pPr>
              <w:spacing w:after="0"/>
              <w:rPr>
                <w:sz w:val="18"/>
                <w:szCs w:val="18"/>
                <w:color w:val="auto"/>
              </w:rPr>
            </w:pPr>
          </w:p>
        </w:tc>
        <w:tc>
          <w:tcPr>
            <w:tcW w:w="4440" w:type="dxa"/>
            <w:vAlign w:val="bottom"/>
            <w:gridSpan w:val="4"/>
            <w:shd w:val="clear" w:color="auto" w:fill="CFF2FA"/>
          </w:tcPr>
          <w:p>
            <w:pPr>
              <w:ind w:left="140"/>
              <w:spacing w:after="0"/>
              <w:rPr>
                <w:sz w:val="20"/>
                <w:szCs w:val="20"/>
                <w:color w:val="auto"/>
              </w:rPr>
            </w:pPr>
            <w:r>
              <w:rPr>
                <w:rFonts w:ascii="Arial" w:cs="Arial" w:eastAsia="Arial" w:hAnsi="Arial"/>
                <w:sz w:val="18"/>
                <w:szCs w:val="18"/>
                <w:color w:val="auto"/>
              </w:rPr>
              <w:t>Purchase of movie tickets and concession</w:t>
            </w:r>
          </w:p>
        </w:tc>
        <w:tc>
          <w:tcPr>
            <w:tcW w:w="860" w:type="dxa"/>
            <w:vAlign w:val="bottom"/>
            <w:shd w:val="clear" w:color="auto" w:fill="CFF2FA"/>
          </w:tcPr>
          <w:p>
            <w:pPr>
              <w:spacing w:after="0"/>
              <w:rPr>
                <w:sz w:val="18"/>
                <w:szCs w:val="18"/>
                <w:color w:val="auto"/>
              </w:rPr>
            </w:pPr>
          </w:p>
        </w:tc>
        <w:tc>
          <w:tcPr>
            <w:tcW w:w="1520" w:type="dxa"/>
            <w:vAlign w:val="bottom"/>
            <w:shd w:val="clear" w:color="auto" w:fill="CFF2FA"/>
          </w:tcPr>
          <w:p>
            <w:pPr>
              <w:spacing w:after="0"/>
              <w:rPr>
                <w:sz w:val="18"/>
                <w:szCs w:val="18"/>
                <w:color w:val="auto"/>
              </w:rPr>
            </w:pPr>
          </w:p>
        </w:tc>
        <w:tc>
          <w:tcPr>
            <w:tcW w:w="68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620" w:type="dxa"/>
            <w:vAlign w:val="bottom"/>
            <w:shd w:val="clear" w:color="auto" w:fill="CFF2FA"/>
          </w:tcPr>
          <w:p>
            <w:pPr>
              <w:spacing w:after="0"/>
              <w:rPr>
                <w:sz w:val="18"/>
                <w:szCs w:val="18"/>
                <w:color w:val="auto"/>
              </w:rPr>
            </w:pPr>
          </w:p>
        </w:tc>
        <w:tc>
          <w:tcPr>
            <w:tcW w:w="15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FF2FA"/>
          </w:tcPr>
          <w:p>
            <w:pPr>
              <w:spacing w:after="0"/>
              <w:rPr>
                <w:sz w:val="18"/>
                <w:szCs w:val="18"/>
                <w:color w:val="auto"/>
              </w:rPr>
            </w:pPr>
          </w:p>
        </w:tc>
        <w:tc>
          <w:tcPr>
            <w:tcW w:w="444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products and rental of theatre space (included</w:t>
            </w:r>
          </w:p>
        </w:tc>
        <w:tc>
          <w:tcPr>
            <w:tcW w:w="860" w:type="dxa"/>
            <w:vAlign w:val="bottom"/>
            <w:shd w:val="clear" w:color="auto" w:fill="CFF2FA"/>
          </w:tcPr>
          <w:p>
            <w:pPr>
              <w:spacing w:after="0"/>
              <w:rPr>
                <w:sz w:val="18"/>
                <w:szCs w:val="18"/>
                <w:color w:val="auto"/>
              </w:rPr>
            </w:pPr>
          </w:p>
        </w:tc>
        <w:tc>
          <w:tcPr>
            <w:tcW w:w="1520" w:type="dxa"/>
            <w:vAlign w:val="bottom"/>
            <w:shd w:val="clear" w:color="auto" w:fill="CFF2FA"/>
          </w:tcPr>
          <w:p>
            <w:pPr>
              <w:spacing w:after="0"/>
              <w:rPr>
                <w:sz w:val="18"/>
                <w:szCs w:val="18"/>
                <w:color w:val="auto"/>
              </w:rPr>
            </w:pPr>
          </w:p>
        </w:tc>
        <w:tc>
          <w:tcPr>
            <w:tcW w:w="680" w:type="dxa"/>
            <w:vAlign w:val="bottom"/>
            <w:shd w:val="clear" w:color="auto" w:fill="CFF2FA"/>
          </w:tcPr>
          <w:p>
            <w:pPr>
              <w:spacing w:after="0"/>
              <w:rPr>
                <w:sz w:val="18"/>
                <w:szCs w:val="18"/>
                <w:color w:val="auto"/>
              </w:rPr>
            </w:pPr>
          </w:p>
        </w:tc>
        <w:tc>
          <w:tcPr>
            <w:tcW w:w="260" w:type="dxa"/>
            <w:vAlign w:val="bottom"/>
            <w:shd w:val="clear" w:color="auto" w:fill="CFF2FA"/>
          </w:tcPr>
          <w:p>
            <w:pPr>
              <w:spacing w:after="0"/>
              <w:rPr>
                <w:sz w:val="18"/>
                <w:szCs w:val="18"/>
                <w:color w:val="auto"/>
              </w:rPr>
            </w:pPr>
          </w:p>
        </w:tc>
        <w:tc>
          <w:tcPr>
            <w:tcW w:w="620" w:type="dxa"/>
            <w:vAlign w:val="bottom"/>
            <w:shd w:val="clear" w:color="auto" w:fill="CFF2FA"/>
          </w:tcPr>
          <w:p>
            <w:pPr>
              <w:spacing w:after="0"/>
              <w:rPr>
                <w:sz w:val="18"/>
                <w:szCs w:val="18"/>
                <w:color w:val="auto"/>
              </w:rPr>
            </w:pPr>
          </w:p>
        </w:tc>
        <w:tc>
          <w:tcPr>
            <w:tcW w:w="1540" w:type="dxa"/>
            <w:vAlign w:val="bottom"/>
            <w:shd w:val="clear" w:color="auto" w:fill="CFF2FA"/>
          </w:tcPr>
          <w:p>
            <w:pPr>
              <w:spacing w:after="0"/>
              <w:rPr>
                <w:sz w:val="18"/>
                <w:szCs w:val="18"/>
                <w:color w:val="auto"/>
              </w:rPr>
            </w:pPr>
          </w:p>
        </w:tc>
        <w:tc>
          <w:tcPr>
            <w:tcW w:w="120" w:type="dxa"/>
            <w:vAlign w:val="bottom"/>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shd w:val="clear" w:color="auto" w:fill="CFF2FA"/>
          </w:tcPr>
          <w:p>
            <w:pPr>
              <w:spacing w:after="0"/>
              <w:rPr>
                <w:sz w:val="20"/>
                <w:szCs w:val="20"/>
                <w:color w:val="auto"/>
              </w:rPr>
            </w:pPr>
          </w:p>
        </w:tc>
        <w:tc>
          <w:tcPr>
            <w:tcW w:w="4440" w:type="dxa"/>
            <w:vAlign w:val="bottom"/>
            <w:gridSpan w:val="4"/>
            <w:shd w:val="clear" w:color="auto" w:fill="CFF2FA"/>
          </w:tcPr>
          <w:p>
            <w:pPr>
              <w:ind w:left="260"/>
              <w:spacing w:after="0"/>
              <w:rPr>
                <w:sz w:val="20"/>
                <w:szCs w:val="20"/>
                <w:color w:val="auto"/>
              </w:rPr>
            </w:pPr>
            <w:r>
              <w:rPr>
                <w:rFonts w:ascii="Arial" w:cs="Arial" w:eastAsia="Arial" w:hAnsi="Arial"/>
                <w:sz w:val="18"/>
                <w:szCs w:val="18"/>
                <w:color w:val="auto"/>
              </w:rPr>
              <w:t xml:space="preserve">in selling and marketing costs) </w:t>
            </w:r>
            <w:r>
              <w:rPr>
                <w:rFonts w:ascii="Arial" w:cs="Arial" w:eastAsia="Arial" w:hAnsi="Arial"/>
                <w:sz w:val="18"/>
                <w:szCs w:val="18"/>
                <w:i w:val="1"/>
                <w:iCs w:val="1"/>
                <w:color w:val="auto"/>
              </w:rPr>
              <w:t>(3)</w:t>
            </w:r>
          </w:p>
        </w:tc>
        <w:tc>
          <w:tcPr>
            <w:tcW w:w="860" w:type="dxa"/>
            <w:vAlign w:val="bottom"/>
            <w:shd w:val="clear" w:color="auto" w:fill="CFF2FA"/>
          </w:tcPr>
          <w:p>
            <w:pPr>
              <w:spacing w:after="0"/>
              <w:rPr>
                <w:sz w:val="20"/>
                <w:szCs w:val="20"/>
                <w:color w:val="auto"/>
              </w:rPr>
            </w:pPr>
          </w:p>
        </w:tc>
        <w:tc>
          <w:tcPr>
            <w:tcW w:w="1520" w:type="dxa"/>
            <w:vAlign w:val="bottom"/>
            <w:shd w:val="clear" w:color="auto" w:fill="CFF2FA"/>
          </w:tcPr>
          <w:p>
            <w:pPr>
              <w:spacing w:after="0"/>
              <w:rPr>
                <w:sz w:val="20"/>
                <w:szCs w:val="20"/>
                <w:color w:val="auto"/>
              </w:rPr>
            </w:pPr>
          </w:p>
        </w:tc>
        <w:tc>
          <w:tcPr>
            <w:tcW w:w="6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FF2FA"/>
          </w:tcPr>
          <w:p>
            <w:pPr>
              <w:spacing w:after="0"/>
              <w:rPr>
                <w:sz w:val="20"/>
                <w:szCs w:val="20"/>
                <w:color w:val="auto"/>
              </w:rPr>
            </w:pPr>
          </w:p>
        </w:tc>
        <w:tc>
          <w:tcPr>
            <w:tcW w:w="620" w:type="dxa"/>
            <w:vAlign w:val="bottom"/>
            <w:shd w:val="clear" w:color="auto" w:fill="CFF2FA"/>
          </w:tcPr>
          <w:p>
            <w:pPr>
              <w:spacing w:after="0"/>
              <w:rPr>
                <w:sz w:val="20"/>
                <w:szCs w:val="20"/>
                <w:color w:val="auto"/>
              </w:rPr>
            </w:pPr>
          </w:p>
        </w:tc>
        <w:tc>
          <w:tcPr>
            <w:tcW w:w="15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2FA"/>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19"/>
                <w:szCs w:val="19"/>
                <w:color w:val="auto"/>
              </w:rPr>
            </w:pPr>
          </w:p>
        </w:tc>
        <w:tc>
          <w:tcPr>
            <w:tcW w:w="4440" w:type="dxa"/>
            <w:vAlign w:val="bottom"/>
            <w:gridSpan w:val="4"/>
          </w:tcPr>
          <w:p>
            <w:pPr>
              <w:ind w:left="140"/>
              <w:spacing w:after="0"/>
              <w:rPr>
                <w:sz w:val="20"/>
                <w:szCs w:val="20"/>
                <w:color w:val="auto"/>
              </w:rPr>
            </w:pPr>
            <w:r>
              <w:rPr>
                <w:rFonts w:ascii="Arial" w:cs="Arial" w:eastAsia="Arial" w:hAnsi="Arial"/>
                <w:sz w:val="18"/>
                <w:szCs w:val="18"/>
                <w:color w:val="auto"/>
              </w:rPr>
              <w:t xml:space="preserve">Administrative fee - managing member </w:t>
            </w:r>
            <w:r>
              <w:rPr>
                <w:rFonts w:ascii="Arial" w:cs="Arial" w:eastAsia="Arial" w:hAnsi="Arial"/>
                <w:sz w:val="18"/>
                <w:szCs w:val="18"/>
                <w:i w:val="1"/>
                <w:iCs w:val="1"/>
                <w:color w:val="auto"/>
              </w:rPr>
              <w:t>(4)</w:t>
            </w:r>
          </w:p>
        </w:tc>
        <w:tc>
          <w:tcPr>
            <w:tcW w:w="8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0" w:type="dxa"/>
            <w:vAlign w:val="bottom"/>
            <w:shd w:val="clear" w:color="auto" w:fill="CFF2FA"/>
          </w:tcPr>
          <w:p>
            <w:pPr>
              <w:spacing w:after="0"/>
              <w:rPr>
                <w:sz w:val="16"/>
                <w:szCs w:val="16"/>
                <w:color w:val="auto"/>
              </w:rPr>
            </w:pPr>
          </w:p>
        </w:tc>
        <w:tc>
          <w:tcPr>
            <w:tcW w:w="4440" w:type="dxa"/>
            <w:vAlign w:val="bottom"/>
            <w:gridSpan w:val="4"/>
            <w:shd w:val="clear" w:color="auto" w:fill="CFF2FA"/>
          </w:tcPr>
          <w:p>
            <w:pPr>
              <w:spacing w:after="0" w:line="189" w:lineRule="exact"/>
              <w:rPr>
                <w:sz w:val="20"/>
                <w:szCs w:val="20"/>
                <w:color w:val="auto"/>
              </w:rPr>
            </w:pPr>
            <w:r>
              <w:rPr>
                <w:rFonts w:ascii="Arial" w:cs="Arial" w:eastAsia="Arial" w:hAnsi="Arial"/>
                <w:sz w:val="18"/>
                <w:szCs w:val="18"/>
                <w:color w:val="auto"/>
              </w:rPr>
              <w:t>Non-operating expenses:</w:t>
            </w:r>
          </w:p>
        </w:tc>
        <w:tc>
          <w:tcPr>
            <w:tcW w:w="860" w:type="dxa"/>
            <w:vAlign w:val="bottom"/>
            <w:shd w:val="clear" w:color="auto" w:fill="CFF2FA"/>
          </w:tcPr>
          <w:p>
            <w:pPr>
              <w:spacing w:after="0"/>
              <w:rPr>
                <w:sz w:val="16"/>
                <w:szCs w:val="16"/>
                <w:color w:val="auto"/>
              </w:rPr>
            </w:pPr>
          </w:p>
        </w:tc>
        <w:tc>
          <w:tcPr>
            <w:tcW w:w="1520" w:type="dxa"/>
            <w:vAlign w:val="bottom"/>
            <w:shd w:val="clear" w:color="auto" w:fill="CFF2FA"/>
          </w:tcPr>
          <w:p>
            <w:pPr>
              <w:spacing w:after="0"/>
              <w:rPr>
                <w:sz w:val="16"/>
                <w:szCs w:val="16"/>
                <w:color w:val="auto"/>
              </w:rPr>
            </w:pPr>
          </w:p>
        </w:tc>
        <w:tc>
          <w:tcPr>
            <w:tcW w:w="680" w:type="dxa"/>
            <w:vAlign w:val="bottom"/>
            <w:shd w:val="clear" w:color="auto" w:fill="CFF2FA"/>
          </w:tcPr>
          <w:p>
            <w:pPr>
              <w:spacing w:after="0"/>
              <w:rPr>
                <w:sz w:val="16"/>
                <w:szCs w:val="16"/>
                <w:color w:val="auto"/>
              </w:rPr>
            </w:pPr>
          </w:p>
        </w:tc>
        <w:tc>
          <w:tcPr>
            <w:tcW w:w="260" w:type="dxa"/>
            <w:vAlign w:val="bottom"/>
            <w:shd w:val="clear" w:color="auto" w:fill="CFF2FA"/>
          </w:tcPr>
          <w:p>
            <w:pPr>
              <w:spacing w:after="0"/>
              <w:rPr>
                <w:sz w:val="16"/>
                <w:szCs w:val="16"/>
                <w:color w:val="auto"/>
              </w:rPr>
            </w:pPr>
          </w:p>
        </w:tc>
        <w:tc>
          <w:tcPr>
            <w:tcW w:w="620" w:type="dxa"/>
            <w:vAlign w:val="bottom"/>
            <w:shd w:val="clear" w:color="auto" w:fill="CFF2FA"/>
          </w:tcPr>
          <w:p>
            <w:pPr>
              <w:spacing w:after="0"/>
              <w:rPr>
                <w:sz w:val="16"/>
                <w:szCs w:val="16"/>
                <w:color w:val="auto"/>
              </w:rPr>
            </w:pPr>
          </w:p>
        </w:tc>
        <w:tc>
          <w:tcPr>
            <w:tcW w:w="1540" w:type="dxa"/>
            <w:vAlign w:val="bottom"/>
            <w:shd w:val="clear" w:color="auto" w:fill="CFF2FA"/>
          </w:tcPr>
          <w:p>
            <w:pPr>
              <w:spacing w:after="0"/>
              <w:rPr>
                <w:sz w:val="16"/>
                <w:szCs w:val="16"/>
                <w:color w:val="auto"/>
              </w:rPr>
            </w:pPr>
          </w:p>
        </w:tc>
        <w:tc>
          <w:tcPr>
            <w:tcW w:w="120" w:type="dxa"/>
            <w:vAlign w:val="bottom"/>
            <w:shd w:val="clear" w:color="auto" w:fill="CFF2FA"/>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40" w:type="dxa"/>
            <w:vAlign w:val="bottom"/>
            <w:tcBorders>
              <w:top w:val="single" w:sz="8" w:color="CFF2FA"/>
            </w:tcBorders>
            <w:shd w:val="clear" w:color="auto" w:fill="CFF2FA"/>
          </w:tcPr>
          <w:p>
            <w:pPr>
              <w:spacing w:after="0" w:line="20" w:lineRule="exact"/>
              <w:rPr>
                <w:sz w:val="1"/>
                <w:szCs w:val="1"/>
                <w:color w:val="auto"/>
              </w:rPr>
            </w:pPr>
          </w:p>
        </w:tc>
        <w:tc>
          <w:tcPr>
            <w:tcW w:w="680" w:type="dxa"/>
            <w:vAlign w:val="bottom"/>
            <w:tcBorders>
              <w:top w:val="single" w:sz="8" w:color="auto"/>
            </w:tcBorders>
            <w:shd w:val="clear" w:color="auto" w:fill="CFF2FA"/>
          </w:tcPr>
          <w:p>
            <w:pPr>
              <w:spacing w:after="0" w:line="20" w:lineRule="exact"/>
              <w:rPr>
                <w:sz w:val="1"/>
                <w:szCs w:val="1"/>
                <w:color w:val="auto"/>
              </w:rPr>
            </w:pPr>
          </w:p>
        </w:tc>
        <w:tc>
          <w:tcPr>
            <w:tcW w:w="800" w:type="dxa"/>
            <w:vAlign w:val="bottom"/>
            <w:tcBorders>
              <w:top w:val="single" w:sz="8" w:color="auto"/>
            </w:tcBorders>
            <w:shd w:val="clear" w:color="auto" w:fill="CFF2FA"/>
          </w:tcPr>
          <w:p>
            <w:pPr>
              <w:spacing w:after="0" w:line="20" w:lineRule="exact"/>
              <w:rPr>
                <w:sz w:val="1"/>
                <w:szCs w:val="1"/>
                <w:color w:val="auto"/>
              </w:rPr>
            </w:pPr>
          </w:p>
        </w:tc>
        <w:tc>
          <w:tcPr>
            <w:tcW w:w="320" w:type="dxa"/>
            <w:vAlign w:val="bottom"/>
            <w:tcBorders>
              <w:top w:val="single" w:sz="8" w:color="auto"/>
            </w:tcBorders>
            <w:shd w:val="clear" w:color="auto" w:fill="CFF2FA"/>
          </w:tcPr>
          <w:p>
            <w:pPr>
              <w:spacing w:after="0" w:line="20" w:lineRule="exact"/>
              <w:rPr>
                <w:sz w:val="1"/>
                <w:szCs w:val="1"/>
                <w:color w:val="auto"/>
              </w:rPr>
            </w:pPr>
          </w:p>
        </w:tc>
        <w:tc>
          <w:tcPr>
            <w:tcW w:w="2640" w:type="dxa"/>
            <w:vAlign w:val="bottom"/>
            <w:tcBorders>
              <w:top w:val="single" w:sz="8" w:color="CFF2FA"/>
            </w:tcBorders>
            <w:shd w:val="clear" w:color="auto" w:fill="CFF2FA"/>
          </w:tcPr>
          <w:p>
            <w:pPr>
              <w:spacing w:after="0" w:line="20" w:lineRule="exact"/>
              <w:rPr>
                <w:sz w:val="1"/>
                <w:szCs w:val="1"/>
                <w:color w:val="auto"/>
              </w:rPr>
            </w:pPr>
          </w:p>
        </w:tc>
        <w:tc>
          <w:tcPr>
            <w:tcW w:w="860" w:type="dxa"/>
            <w:vAlign w:val="bottom"/>
            <w:tcBorders>
              <w:top w:val="single" w:sz="8" w:color="CFF2FA"/>
            </w:tcBorders>
            <w:shd w:val="clear" w:color="auto" w:fill="CFF2FA"/>
          </w:tcPr>
          <w:p>
            <w:pPr>
              <w:spacing w:after="0" w:line="20" w:lineRule="exact"/>
              <w:rPr>
                <w:sz w:val="1"/>
                <w:szCs w:val="1"/>
                <w:color w:val="auto"/>
              </w:rPr>
            </w:pPr>
          </w:p>
        </w:tc>
        <w:tc>
          <w:tcPr>
            <w:tcW w:w="1520" w:type="dxa"/>
            <w:vAlign w:val="bottom"/>
            <w:tcBorders>
              <w:top w:val="single" w:sz="8" w:color="CFF2FA"/>
            </w:tcBorders>
            <w:shd w:val="clear" w:color="auto" w:fill="CFF2FA"/>
          </w:tcPr>
          <w:p>
            <w:pPr>
              <w:spacing w:after="0" w:line="20" w:lineRule="exact"/>
              <w:rPr>
                <w:sz w:val="1"/>
                <w:szCs w:val="1"/>
                <w:color w:val="auto"/>
              </w:rPr>
            </w:pPr>
          </w:p>
        </w:tc>
        <w:tc>
          <w:tcPr>
            <w:tcW w:w="680" w:type="dxa"/>
            <w:vAlign w:val="bottom"/>
            <w:tcBorders>
              <w:top w:val="single" w:sz="8" w:color="CFF2FA"/>
            </w:tcBorders>
            <w:shd w:val="clear" w:color="auto" w:fill="CFF2FA"/>
          </w:tcPr>
          <w:p>
            <w:pPr>
              <w:spacing w:after="0" w:line="20" w:lineRule="exact"/>
              <w:rPr>
                <w:sz w:val="1"/>
                <w:szCs w:val="1"/>
                <w:color w:val="auto"/>
              </w:rPr>
            </w:pPr>
          </w:p>
        </w:tc>
        <w:tc>
          <w:tcPr>
            <w:tcW w:w="260" w:type="dxa"/>
            <w:vAlign w:val="bottom"/>
            <w:tcBorders>
              <w:top w:val="single" w:sz="8" w:color="CFF2FA"/>
            </w:tcBorders>
            <w:shd w:val="clear" w:color="auto" w:fill="CFF2FA"/>
          </w:tcPr>
          <w:p>
            <w:pPr>
              <w:spacing w:after="0" w:line="20" w:lineRule="exact"/>
              <w:rPr>
                <w:sz w:val="1"/>
                <w:szCs w:val="1"/>
                <w:color w:val="auto"/>
              </w:rPr>
            </w:pPr>
          </w:p>
        </w:tc>
        <w:tc>
          <w:tcPr>
            <w:tcW w:w="620" w:type="dxa"/>
            <w:vAlign w:val="bottom"/>
            <w:tcBorders>
              <w:top w:val="single" w:sz="8" w:color="CFF2FA"/>
            </w:tcBorders>
            <w:shd w:val="clear" w:color="auto" w:fill="CFF2FA"/>
          </w:tcPr>
          <w:p>
            <w:pPr>
              <w:spacing w:after="0" w:line="20" w:lineRule="exact"/>
              <w:rPr>
                <w:sz w:val="1"/>
                <w:szCs w:val="1"/>
                <w:color w:val="auto"/>
              </w:rPr>
            </w:pPr>
          </w:p>
        </w:tc>
        <w:tc>
          <w:tcPr>
            <w:tcW w:w="1540" w:type="dxa"/>
            <w:vAlign w:val="bottom"/>
            <w:tcBorders>
              <w:top w:val="single" w:sz="8" w:color="CFF2FA"/>
            </w:tcBorders>
            <w:shd w:val="clear" w:color="auto" w:fill="CFF2FA"/>
          </w:tcPr>
          <w:p>
            <w:pPr>
              <w:spacing w:after="0" w:line="20" w:lineRule="exact"/>
              <w:rPr>
                <w:sz w:val="1"/>
                <w:szCs w:val="1"/>
                <w:color w:val="auto"/>
              </w:rPr>
            </w:pPr>
          </w:p>
        </w:tc>
        <w:tc>
          <w:tcPr>
            <w:tcW w:w="120" w:type="dxa"/>
            <w:vAlign w:val="bottom"/>
            <w:tcBorders>
              <w:top w:val="single" w:sz="8" w:color="CFF2FA"/>
            </w:tcBorders>
            <w:shd w:val="clear" w:color="auto" w:fill="CFF2F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40" w:type="dxa"/>
            <w:vAlign w:val="bottom"/>
          </w:tcPr>
          <w:p>
            <w:pPr>
              <w:spacing w:after="0"/>
              <w:rPr>
                <w:sz w:val="18"/>
                <w:szCs w:val="18"/>
                <w:color w:val="auto"/>
              </w:rPr>
            </w:pPr>
          </w:p>
        </w:tc>
        <w:tc>
          <w:tcPr>
            <w:tcW w:w="4440" w:type="dxa"/>
            <w:vAlign w:val="bottom"/>
            <w:gridSpan w:val="4"/>
          </w:tcPr>
          <w:p>
            <w:pPr>
              <w:ind w:left="140"/>
              <w:spacing w:after="0"/>
              <w:rPr>
                <w:sz w:val="20"/>
                <w:szCs w:val="20"/>
                <w:color w:val="auto"/>
              </w:rPr>
            </w:pPr>
            <w:r>
              <w:rPr>
                <w:rFonts w:ascii="Arial" w:cs="Arial" w:eastAsia="Arial" w:hAnsi="Arial"/>
                <w:sz w:val="18"/>
                <w:szCs w:val="18"/>
                <w:color w:val="auto"/>
              </w:rPr>
              <w:t>Interest income from notes receivable (included</w:t>
            </w:r>
          </w:p>
        </w:tc>
        <w:tc>
          <w:tcPr>
            <w:tcW w:w="8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4440" w:type="dxa"/>
            <w:vAlign w:val="bottom"/>
            <w:gridSpan w:val="4"/>
          </w:tcPr>
          <w:p>
            <w:pPr>
              <w:ind w:left="260"/>
              <w:spacing w:after="0"/>
              <w:rPr>
                <w:sz w:val="20"/>
                <w:szCs w:val="20"/>
                <w:color w:val="auto"/>
              </w:rPr>
            </w:pPr>
            <w:r>
              <w:rPr>
                <w:rFonts w:ascii="Arial" w:cs="Arial" w:eastAsia="Arial" w:hAnsi="Arial"/>
                <w:sz w:val="18"/>
                <w:szCs w:val="18"/>
                <w:color w:val="auto"/>
              </w:rPr>
              <w:t xml:space="preserve">in interest income) </w:t>
            </w:r>
            <w:r>
              <w:rPr>
                <w:rFonts w:ascii="Arial" w:cs="Arial" w:eastAsia="Arial" w:hAnsi="Arial"/>
                <w:sz w:val="18"/>
                <w:szCs w:val="18"/>
                <w:i w:val="1"/>
                <w:iCs w:val="1"/>
                <w:color w:val="auto"/>
              </w:rPr>
              <w:t>(5)</w:t>
            </w: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hanging="558"/>
        <w:spacing w:after="0" w:line="254" w:lineRule="auto"/>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For the three months ended March 29, 2018 and March 30, 2017, two of the founding members purchased 60 seconds of on-screen advertising time and one founding member purchased 30 seconds (with all three founding members having a right to purchase up to 90 seconds) from NCM LLC to satisfy their obligations under their beverage concessionaire agreements at a 30 second equivalent cost per thousand (“CPM”) rate specified by the ESA.</w:t>
      </w:r>
    </w:p>
    <w:p>
      <w:pPr>
        <w:spacing w:after="0" w:line="2" w:lineRule="exact"/>
        <w:rPr>
          <w:rFonts w:ascii="Arial" w:cs="Arial" w:eastAsia="Arial" w:hAnsi="Arial"/>
          <w:sz w:val="18"/>
          <w:szCs w:val="18"/>
          <w:i w:val="1"/>
          <w:iCs w:val="1"/>
          <w:color w:val="auto"/>
        </w:rPr>
      </w:pPr>
    </w:p>
    <w:p>
      <w:pPr>
        <w:ind w:left="560" w:right="340" w:hanging="558"/>
        <w:spacing w:after="0" w:line="250" w:lineRule="auto"/>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Comprised of payments per theater attendee and payments per digital screen with respect to the founding member theaters included in the Company’s network, including payments for access to higher quality digital cinema equipment.</w:t>
      </w:r>
    </w:p>
    <w:p>
      <w:pPr>
        <w:ind w:left="560" w:hanging="558"/>
        <w:spacing w:after="0"/>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rFonts w:ascii="Arial" w:cs="Arial" w:eastAsia="Arial" w:hAnsi="Arial"/>
          <w:sz w:val="18"/>
          <w:szCs w:val="18"/>
          <w:i w:val="1"/>
          <w:iCs w:val="1"/>
          <w:color w:val="auto"/>
        </w:rPr>
      </w:pPr>
    </w:p>
    <w:p>
      <w:pPr>
        <w:ind w:left="560" w:right="60" w:hanging="558"/>
        <w:spacing w:after="0" w:line="281" w:lineRule="auto"/>
        <w:tabs>
          <w:tab w:leader="none" w:pos="560" w:val="left"/>
        </w:tabs>
        <w:numPr>
          <w:ilvl w:val="0"/>
          <w:numId w:val="4"/>
        </w:numPr>
        <w:rPr>
          <w:rFonts w:ascii="Arial" w:cs="Arial" w:eastAsia="Arial" w:hAnsi="Arial"/>
          <w:sz w:val="16"/>
          <w:szCs w:val="16"/>
          <w:i w:val="1"/>
          <w:iCs w:val="1"/>
          <w:color w:val="auto"/>
        </w:rPr>
      </w:pPr>
      <w:r>
        <w:rPr>
          <w:rFonts w:ascii="Arial" w:cs="Arial" w:eastAsia="Arial" w:hAnsi="Arial"/>
          <w:sz w:val="16"/>
          <w:szCs w:val="16"/>
          <w:color w:val="auto"/>
        </w:rPr>
        <w:t>Pursuant to the Management Services Agreement between NCM, Inc. and NCM LLC, NCM, Inc. provides certain specific management services to NCM LLC, including the services of the Chief Executive Officer, President, Chief Financial Officer, Executive Vice President, Chief Revenue Officer and Senior Vice President, General Counsel. In exchange for these services, NCM LLC reimburses NCM, Inc. for compensation paid to the officers (including share based compensation) and other expenses of the officers and for certain out-of-pocket costs.</w:t>
      </w:r>
    </w:p>
    <w:p>
      <w:pPr>
        <w:spacing w:after="0" w:line="2" w:lineRule="exact"/>
        <w:rPr>
          <w:rFonts w:ascii="Arial" w:cs="Arial" w:eastAsia="Arial" w:hAnsi="Arial"/>
          <w:sz w:val="16"/>
          <w:szCs w:val="16"/>
          <w:i w:val="1"/>
          <w:iCs w:val="1"/>
          <w:color w:val="auto"/>
        </w:rPr>
      </w:pPr>
    </w:p>
    <w:p>
      <w:pPr>
        <w:ind w:left="560" w:hanging="558"/>
        <w:spacing w:after="0" w:line="253" w:lineRule="auto"/>
        <w:tabs>
          <w:tab w:leader="none" w:pos="5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On December 26, 2013, the Company sold its Fathom Events business to a newly formed limited liability company (AC JV, LLC) owned 32% by each of the founding members and 4% by NCM LLC. In consideration for the sale, the Company received a total of $25.0 million in promissory notes from its founding members (one-third or approximately $8.3 million from each founding member). The notes bear interest at a fixed rate of 5.0% per annum, compounded annually. Interest and principal payments are due annually in six equal installments commencing on the first anniversary of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-2209800</wp:posOffset>
            </wp:positionV>
            <wp:extent cx="1715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800" w:top="121" w:right="27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Included in the Condensed Balance Sheets:</w:t>
            </w:r>
          </w:p>
        </w:tc>
        <w:tc>
          <w:tcPr>
            <w:tcW w:w="1800" w:type="dxa"/>
            <w:vAlign w:val="bottom"/>
            <w:gridSpan w:val="3"/>
          </w:tcPr>
          <w:p>
            <w:pPr>
              <w:ind w:left="380"/>
              <w:spacing w:after="0" w:line="133" w:lineRule="exact"/>
              <w:rPr>
                <w:sz w:val="20"/>
                <w:szCs w:val="20"/>
                <w:color w:val="auto"/>
              </w:rPr>
            </w:pPr>
            <w:r>
              <w:rPr>
                <w:rFonts w:ascii="Arial" w:cs="Arial" w:eastAsia="Arial" w:hAnsi="Arial"/>
                <w:sz w:val="14"/>
                <w:szCs w:val="14"/>
                <w:b w:val="1"/>
                <w:bCs w:val="1"/>
                <w:color w:val="auto"/>
              </w:rPr>
              <w:t>March 29,</w:t>
            </w:r>
          </w:p>
        </w:tc>
        <w:tc>
          <w:tcPr>
            <w:tcW w:w="1280" w:type="dxa"/>
            <w:vAlign w:val="bottom"/>
          </w:tcPr>
          <w:p>
            <w:pPr>
              <w:jc w:val="right"/>
              <w:ind w:right="214"/>
              <w:spacing w:after="0" w:line="133" w:lineRule="exact"/>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100" w:type="dxa"/>
            <w:vAlign w:val="bottom"/>
            <w:gridSpan w:val="2"/>
            <w:vMerge w:val="continue"/>
          </w:tcPr>
          <w:p>
            <w:pPr>
              <w:spacing w:after="0"/>
              <w:rPr>
                <w:sz w:val="14"/>
                <w:szCs w:val="14"/>
                <w:color w:val="auto"/>
              </w:rPr>
            </w:pPr>
          </w:p>
        </w:tc>
        <w:tc>
          <w:tcPr>
            <w:tcW w:w="1400" w:type="dxa"/>
            <w:vAlign w:val="bottom"/>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auto"/>
            </w:tcBorders>
            <w:shd w:val="clear" w:color="auto" w:fill="CFF2FA"/>
          </w:tcPr>
          <w:p>
            <w:pPr>
              <w:ind w:left="240"/>
              <w:spacing w:after="0"/>
              <w:rPr>
                <w:sz w:val="20"/>
                <w:szCs w:val="20"/>
                <w:color w:val="auto"/>
              </w:rPr>
            </w:pPr>
            <w:r>
              <w:rPr>
                <w:rFonts w:ascii="Arial" w:cs="Arial" w:eastAsia="Arial" w:hAnsi="Arial"/>
                <w:sz w:val="18"/>
                <w:szCs w:val="18"/>
                <w:color w:val="auto"/>
              </w:rPr>
              <w:t>Purchase of movie tickets and concession products</w:t>
            </w:r>
          </w:p>
        </w:tc>
        <w:tc>
          <w:tcPr>
            <w:tcW w:w="160" w:type="dxa"/>
            <w:vAlign w:val="bottom"/>
            <w:tcBorders>
              <w:top w:val="single" w:sz="8" w:color="CFF2FA"/>
            </w:tcBorders>
            <w:shd w:val="clear" w:color="auto" w:fill="CFF2FA"/>
          </w:tcPr>
          <w:p>
            <w:pPr>
              <w:spacing w:after="0"/>
              <w:rPr>
                <w:sz w:val="18"/>
                <w:szCs w:val="18"/>
                <w:color w:val="auto"/>
              </w:rPr>
            </w:pPr>
          </w:p>
        </w:tc>
        <w:tc>
          <w:tcPr>
            <w:tcW w:w="1400" w:type="dxa"/>
            <w:vAlign w:val="bottom"/>
            <w:tcBorders>
              <w:top w:val="single" w:sz="8" w:color="auto"/>
            </w:tcBorders>
            <w:shd w:val="clear" w:color="auto" w:fill="CFF2FA"/>
          </w:tcPr>
          <w:p>
            <w:pPr>
              <w:spacing w:after="0"/>
              <w:rPr>
                <w:sz w:val="18"/>
                <w:szCs w:val="18"/>
                <w:color w:val="auto"/>
              </w:rPr>
            </w:pPr>
          </w:p>
        </w:tc>
        <w:tc>
          <w:tcPr>
            <w:tcW w:w="260" w:type="dxa"/>
            <w:vAlign w:val="bottom"/>
            <w:tcBorders>
              <w:top w:val="single" w:sz="8" w:color="CFF2FA"/>
            </w:tcBorders>
            <w:shd w:val="clear" w:color="auto" w:fill="CFF2FA"/>
          </w:tcPr>
          <w:p>
            <w:pPr>
              <w:spacing w:after="0"/>
              <w:rPr>
                <w:sz w:val="18"/>
                <w:szCs w:val="18"/>
                <w:color w:val="auto"/>
              </w:rPr>
            </w:pPr>
          </w:p>
        </w:tc>
        <w:tc>
          <w:tcPr>
            <w:tcW w:w="140" w:type="dxa"/>
            <w:vAlign w:val="bottom"/>
            <w:tcBorders>
              <w:top w:val="single" w:sz="8" w:color="auto"/>
            </w:tcBorders>
            <w:shd w:val="clear" w:color="auto" w:fill="CFF2FA"/>
          </w:tcPr>
          <w:p>
            <w:pPr>
              <w:spacing w:after="0"/>
              <w:rPr>
                <w:sz w:val="18"/>
                <w:szCs w:val="18"/>
                <w:color w:val="auto"/>
              </w:rPr>
            </w:pPr>
          </w:p>
        </w:tc>
        <w:tc>
          <w:tcPr>
            <w:tcW w:w="1280" w:type="dxa"/>
            <w:vAlign w:val="bottom"/>
            <w:tcBorders>
              <w:top w:val="single" w:sz="8" w:color="auto"/>
            </w:tcBorders>
            <w:shd w:val="clear" w:color="auto" w:fill="CFF2FA"/>
          </w:tcPr>
          <w:p>
            <w:pPr>
              <w:spacing w:after="0"/>
              <w:rPr>
                <w:sz w:val="18"/>
                <w:szCs w:val="18"/>
                <w:color w:val="auto"/>
              </w:rPr>
            </w:pPr>
          </w:p>
        </w:tc>
        <w:tc>
          <w:tcPr>
            <w:tcW w:w="100" w:type="dxa"/>
            <w:vAlign w:val="bottom"/>
            <w:tcBorders>
              <w:top w:val="single" w:sz="8" w:color="CFF2FA"/>
            </w:tcBorders>
            <w:shd w:val="clear" w:color="auto" w:fill="CFF2FA"/>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2FA"/>
          </w:tcPr>
          <w:p>
            <w:pPr>
              <w:ind w:left="380"/>
              <w:spacing w:after="0"/>
              <w:rPr>
                <w:sz w:val="20"/>
                <w:szCs w:val="20"/>
                <w:color w:val="auto"/>
              </w:rPr>
            </w:pPr>
            <w:r>
              <w:rPr>
                <w:rFonts w:ascii="Arial" w:cs="Arial" w:eastAsia="Arial" w:hAnsi="Arial"/>
                <w:sz w:val="18"/>
                <w:szCs w:val="18"/>
                <w:color w:val="auto"/>
              </w:rPr>
              <w:t>(included in prepaid expenses)</w:t>
            </w:r>
          </w:p>
        </w:tc>
        <w:tc>
          <w:tcPr>
            <w:tcW w:w="14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2FA"/>
          </w:tcPr>
          <w:p>
            <w:pPr>
              <w:spacing w:after="0"/>
              <w:rPr>
                <w:sz w:val="20"/>
                <w:szCs w:val="20"/>
                <w:color w:val="auto"/>
              </w:rPr>
            </w:pPr>
          </w:p>
        </w:tc>
        <w:tc>
          <w:tcPr>
            <w:tcW w:w="140" w:type="dxa"/>
            <w:vAlign w:val="bottom"/>
            <w:shd w:val="clear" w:color="auto" w:fill="CFF2FA"/>
          </w:tcPr>
          <w:p>
            <w:pPr>
              <w:spacing w:after="0"/>
              <w:rPr>
                <w:sz w:val="20"/>
                <w:szCs w:val="20"/>
                <w:color w:val="auto"/>
              </w:rPr>
            </w:pPr>
          </w:p>
        </w:tc>
        <w:tc>
          <w:tcPr>
            <w:tcW w:w="1380" w:type="dxa"/>
            <w:vAlign w:val="bottom"/>
            <w:gridSpan w:val="2"/>
            <w:shd w:val="clear" w:color="auto" w:fill="CFF2FA"/>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 xml:space="preserve">Current portion of notes receivable - founding members </w:t>
            </w:r>
            <w:r>
              <w:rPr>
                <w:rFonts w:ascii="Arial" w:cs="Arial" w:eastAsia="Arial" w:hAnsi="Arial"/>
                <w:sz w:val="18"/>
                <w:szCs w:val="18"/>
                <w:i w:val="1"/>
                <w:iCs w:val="1"/>
                <w:color w:val="auto"/>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2FA"/>
          </w:tcPr>
          <w:p>
            <w:pPr>
              <w:ind w:left="240"/>
              <w:spacing w:after="0"/>
              <w:rPr>
                <w:sz w:val="20"/>
                <w:szCs w:val="20"/>
                <w:color w:val="auto"/>
              </w:rPr>
            </w:pPr>
            <w:r>
              <w:rPr>
                <w:rFonts w:ascii="Arial" w:cs="Arial" w:eastAsia="Arial" w:hAnsi="Arial"/>
                <w:sz w:val="18"/>
                <w:szCs w:val="18"/>
                <w:color w:val="auto"/>
              </w:rPr>
              <w:t xml:space="preserve">Long-term portion of notes receivable - founding members </w:t>
            </w:r>
            <w:r>
              <w:rPr>
                <w:rFonts w:ascii="Arial" w:cs="Arial" w:eastAsia="Arial" w:hAnsi="Arial"/>
                <w:sz w:val="18"/>
                <w:szCs w:val="18"/>
                <w:i w:val="1"/>
                <w:iCs w:val="1"/>
                <w:color w:val="auto"/>
              </w:rPr>
              <w:t>(1)</w:t>
            </w:r>
          </w:p>
        </w:tc>
        <w:tc>
          <w:tcPr>
            <w:tcW w:w="14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2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Interest receivable on notes receivable (included in</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FF2FA"/>
          </w:tcPr>
          <w:p>
            <w:pPr>
              <w:ind w:left="240"/>
              <w:spacing w:after="0"/>
              <w:rPr>
                <w:sz w:val="20"/>
                <w:szCs w:val="20"/>
                <w:color w:val="auto"/>
              </w:rPr>
            </w:pPr>
            <w:r>
              <w:rPr>
                <w:rFonts w:ascii="Arial" w:cs="Arial" w:eastAsia="Arial" w:hAnsi="Arial"/>
                <w:sz w:val="18"/>
                <w:szCs w:val="18"/>
                <w:color w:val="auto"/>
              </w:rPr>
              <w:t xml:space="preserve">Prepaid administrative fees to managing member </w:t>
            </w:r>
            <w:r>
              <w:rPr>
                <w:rFonts w:ascii="Arial" w:cs="Arial" w:eastAsia="Arial" w:hAnsi="Arial"/>
                <w:sz w:val="18"/>
                <w:szCs w:val="18"/>
                <w:i w:val="1"/>
                <w:iCs w:val="1"/>
                <w:color w:val="auto"/>
              </w:rPr>
              <w:t>(2)</w:t>
            </w:r>
          </w:p>
        </w:tc>
        <w:tc>
          <w:tcPr>
            <w:tcW w:w="140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2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100" w:type="dxa"/>
            <w:vAlign w:val="bottom"/>
            <w:gridSpan w:val="2"/>
          </w:tcPr>
          <w:p>
            <w:pPr>
              <w:ind w:left="240"/>
              <w:spacing w:after="0"/>
              <w:rPr>
                <w:sz w:val="20"/>
                <w:szCs w:val="20"/>
                <w:color w:val="auto"/>
              </w:rPr>
            </w:pPr>
            <w:r>
              <w:rPr>
                <w:rFonts w:ascii="Arial" w:cs="Arial" w:eastAsia="Arial" w:hAnsi="Arial"/>
                <w:sz w:val="18"/>
                <w:szCs w:val="18"/>
                <w:color w:val="auto"/>
              </w:rPr>
              <w:t>Common unit adjustments, net of amortization and integration</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 xml:space="preserve">payments (included in intangible assets) </w:t>
            </w:r>
            <w:r>
              <w:rPr>
                <w:rFonts w:ascii="Arial" w:cs="Arial" w:eastAsia="Arial" w:hAnsi="Arial"/>
                <w:sz w:val="18"/>
                <w:szCs w:val="18"/>
                <w:i w:val="1"/>
                <w:iCs w:val="1"/>
                <w:color w:val="auto"/>
              </w:rPr>
              <w:t>(3)</w:t>
            </w:r>
          </w:p>
        </w:tc>
        <w:tc>
          <w:tcPr>
            <w:tcW w:w="1400" w:type="dxa"/>
            <w:vAlign w:val="bottom"/>
          </w:tcPr>
          <w:p>
            <w:pPr>
              <w:jc w:val="right"/>
              <w:spacing w:after="0"/>
              <w:rPr>
                <w:sz w:val="20"/>
                <w:szCs w:val="20"/>
                <w:color w:val="auto"/>
              </w:rPr>
            </w:pPr>
            <w:r>
              <w:rPr>
                <w:rFonts w:ascii="Arial" w:cs="Arial" w:eastAsia="Arial" w:hAnsi="Arial"/>
                <w:sz w:val="18"/>
                <w:szCs w:val="18"/>
                <w:color w:val="auto"/>
              </w:rPr>
              <w:t>694.9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120" w:hanging="558"/>
        <w:spacing w:after="0"/>
        <w:tabs>
          <w:tab w:leader="none" w:pos="11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the discussion of notes receivable from the founding members above.</w:t>
      </w:r>
    </w:p>
    <w:p>
      <w:pPr>
        <w:spacing w:after="0" w:line="23" w:lineRule="exact"/>
        <w:rPr>
          <w:rFonts w:ascii="Arial" w:cs="Arial" w:eastAsia="Arial" w:hAnsi="Arial"/>
          <w:sz w:val="18"/>
          <w:szCs w:val="18"/>
          <w:i w:val="1"/>
          <w:iCs w:val="1"/>
          <w:color w:val="auto"/>
        </w:rPr>
      </w:pPr>
    </w:p>
    <w:p>
      <w:pPr>
        <w:ind w:left="1120" w:right="200" w:hanging="558"/>
        <w:spacing w:after="0" w:line="250" w:lineRule="auto"/>
        <w:tabs>
          <w:tab w:leader="none" w:pos="11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payments to NCM, Inc. for estimated management services related to employment are made one month in advance. NCM LLC also provides administrative and support services to NCM, Inc. such as office facilities, equipment, supplies, payroll, accounting and financial reporting at no charge. Based on the limited activities of NCM, Inc. as a standalone entity, the Company does not believe such unreimbursed costs are significant.</w:t>
      </w:r>
    </w:p>
    <w:p>
      <w:pPr>
        <w:spacing w:after="0" w:line="1" w:lineRule="exact"/>
        <w:rPr>
          <w:rFonts w:ascii="Arial" w:cs="Arial" w:eastAsia="Arial" w:hAnsi="Arial"/>
          <w:sz w:val="18"/>
          <w:szCs w:val="18"/>
          <w:i w:val="1"/>
          <w:iCs w:val="1"/>
          <w:color w:val="auto"/>
        </w:rPr>
      </w:pPr>
    </w:p>
    <w:p>
      <w:pPr>
        <w:ind w:left="1120" w:hanging="558"/>
        <w:spacing w:after="0"/>
        <w:tabs>
          <w:tab w:leader="none" w:pos="11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Refer to Note 3—</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-825500</wp:posOffset>
            </wp:positionV>
            <wp:extent cx="13633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83" w:lineRule="exact"/>
        <w:rPr>
          <w:sz w:val="20"/>
          <w:szCs w:val="20"/>
          <w:color w:val="auto"/>
        </w:rPr>
      </w:pPr>
    </w:p>
    <w:p>
      <w:pPr>
        <w:ind w:right="180" w:firstLine="555"/>
        <w:spacing w:after="0" w:line="312" w:lineRule="auto"/>
        <w:rPr>
          <w:sz w:val="20"/>
          <w:szCs w:val="20"/>
          <w:color w:val="auto"/>
        </w:rPr>
      </w:pPr>
      <w:r>
        <w:rPr>
          <w:rFonts w:ascii="Arial" w:cs="Arial" w:eastAsia="Arial" w:hAnsi="Arial"/>
          <w:sz w:val="16"/>
          <w:szCs w:val="16"/>
          <w:color w:val="auto"/>
        </w:rPr>
        <w:t>Pursuant to the terms of the NCM LLC Operating Agreement in place since the completion of NCM, Inc.’s IPO, the Company is required to make mandatory distributions on a proportionate basis to its members of available cash, as defined in the NCM LLC Operating Agreement, on a quarterly basis in arrears. Mandatory distributions of available cash for the three months ended March 29, 2018 and March 30, 2017 were as follows (in millions):</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38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500" w:type="dxa"/>
            <w:vAlign w:val="bottom"/>
          </w:tcPr>
          <w:p>
            <w:pPr>
              <w:jc w:val="right"/>
              <w:ind w:right="66"/>
              <w:spacing w:after="0" w:line="133" w:lineRule="exact"/>
              <w:rPr>
                <w:sz w:val="20"/>
                <w:szCs w:val="20"/>
                <w:color w:val="auto"/>
              </w:rPr>
            </w:pPr>
            <w:r>
              <w:rPr>
                <w:rFonts w:ascii="Arial" w:cs="Arial" w:eastAsia="Arial" w:hAnsi="Arial"/>
                <w:sz w:val="14"/>
                <w:szCs w:val="14"/>
                <w:b w:val="1"/>
                <w:bCs w:val="1"/>
                <w:color w:val="auto"/>
              </w:rPr>
              <w:t>March 29,</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20" w:type="dxa"/>
            <w:vAlign w:val="bottom"/>
          </w:tcPr>
          <w:p>
            <w:pPr>
              <w:jc w:val="right"/>
              <w:ind w:right="674"/>
              <w:spacing w:after="0" w:line="133" w:lineRule="exact"/>
              <w:rPr>
                <w:sz w:val="20"/>
                <w:szCs w:val="20"/>
                <w:color w:val="auto"/>
              </w:rPr>
            </w:pPr>
            <w:r>
              <w:rPr>
                <w:rFonts w:ascii="Arial" w:cs="Arial" w:eastAsia="Arial" w:hAnsi="Arial"/>
                <w:sz w:val="14"/>
                <w:szCs w:val="14"/>
                <w:b w:val="1"/>
                <w:bCs w:val="1"/>
                <w:color w:val="auto"/>
              </w:rPr>
              <w:t>March 30,</w:t>
            </w:r>
          </w:p>
        </w:tc>
        <w:tc>
          <w:tcPr>
            <w:tcW w:w="100" w:type="dxa"/>
            <w:vAlign w:val="bottom"/>
          </w:tcPr>
          <w:p>
            <w:pPr>
              <w:spacing w:after="0"/>
              <w:rPr>
                <w:sz w:val="11"/>
                <w:szCs w:val="11"/>
                <w:color w:val="auto"/>
              </w:rPr>
            </w:pPr>
          </w:p>
        </w:tc>
      </w:tr>
      <w:tr>
        <w:trPr>
          <w:trHeight w:val="171"/>
        </w:trPr>
        <w:tc>
          <w:tcPr>
            <w:tcW w:w="3800" w:type="dxa"/>
            <w:vAlign w:val="bottom"/>
          </w:tcPr>
          <w:p>
            <w:pPr>
              <w:spacing w:after="0"/>
              <w:rPr>
                <w:sz w:val="14"/>
                <w:szCs w:val="14"/>
                <w:color w:val="auto"/>
              </w:rPr>
            </w:pPr>
          </w:p>
        </w:tc>
        <w:tc>
          <w:tcPr>
            <w:tcW w:w="3300" w:type="dxa"/>
            <w:vAlign w:val="bottom"/>
            <w:gridSpan w:val="2"/>
          </w:tcPr>
          <w:p>
            <w:pPr>
              <w:jc w:val="right"/>
              <w:ind w:right="226"/>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tcPr>
          <w:p>
            <w:pPr>
              <w:jc w:val="right"/>
              <w:ind w:right="8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223"/>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AMC</w:t>
            </w:r>
          </w:p>
        </w:tc>
        <w:tc>
          <w:tcPr>
            <w:tcW w:w="180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134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90"/>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Cinemark</w:t>
            </w:r>
          </w:p>
        </w:tc>
        <w:tc>
          <w:tcPr>
            <w:tcW w:w="1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Regal</w:t>
            </w:r>
          </w:p>
        </w:tc>
        <w:tc>
          <w:tcPr>
            <w:tcW w:w="180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3"/>
        </w:trPr>
        <w:tc>
          <w:tcPr>
            <w:tcW w:w="3800" w:type="dxa"/>
            <w:vAlign w:val="bottom"/>
          </w:tcPr>
          <w:p>
            <w:pPr>
              <w:ind w:left="240"/>
              <w:spacing w:after="0"/>
              <w:rPr>
                <w:sz w:val="20"/>
                <w:szCs w:val="20"/>
                <w:color w:val="auto"/>
              </w:rPr>
            </w:pPr>
            <w:r>
              <w:rPr>
                <w:rFonts w:ascii="Arial" w:cs="Arial" w:eastAsia="Arial" w:hAnsi="Arial"/>
                <w:sz w:val="18"/>
                <w:szCs w:val="18"/>
                <w:color w:val="auto"/>
              </w:rPr>
              <w:t>Total founding members</w:t>
            </w:r>
          </w:p>
        </w:tc>
        <w:tc>
          <w:tcPr>
            <w:tcW w:w="18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NCM, Inc.</w:t>
            </w:r>
          </w:p>
        </w:tc>
        <w:tc>
          <w:tcPr>
            <w:tcW w:w="1800" w:type="dxa"/>
            <w:vAlign w:val="bottom"/>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r>
      <w:tr>
        <w:trPr>
          <w:trHeight w:val="223"/>
        </w:trPr>
        <w:tc>
          <w:tcPr>
            <w:tcW w:w="3800" w:type="dxa"/>
            <w:vAlign w:val="bottom"/>
          </w:tcPr>
          <w:p>
            <w:pPr>
              <w:ind w:left="50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500" w:type="dxa"/>
            <w:vAlign w:val="bottom"/>
            <w:tcBorders>
              <w:bottom w:val="single" w:sz="8" w:color="auto"/>
            </w:tcBorders>
          </w:tcPr>
          <w:p>
            <w:pPr>
              <w:jc w:val="right"/>
              <w:ind w:right="134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90"/>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The mandatory distributions of available cash by the Company to its founding members for the three months ended March 29, 2018 of $8.4 million is included in amounts due to founding members, net on the unaudited Condensed Balance Sheets as of March 29, 2018 and will be made in the second quarter of 2018. The mandatory distributions of available cash by the Company to its managing member for the three months ended March 29, 2018 of $8.1 million is included in amounts due to managing member, net on the unaudited Condensed Balance Sheets as of March 29, 2018 and will be made in the second quarter of 2018.</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net as of March 29, 2018 were comprised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Regal</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10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 encumbered theater payments</w:t>
            </w:r>
          </w:p>
        </w:tc>
        <w:tc>
          <w:tcPr>
            <w:tcW w:w="170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56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Distributions payable to founding members</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Integration payments due from founding members</w:t>
            </w: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amounts due to founding members, net</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12</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 founding members, net as of December 28, 2017 were comprised of the following (in millions):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Cinemark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Regal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09"/>
        </w:trPr>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Theatre access fees, net of beverage revenues</w:t>
            </w:r>
          </w:p>
        </w:tc>
        <w:tc>
          <w:tcPr>
            <w:tcW w:w="86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 encumbered theater payments</w:t>
            </w:r>
          </w:p>
        </w:tc>
        <w:tc>
          <w:tcPr>
            <w:tcW w:w="156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20"/>
                <w:szCs w:val="20"/>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Distributions payable to founding members</w:t>
            </w:r>
          </w:p>
        </w:tc>
        <w:tc>
          <w:tcPr>
            <w:tcW w:w="8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Integration payments due from founding members</w:t>
            </w:r>
          </w:p>
        </w:tc>
        <w:tc>
          <w:tcPr>
            <w:tcW w:w="8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w:t>
            </w:r>
          </w:p>
        </w:tc>
      </w:tr>
      <w:tr>
        <w:trPr>
          <w:trHeight w:val="223"/>
        </w:trPr>
        <w:tc>
          <w:tcPr>
            <w:tcW w:w="4480" w:type="dxa"/>
            <w:vAlign w:val="bottom"/>
          </w:tcPr>
          <w:p>
            <w:pPr>
              <w:ind w:left="240"/>
              <w:spacing w:after="0"/>
              <w:rPr>
                <w:sz w:val="20"/>
                <w:szCs w:val="20"/>
                <w:color w:val="auto"/>
              </w:rPr>
            </w:pPr>
            <w:r>
              <w:rPr>
                <w:rFonts w:ascii="Arial" w:cs="Arial" w:eastAsia="Arial" w:hAnsi="Arial"/>
                <w:sz w:val="18"/>
                <w:szCs w:val="18"/>
                <w:color w:val="auto"/>
              </w:rPr>
              <w:t>Total amounts due to founding members, net</w:t>
            </w:r>
          </w:p>
        </w:tc>
        <w:tc>
          <w:tcPr>
            <w:tcW w:w="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Amounts due to/from managing member, net were comprised of the following (in millions):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5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rPr>
              <w:t>March 29,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28,</w:t>
            </w:r>
          </w:p>
        </w:tc>
        <w:tc>
          <w:tcPr>
            <w:tcW w:w="60" w:type="dxa"/>
            <w:vAlign w:val="bottom"/>
          </w:tcPr>
          <w:p>
            <w:pPr>
              <w:spacing w:after="0"/>
              <w:rPr>
                <w:sz w:val="11"/>
                <w:szCs w:val="11"/>
                <w:color w:val="auto"/>
              </w:rPr>
            </w:pPr>
          </w:p>
        </w:tc>
      </w:tr>
      <w:tr>
        <w:trPr>
          <w:trHeight w:val="171"/>
        </w:trPr>
        <w:tc>
          <w:tcPr>
            <w:tcW w:w="5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Distributions payable to managing member</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60" w:type="dxa"/>
            <w:vAlign w:val="bottom"/>
            <w:shd w:val="clear" w:color="auto" w:fill="CFF0FC"/>
          </w:tcPr>
          <w:p>
            <w:pPr>
              <w:spacing w:after="0"/>
              <w:rPr>
                <w:sz w:val="19"/>
                <w:szCs w:val="19"/>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Cost and other reimbursement</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amounts due to managing member,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555"/>
        <w:spacing w:after="0" w:line="342" w:lineRule="auto"/>
        <w:rPr>
          <w:sz w:val="20"/>
          <w:szCs w:val="20"/>
          <w:color w:val="auto"/>
        </w:rPr>
      </w:pPr>
      <w:r>
        <w:rPr>
          <w:rFonts w:ascii="Arial" w:cs="Arial" w:eastAsia="Arial" w:hAnsi="Arial"/>
          <w:sz w:val="16"/>
          <w:szCs w:val="16"/>
          <w:color w:val="auto"/>
        </w:rPr>
        <w:t>As of March 29, 2018, AMC owned 1.0 million shares of NCM, Inc. common stock and during the three months ended March 29, 2018 and March 30, 2017, AMC received cash dividends of approximately $0.2 million and $0.0 million, respectively, on its shares of NCM, Inc. common stock.</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AC JV, LLC Transactions</w:t>
      </w:r>
      <w:r>
        <w:rPr>
          <w:rFonts w:ascii="Arial" w:cs="Arial" w:eastAsia="Arial" w:hAnsi="Arial"/>
          <w:sz w:val="16"/>
          <w:szCs w:val="16"/>
          <w:color w:val="auto"/>
        </w:rPr>
        <w:t>—In December 2013, the Company sold its Fathom Events business to a newly formed limited liability company, AC JV,</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LLC, owned 32% by each of the founding members and 4% by NCM LLC. The Company accounts for its investment in AC JV, LLC under the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method of accounting in accordance with ASC 323-30,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323-30”) because AC JV, LLC is a limited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liability company with the characteristics of a limited partnership and ASC 323-30 requires the use of equity method accounting unless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is so minor that it would have virtually no influence over partnership operating and financial policies. Although NCM LLC does not have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on AC JV, LLC’s Board of Directors or any voting, consent or blocking rights with respect to the governance or operations of AC JV, LLC,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concluded that its interest was more than minor under the accounting guidance. The Company’s investment in AC JV, LLC was $1.0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as of March 29, 2018 and December 28, 2017, respectively. Equity in earnings from AC JV, LLC for the three months ended March 29, 2018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March 30, 2017, were $0.0 million and $0.1 million, respectively, and is included in non-operating expenses in the unaudited Condensed Statements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BORROWINGS</w:t>
      </w:r>
    </w:p>
    <w:p>
      <w:pPr>
        <w:spacing w:after="0" w:line="121"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following table summarizes the Company’s total outstanding debt as of March 29, 2018 and December 28, 2017 and the significant terms of its borrowing arrangements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Outstanding Balance as of</w:t>
            </w:r>
          </w:p>
        </w:tc>
        <w:tc>
          <w:tcPr>
            <w:tcW w:w="1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33"/>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Borrowings</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March 29,</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54"/>
              <w:spacing w:after="0" w:line="133" w:lineRule="exact"/>
              <w:rPr>
                <w:sz w:val="20"/>
                <w:szCs w:val="20"/>
                <w:color w:val="auto"/>
              </w:rPr>
            </w:pPr>
            <w:r>
              <w:rPr>
                <w:rFonts w:ascii="Arial" w:cs="Arial" w:eastAsia="Arial" w:hAnsi="Arial"/>
                <w:sz w:val="14"/>
                <w:szCs w:val="14"/>
                <w:b w:val="1"/>
                <w:bCs w:val="1"/>
                <w:color w:val="auto"/>
                <w:w w:val="98"/>
              </w:rPr>
              <w:t>December 28,</w:t>
            </w:r>
          </w:p>
        </w:tc>
        <w:tc>
          <w:tcPr>
            <w:tcW w:w="24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FF2FA"/>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Borders>
              <w:top w:val="single" w:sz="8" w:color="CFF2FA"/>
            </w:tcBorders>
            <w:shd w:val="clear" w:color="auto" w:fill="CFF2FA"/>
          </w:tcPr>
          <w:p>
            <w:pPr>
              <w:spacing w:after="0"/>
              <w:rPr>
                <w:sz w:val="19"/>
                <w:szCs w:val="19"/>
                <w:color w:val="auto"/>
              </w:rPr>
            </w:pPr>
          </w:p>
        </w:tc>
        <w:tc>
          <w:tcPr>
            <w:tcW w:w="200" w:type="dxa"/>
            <w:vAlign w:val="bottom"/>
            <w:tcBorders>
              <w:top w:val="single" w:sz="8" w:color="auto"/>
            </w:tcBorders>
            <w:shd w:val="clear" w:color="auto" w:fill="CFF2FA"/>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Borders>
              <w:top w:val="single" w:sz="8" w:color="CFF2FA"/>
            </w:tcBorders>
            <w:shd w:val="clear" w:color="auto" w:fill="CFF2FA"/>
          </w:tcPr>
          <w:p>
            <w:pPr>
              <w:spacing w:after="0"/>
              <w:rPr>
                <w:sz w:val="19"/>
                <w:szCs w:val="19"/>
                <w:color w:val="auto"/>
              </w:rPr>
            </w:pPr>
          </w:p>
        </w:tc>
        <w:tc>
          <w:tcPr>
            <w:tcW w:w="100" w:type="dxa"/>
            <w:vAlign w:val="bottom"/>
            <w:tcBorders>
              <w:top w:val="single" w:sz="8" w:color="CFF2FA"/>
            </w:tcBorders>
            <w:shd w:val="clear" w:color="auto" w:fill="CFF2FA"/>
          </w:tcPr>
          <w:p>
            <w:pPr>
              <w:spacing w:after="0"/>
              <w:rPr>
                <w:sz w:val="19"/>
                <w:szCs w:val="19"/>
                <w:color w:val="auto"/>
              </w:rPr>
            </w:pPr>
          </w:p>
        </w:tc>
        <w:tc>
          <w:tcPr>
            <w:tcW w:w="14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FF2FA"/>
            </w:tcBorders>
            <w:shd w:val="clear" w:color="auto" w:fill="CFF2FA"/>
          </w:tcPr>
          <w:p>
            <w:pPr>
              <w:spacing w:after="0"/>
              <w:rPr>
                <w:sz w:val="19"/>
                <w:szCs w:val="19"/>
                <w:color w:val="auto"/>
              </w:rPr>
            </w:pPr>
          </w:p>
        </w:tc>
        <w:tc>
          <w:tcPr>
            <w:tcW w:w="1760" w:type="dxa"/>
            <w:vAlign w:val="bottom"/>
            <w:tcBorders>
              <w:top w:val="single" w:sz="8" w:color="auto"/>
            </w:tcBorders>
            <w:shd w:val="clear" w:color="auto" w:fill="CFF2FA"/>
          </w:tcPr>
          <w:p>
            <w:pPr>
              <w:jc w:val="center"/>
              <w:spacing w:after="0"/>
              <w:rPr>
                <w:sz w:val="20"/>
                <w:szCs w:val="20"/>
                <w:color w:val="auto"/>
              </w:rPr>
            </w:pPr>
            <w:r>
              <w:rPr>
                <w:rFonts w:ascii="Arial" w:cs="Arial" w:eastAsia="Arial" w:hAnsi="Arial"/>
                <w:sz w:val="18"/>
                <w:szCs w:val="18"/>
                <w:color w:val="auto"/>
                <w:w w:val="89"/>
              </w:rPr>
              <w:t>November 26, 2019</w:t>
            </w:r>
          </w:p>
        </w:tc>
        <w:tc>
          <w:tcPr>
            <w:tcW w:w="140" w:type="dxa"/>
            <w:vAlign w:val="bottom"/>
            <w:tcBorders>
              <w:top w:val="single" w:sz="8" w:color="CFF2FA"/>
            </w:tcBorders>
            <w:shd w:val="clear" w:color="auto" w:fill="CFF2FA"/>
          </w:tcPr>
          <w:p>
            <w:pPr>
              <w:spacing w:after="0"/>
              <w:rPr>
                <w:sz w:val="19"/>
                <w:szCs w:val="19"/>
                <w:color w:val="auto"/>
              </w:rPr>
            </w:pPr>
          </w:p>
        </w:tc>
        <w:tc>
          <w:tcPr>
            <w:tcW w:w="860" w:type="dxa"/>
            <w:vAlign w:val="bottom"/>
            <w:tcBorders>
              <w:top w:val="single" w:sz="8" w:color="auto"/>
            </w:tcBorders>
            <w:shd w:val="clear" w:color="auto" w:fill="CFF2FA"/>
          </w:tcPr>
          <w:p>
            <w:pPr>
              <w:jc w:val="center"/>
              <w:spacing w:after="0"/>
              <w:rPr>
                <w:sz w:val="20"/>
                <w:szCs w:val="20"/>
                <w:color w:val="auto"/>
              </w:rPr>
            </w:pPr>
            <w:r>
              <w:rPr>
                <w:rFonts w:ascii="Arial" w:cs="Arial" w:eastAsia="Arial" w:hAnsi="Arial"/>
                <w:sz w:val="18"/>
                <w:szCs w:val="18"/>
                <w:i w:val="1"/>
                <w:iCs w:val="1"/>
                <w:color w:val="auto"/>
                <w:w w:val="90"/>
              </w:rPr>
              <w:t>(1)</w:t>
            </w:r>
          </w:p>
        </w:tc>
        <w:tc>
          <w:tcPr>
            <w:tcW w:w="120" w:type="dxa"/>
            <w:vAlign w:val="bottom"/>
            <w:tcBorders>
              <w:top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Term loans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November 26, 2019</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2FA"/>
          </w:tcPr>
          <w:p>
            <w:pPr>
              <w:spacing w:after="0"/>
              <w:rPr>
                <w:sz w:val="20"/>
                <w:szCs w:val="20"/>
                <w:color w:val="auto"/>
              </w:rPr>
            </w:pPr>
            <w:r>
              <w:rPr>
                <w:rFonts w:ascii="Arial" w:cs="Arial" w:eastAsia="Arial" w:hAnsi="Arial"/>
                <w:sz w:val="18"/>
                <w:szCs w:val="18"/>
                <w:color w:val="auto"/>
              </w:rPr>
              <w:t>Senior secured notes due 2022</w:t>
            </w:r>
          </w:p>
        </w:tc>
        <w:tc>
          <w:tcPr>
            <w:tcW w:w="14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FF2FA"/>
          </w:tcPr>
          <w:p>
            <w:pPr>
              <w:spacing w:after="0"/>
              <w:rPr>
                <w:sz w:val="19"/>
                <w:szCs w:val="19"/>
                <w:color w:val="auto"/>
              </w:rPr>
            </w:pPr>
          </w:p>
        </w:tc>
        <w:tc>
          <w:tcPr>
            <w:tcW w:w="1900" w:type="dxa"/>
            <w:vAlign w:val="bottom"/>
            <w:gridSpan w:val="2"/>
            <w:shd w:val="clear" w:color="auto" w:fill="CFF2FA"/>
          </w:tcPr>
          <w:p>
            <w:pPr>
              <w:jc w:val="center"/>
              <w:ind w:right="160"/>
              <w:spacing w:after="0"/>
              <w:rPr>
                <w:sz w:val="20"/>
                <w:szCs w:val="20"/>
                <w:color w:val="auto"/>
              </w:rPr>
            </w:pPr>
            <w:r>
              <w:rPr>
                <w:rFonts w:ascii="Arial" w:cs="Arial" w:eastAsia="Arial" w:hAnsi="Arial"/>
                <w:sz w:val="18"/>
                <w:szCs w:val="18"/>
                <w:color w:val="auto"/>
                <w:w w:val="95"/>
              </w:rPr>
              <w:t>April 15, 2022</w:t>
            </w:r>
          </w:p>
        </w:tc>
        <w:tc>
          <w:tcPr>
            <w:tcW w:w="860" w:type="dxa"/>
            <w:vAlign w:val="bottom"/>
            <w:shd w:val="clear" w:color="auto" w:fill="CFF2FA"/>
          </w:tcPr>
          <w:p>
            <w:pPr>
              <w:jc w:val="right"/>
              <w:ind w:right="36"/>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Senior unsecured notes due 2026</w:t>
            </w:r>
          </w:p>
        </w:tc>
        <w:tc>
          <w:tcPr>
            <w:tcW w:w="140" w:type="dxa"/>
            <w:vAlign w:val="bottom"/>
            <w:tcBorders>
              <w:bottom w:val="single" w:sz="8" w:color="CFF2FA"/>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Borders>
              <w:bottom w:val="single" w:sz="8" w:color="CFF2FA"/>
            </w:tcBorders>
          </w:tcPr>
          <w:p>
            <w:pPr>
              <w:spacing w:after="0"/>
              <w:rPr>
                <w:sz w:val="19"/>
                <w:szCs w:val="19"/>
                <w:color w:val="auto"/>
              </w:rPr>
            </w:pPr>
          </w:p>
        </w:tc>
        <w:tc>
          <w:tcPr>
            <w:tcW w:w="100" w:type="dxa"/>
            <w:vAlign w:val="bottom"/>
            <w:tcBorders>
              <w:bottom w:val="single" w:sz="8" w:color="CFF2FA"/>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Borders>
              <w:bottom w:val="single" w:sz="8" w:color="CFF2FA"/>
            </w:tcBorders>
          </w:tcPr>
          <w:p>
            <w:pPr>
              <w:spacing w:after="0"/>
              <w:rPr>
                <w:sz w:val="19"/>
                <w:szCs w:val="19"/>
                <w:color w:val="auto"/>
              </w:rPr>
            </w:pPr>
          </w:p>
        </w:tc>
        <w:tc>
          <w:tcPr>
            <w:tcW w:w="1900" w:type="dxa"/>
            <w:vAlign w:val="bottom"/>
            <w:tcBorders>
              <w:bottom w:val="single" w:sz="8" w:color="CFF2FA"/>
            </w:tcBorders>
            <w:gridSpan w:val="2"/>
          </w:tcPr>
          <w:p>
            <w:pPr>
              <w:jc w:val="center"/>
              <w:ind w:right="180"/>
              <w:spacing w:after="0"/>
              <w:rPr>
                <w:sz w:val="20"/>
                <w:szCs w:val="20"/>
                <w:color w:val="auto"/>
              </w:rPr>
            </w:pPr>
            <w:r>
              <w:rPr>
                <w:rFonts w:ascii="Arial" w:cs="Arial" w:eastAsia="Arial" w:hAnsi="Arial"/>
                <w:sz w:val="18"/>
                <w:szCs w:val="18"/>
                <w:color w:val="auto"/>
                <w:w w:val="91"/>
              </w:rPr>
              <w:t>August 15, 2026</w:t>
            </w:r>
          </w:p>
        </w:tc>
        <w:tc>
          <w:tcPr>
            <w:tcW w:w="860" w:type="dxa"/>
            <w:vAlign w:val="bottom"/>
            <w:tcBorders>
              <w:bottom w:val="single" w:sz="8" w:color="CFF2FA"/>
            </w:tcBorders>
          </w:tcPr>
          <w:p>
            <w:pPr>
              <w:jc w:val="right"/>
              <w:ind w:right="36"/>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FF2F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2FA"/>
          </w:tcPr>
          <w:p>
            <w:pPr>
              <w:ind w:left="240"/>
              <w:spacing w:after="0"/>
              <w:rPr>
                <w:sz w:val="20"/>
                <w:szCs w:val="20"/>
                <w:color w:val="auto"/>
              </w:rPr>
            </w:pPr>
            <w:r>
              <w:rPr>
                <w:rFonts w:ascii="Arial" w:cs="Arial" w:eastAsia="Arial" w:hAnsi="Arial"/>
                <w:sz w:val="18"/>
                <w:szCs w:val="18"/>
                <w:color w:val="auto"/>
              </w:rPr>
              <w:t>Total borrowings</w:t>
            </w:r>
          </w:p>
        </w:tc>
        <w:tc>
          <w:tcPr>
            <w:tcW w:w="140" w:type="dxa"/>
            <w:vAlign w:val="bottom"/>
            <w:shd w:val="clear" w:color="auto" w:fill="CFF2FA"/>
          </w:tcPr>
          <w:p>
            <w:pPr>
              <w:spacing w:after="0"/>
              <w:rPr>
                <w:sz w:val="19"/>
                <w:szCs w:val="19"/>
                <w:color w:val="auto"/>
              </w:rPr>
            </w:pPr>
          </w:p>
        </w:tc>
        <w:tc>
          <w:tcPr>
            <w:tcW w:w="200" w:type="dxa"/>
            <w:vAlign w:val="bottom"/>
            <w:shd w:val="clear" w:color="auto" w:fill="CFF2FA"/>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953.0</w:t>
            </w:r>
          </w:p>
        </w:tc>
        <w:tc>
          <w:tcPr>
            <w:tcW w:w="14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c>
          <w:tcPr>
            <w:tcW w:w="140" w:type="dxa"/>
            <w:vAlign w:val="bottom"/>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932.0</w:t>
            </w:r>
          </w:p>
        </w:tc>
        <w:tc>
          <w:tcPr>
            <w:tcW w:w="240" w:type="dxa"/>
            <w:vAlign w:val="bottom"/>
            <w:shd w:val="clear" w:color="auto" w:fill="CFF2FA"/>
          </w:tcPr>
          <w:p>
            <w:pPr>
              <w:spacing w:after="0"/>
              <w:rPr>
                <w:sz w:val="19"/>
                <w:szCs w:val="19"/>
                <w:color w:val="auto"/>
              </w:rPr>
            </w:pPr>
          </w:p>
        </w:tc>
        <w:tc>
          <w:tcPr>
            <w:tcW w:w="1760" w:type="dxa"/>
            <w:vAlign w:val="bottom"/>
            <w:shd w:val="clear" w:color="auto" w:fill="CFF2FA"/>
          </w:tcPr>
          <w:p>
            <w:pPr>
              <w:spacing w:after="0"/>
              <w:rPr>
                <w:sz w:val="19"/>
                <w:szCs w:val="19"/>
                <w:color w:val="auto"/>
              </w:rPr>
            </w:pPr>
          </w:p>
        </w:tc>
        <w:tc>
          <w:tcPr>
            <w:tcW w:w="140" w:type="dxa"/>
            <w:vAlign w:val="bottom"/>
            <w:shd w:val="clear" w:color="auto" w:fill="CFF2FA"/>
          </w:tcPr>
          <w:p>
            <w:pPr>
              <w:spacing w:after="0"/>
              <w:rPr>
                <w:sz w:val="19"/>
                <w:szCs w:val="19"/>
                <w:color w:val="auto"/>
              </w:rPr>
            </w:pPr>
          </w:p>
        </w:tc>
        <w:tc>
          <w:tcPr>
            <w:tcW w:w="86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120"/>
              <w:spacing w:after="0"/>
              <w:rPr>
                <w:sz w:val="20"/>
                <w:szCs w:val="20"/>
                <w:color w:val="auto"/>
              </w:rPr>
            </w:pPr>
            <w:r>
              <w:rPr>
                <w:rFonts w:ascii="Arial" w:cs="Arial" w:eastAsia="Arial" w:hAnsi="Arial"/>
                <w:sz w:val="18"/>
                <w:szCs w:val="18"/>
                <w:color w:val="auto"/>
              </w:rPr>
              <w:t>Less: debt issuance costs related to term</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loans and senior notes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2FA"/>
              <w:bottom w:val="single" w:sz="8" w:color="CFF2FA"/>
            </w:tcBorders>
            <w:shd w:val="clear" w:color="auto" w:fill="CFF2FA"/>
          </w:tcPr>
          <w:p>
            <w:pPr>
              <w:ind w:left="240"/>
              <w:spacing w:after="0"/>
              <w:rPr>
                <w:sz w:val="20"/>
                <w:szCs w:val="20"/>
                <w:color w:val="auto"/>
              </w:rPr>
            </w:pPr>
            <w:r>
              <w:rPr>
                <w:rFonts w:ascii="Arial" w:cs="Arial" w:eastAsia="Arial" w:hAnsi="Arial"/>
                <w:sz w:val="18"/>
                <w:szCs w:val="18"/>
                <w:color w:val="auto"/>
              </w:rPr>
              <w:t>Carrying value of long-term debt</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200" w:type="dxa"/>
            <w:vAlign w:val="bottom"/>
            <w:tcBorders>
              <w:top w:val="single" w:sz="8" w:color="auto"/>
              <w:bottom w:val="single" w:sz="8" w:color="auto"/>
            </w:tcBorders>
            <w:shd w:val="clear" w:color="auto" w:fill="CFF2FA"/>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944.8</w:t>
            </w: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10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923.3</w:t>
            </w:r>
          </w:p>
        </w:tc>
        <w:tc>
          <w:tcPr>
            <w:tcW w:w="240" w:type="dxa"/>
            <w:vAlign w:val="bottom"/>
            <w:tcBorders>
              <w:top w:val="single" w:sz="8" w:color="CFF2FA"/>
              <w:bottom w:val="single" w:sz="8" w:color="CFF2FA"/>
            </w:tcBorders>
            <w:shd w:val="clear" w:color="auto" w:fill="CFF2FA"/>
          </w:tcPr>
          <w:p>
            <w:pPr>
              <w:spacing w:after="0"/>
              <w:rPr>
                <w:sz w:val="19"/>
                <w:szCs w:val="19"/>
                <w:color w:val="auto"/>
              </w:rPr>
            </w:pPr>
          </w:p>
        </w:tc>
        <w:tc>
          <w:tcPr>
            <w:tcW w:w="1760" w:type="dxa"/>
            <w:vAlign w:val="bottom"/>
            <w:tcBorders>
              <w:top w:val="single" w:sz="8" w:color="CFF2FA"/>
              <w:bottom w:val="single" w:sz="8" w:color="CFF2FA"/>
            </w:tcBorders>
            <w:shd w:val="clear" w:color="auto" w:fill="CFF2FA"/>
          </w:tcPr>
          <w:p>
            <w:pPr>
              <w:spacing w:after="0"/>
              <w:rPr>
                <w:sz w:val="19"/>
                <w:szCs w:val="19"/>
                <w:color w:val="auto"/>
              </w:rPr>
            </w:pPr>
          </w:p>
        </w:tc>
        <w:tc>
          <w:tcPr>
            <w:tcW w:w="140" w:type="dxa"/>
            <w:vAlign w:val="bottom"/>
            <w:tcBorders>
              <w:top w:val="single" w:sz="8" w:color="CFF2FA"/>
              <w:bottom w:val="single" w:sz="8" w:color="CFF2FA"/>
            </w:tcBorders>
            <w:shd w:val="clear" w:color="auto" w:fill="CFF2FA"/>
          </w:tcPr>
          <w:p>
            <w:pPr>
              <w:spacing w:after="0"/>
              <w:rPr>
                <w:sz w:val="19"/>
                <w:szCs w:val="19"/>
                <w:color w:val="auto"/>
              </w:rPr>
            </w:pPr>
          </w:p>
        </w:tc>
        <w:tc>
          <w:tcPr>
            <w:tcW w:w="860" w:type="dxa"/>
            <w:vAlign w:val="bottom"/>
            <w:tcBorders>
              <w:top w:val="single" w:sz="8" w:color="CFF2FA"/>
              <w:bottom w:val="single" w:sz="8" w:color="CFF2FA"/>
            </w:tcBorders>
            <w:shd w:val="clear" w:color="auto" w:fill="CFF2FA"/>
          </w:tcPr>
          <w:p>
            <w:pPr>
              <w:spacing w:after="0"/>
              <w:rPr>
                <w:sz w:val="19"/>
                <w:szCs w:val="19"/>
                <w:color w:val="auto"/>
              </w:rPr>
            </w:pPr>
          </w:p>
        </w:tc>
        <w:tc>
          <w:tcPr>
            <w:tcW w:w="120" w:type="dxa"/>
            <w:vAlign w:val="bottom"/>
            <w:tcBorders>
              <w:top w:val="single" w:sz="8" w:color="CFF2FA"/>
              <w:bottom w:val="single" w:sz="8" w:color="CFF2FA"/>
            </w:tcBorders>
            <w:shd w:val="clear" w:color="auto" w:fill="CFF2FA"/>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620" w:right="4180" w:hanging="5058"/>
        <w:spacing w:after="0" w:line="871" w:lineRule="auto"/>
        <w:tabs>
          <w:tab w:leader="none" w:pos="1112" w:val="left"/>
        </w:tabs>
        <w:numPr>
          <w:ilvl w:val="0"/>
          <w:numId w:val="6"/>
        </w:numPr>
        <w:rPr>
          <w:rFonts w:ascii="Arial" w:cs="Arial" w:eastAsia="Arial" w:hAnsi="Arial"/>
          <w:sz w:val="17"/>
          <w:szCs w:val="17"/>
          <w:i w:val="1"/>
          <w:iCs w:val="1"/>
          <w:color w:val="auto"/>
        </w:rPr>
      </w:pPr>
      <w:r>
        <w:rPr>
          <w:rFonts w:ascii="Arial" w:cs="Arial" w:eastAsia="Arial" w:hAnsi="Arial"/>
          <w:sz w:val="17"/>
          <w:szCs w:val="17"/>
          <w:color w:val="auto"/>
        </w:rPr>
        <w:t>The interest rates on the revolving credit facility and term loans are described below.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-899795</wp:posOffset>
            </wp:positionV>
            <wp:extent cx="17151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1513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-269240</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—As of March 29, 2018, the Company’s senior secured credit facility consisted of a $175.0 million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and a $270.0 million term loan. The obligations under the senior secured credit facility are secured by a lien on substantially all of the assets of NCM LLC.</w:t>
      </w:r>
    </w:p>
    <w:p>
      <w:pPr>
        <w:spacing w:after="0" w:line="73"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The revolving credit facility portion of the Company’s total borrowings is available, subject to certain conditions,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purposes of the Company in the ordinary course of business and for other transactions permitted under the senior secured credit facility, and a portion is available for letters of credit.</w:t>
      </w:r>
    </w:p>
    <w:p>
      <w:pPr>
        <w:spacing w:after="0" w:line="73" w:lineRule="exact"/>
        <w:rPr>
          <w:sz w:val="20"/>
          <w:szCs w:val="20"/>
          <w:color w:val="auto"/>
        </w:rPr>
      </w:pPr>
    </w:p>
    <w:p>
      <w:pPr>
        <w:ind w:right="160" w:firstLine="555"/>
        <w:spacing w:after="0" w:line="255" w:lineRule="auto"/>
        <w:rPr>
          <w:sz w:val="20"/>
          <w:szCs w:val="20"/>
          <w:color w:val="auto"/>
        </w:rPr>
      </w:pPr>
      <w:r>
        <w:rPr>
          <w:rFonts w:ascii="Arial" w:cs="Arial" w:eastAsia="Arial" w:hAnsi="Arial"/>
          <w:sz w:val="18"/>
          <w:szCs w:val="18"/>
          <w:color w:val="auto"/>
        </w:rPr>
        <w:t>As of March 29, 2018, the Company’s total availability under the $175.0 million revolving credit facility was $137.2 million, net of $33.0 million outstanding and $4.8 million in letters of credit. The unused line fee is 0.50% per annum. Borrowings under the revolving credit facility bear interest at the Company’s option of either the LIBOR index plus an applicable margin or the base rate (Prime Rate or the Federal Funds Effective Rate, as defined in the senior secured credit facility) plus an applicable margin. The applicable margin for the revolving credit facility is determined quarterly and is subject to adjustment based upon a consolidated net senior secured leverage ratio for the Company (the ratio of secured funded debt less unrestricted cash and cash equivalents, over a non-GAAP measure defined in the senior secured credit facility).</w:t>
      </w:r>
    </w:p>
    <w:p>
      <w:pPr>
        <w:spacing w:after="0" w:line="85"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the Company’s option of either the LIBOR index plus 2.75% or the base rate</w:t>
      </w:r>
      <w:r>
        <w:rPr>
          <w:rFonts w:ascii="Arial" w:cs="Arial" w:eastAsia="Arial" w:hAnsi="Arial"/>
          <w:sz w:val="18"/>
          <w:szCs w:val="18"/>
          <w:i w:val="1"/>
          <w:iCs w:val="1"/>
          <w:color w:val="auto"/>
        </w:rPr>
        <w:t xml:space="preserve"> </w:t>
      </w:r>
      <w:r>
        <w:rPr>
          <w:rFonts w:ascii="Arial" w:cs="Arial" w:eastAsia="Arial" w:hAnsi="Arial"/>
          <w:sz w:val="18"/>
          <w:szCs w:val="18"/>
          <w:color w:val="auto"/>
        </w:rPr>
        <w:t>(Prime Rate or the Federal Funds Effective Rate, as defined in the senior secured credit facility) plus 1.75%. The weighted-average interest rate on the term loans as of March 29, 2018 was 4.4%. Interest on the term loans is currently paid monthly.</w:t>
      </w:r>
    </w:p>
    <w:p>
      <w:pPr>
        <w:spacing w:after="0" w:line="73"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with which the Company was in compliance as of March 29, 2018, including maintaining a consolidated net senior secured leverage ratio of equal to or less than 6.5 times on a quarterly basis. In addition, there are no borrower distribution restrictions as long as the Company’s consolidated net senior secured leverage ratio is below 6.5 times and the Company is in compliance with its financial debt covenants. As of March 29, 2018, the Company’s consolidated net senior secured leverage ratio was 3.1 times (versus the covenant of 6.5 times).</w:t>
      </w:r>
    </w:p>
    <w:p>
      <w:pPr>
        <w:spacing w:after="0" w:line="80"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b w:val="1"/>
          <w:bCs w:val="1"/>
          <w:i w:val="1"/>
          <w:iCs w:val="1"/>
          <w:color w:val="auto"/>
        </w:rPr>
        <w:t>Senior Secured Notes due 2022</w:t>
      </w:r>
      <w:r>
        <w:rPr>
          <w:rFonts w:ascii="Arial" w:cs="Arial" w:eastAsia="Arial" w:hAnsi="Arial"/>
          <w:sz w:val="17"/>
          <w:szCs w:val="17"/>
          <w:color w:val="auto"/>
        </w:rPr>
        <w:t>—On April 27, 2012, the Company completed a private placement of $400.0 million in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6.000% Senior Secured Notes (the “Notes due 2022”) for which the registered exchange offering was completed on November 26, 2012. The Notes due 2022 pay interest semi-annually in arrears on April 15 and October 15 of each year, which commenced on October 15, 2012. The Notes due 2022 are senior secured obligations of the Company, rank the same as the Company’s senior secured credit facility, subject to certain exceptions, and share in the same collateral that secures the Company’s obligations under the senior secured credit facility.</w:t>
      </w:r>
    </w:p>
    <w:p>
      <w:pPr>
        <w:spacing w:after="0" w:line="64"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Senior Unsecured Notes due 2026</w:t>
      </w:r>
      <w:r>
        <w:rPr>
          <w:rFonts w:ascii="Arial" w:cs="Arial" w:eastAsia="Arial" w:hAnsi="Arial"/>
          <w:sz w:val="18"/>
          <w:szCs w:val="18"/>
          <w:color w:val="auto"/>
        </w:rPr>
        <w:t>—On August 19, 2016, the Company completed a private placement of $250.0 million in aggregate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5.750% Senior Unsecured Notes (the “Notes due 2026”). The Notes due 2026 pay interest semi-annually in arrears on February 15 and August 15 of each year, which commenced on February 15, 2017. The Notes due 2026 were issued at 100% of the face amount thereof and are the senior unsecured obligations of the Company and will be effectively subordinated to all existing and future secured debt, including the Notes due 2022, its senior secured credit facility and any future asset backed loan facility. The Notes due 2026 rank equally in right of payment with all of the Company’s existing and future senior indebtedness, including the Notes due 2022, the Company’s existing senior secured credit facility, any future asset backed loan facility, in each case, without giving effect to collateral arrangements.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and in the aggregate on its financial position, results of operations or cash flows.</w:t>
      </w:r>
    </w:p>
    <w:p>
      <w:pPr>
        <w:spacing w:after="0" w:line="62" w:lineRule="exact"/>
        <w:rPr>
          <w:sz w:val="20"/>
          <w:szCs w:val="20"/>
          <w:color w:val="auto"/>
        </w:rPr>
      </w:pPr>
    </w:p>
    <w:p>
      <w:pPr>
        <w:ind w:right="60" w:firstLine="555"/>
        <w:spacing w:after="0" w:line="271" w:lineRule="auto"/>
        <w:rPr>
          <w:sz w:val="20"/>
          <w:szCs w:val="20"/>
          <w:color w:val="auto"/>
        </w:rPr>
      </w:pPr>
      <w:r>
        <w:rPr>
          <w:rFonts w:ascii="Arial" w:cs="Arial" w:eastAsia="Arial" w:hAnsi="Arial"/>
          <w:sz w:val="17"/>
          <w:szCs w:val="17"/>
          <w:b w:val="1"/>
          <w:bCs w:val="1"/>
          <w:i w:val="1"/>
          <w:iCs w:val="1"/>
          <w:color w:val="auto"/>
        </w:rPr>
        <w:t>Minimum Revenue Guarantees</w:t>
      </w:r>
      <w:r>
        <w:rPr>
          <w:rFonts w:ascii="Arial" w:cs="Arial" w:eastAsia="Arial" w:hAnsi="Arial"/>
          <w:sz w:val="17"/>
          <w:szCs w:val="17"/>
          <w:color w:val="auto"/>
        </w:rPr>
        <w:t>―As part of the network affiliate agreements entered into in the ordinary course of business under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March 29, 2018, the maximum potential amount of future payments the Company could be required to make pursuant to the minimum revenue guarantees is $77.8 million over the remaining terms of the network affiliate agreements. These minimum guarantees relate to various affiliate agreements ranging in term from one to twenty years, prior to any renewal periods of which some are at the option of the Company. During the three months ended March 29, 2018 and March 30, 2017, the Company made no payments related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to these minimum guarantees. For these periods, there are no other affiliate agreements with guaranteed minimums in excess of the revenue share arrangement.</w:t>
      </w:r>
    </w:p>
    <w:p>
      <w:pPr>
        <w:spacing w:after="0" w:line="62"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b w:val="1"/>
          <w:bCs w:val="1"/>
          <w:i w:val="1"/>
          <w:iCs w:val="1"/>
          <w:color w:val="auto"/>
        </w:rPr>
        <w:t>Theater Access Fee Guarantees</w:t>
      </w:r>
      <w:r>
        <w:rPr>
          <w:rFonts w:ascii="Arial" w:cs="Arial" w:eastAsia="Arial" w:hAnsi="Arial"/>
          <w:sz w:val="17"/>
          <w:szCs w:val="17"/>
          <w:color w:val="auto"/>
        </w:rPr>
        <w:t>—In consideration for NCM LLC’s access to the founding members’ theater attendees for on-screen advertising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increase last occurring in fiscal year 2017, and the payment per digital screen and for digital cinema equipment increasing annually by 5%. The theater access fee paid in the aggregate to all founding members cannot be less than 12% of NCM LLC’s aggregate advertising revenue (as defined in the ESA), or it will be adjusted upward to reach this minimum payment. As of March 29, 2018 and December 28, 2017, the Company had no liabilities recorded for the minimum payment, as the theater access fee was in excess of the minimum.</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jc w:val="both"/>
        <w:ind w:right="120" w:firstLine="555"/>
        <w:spacing w:after="0" w:line="312" w:lineRule="auto"/>
        <w:rPr>
          <w:sz w:val="20"/>
          <w:szCs w:val="20"/>
          <w:color w:val="auto"/>
        </w:rPr>
      </w:pPr>
      <w:r>
        <w:rPr>
          <w:rFonts w:ascii="Arial" w:cs="Arial" w:eastAsia="Arial" w:hAnsi="Arial"/>
          <w:sz w:val="16"/>
          <w:szCs w:val="16"/>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3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62"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 Certain assets are measured at fair value on a non-recurring basis. These assets are not measured at fair value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basis but are subject to fair value adjustments in certain circumstances. These assets include long-lived assets, intangible assets, other investments, notes receivable and borrowings.</w:t>
      </w:r>
    </w:p>
    <w:p>
      <w:pPr>
        <w:spacing w:after="0" w:line="73"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i w:val="1"/>
          <w:iCs w:val="1"/>
          <w:color w:val="auto"/>
        </w:rPr>
        <w:t>Long-Lived Assets, Intangible Assets, Other Investments and Notes Receivable</w:t>
      </w:r>
      <w:r>
        <w:rPr>
          <w:rFonts w:ascii="Arial" w:cs="Arial" w:eastAsia="Arial" w:hAnsi="Arial"/>
          <w:sz w:val="18"/>
          <w:szCs w:val="18"/>
          <w:color w:val="auto"/>
        </w:rPr>
        <w:t>—The Company regularly reviews long-lived assets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plant and equipment), intangible assets, investments accounted for under the cost or equity method and notes receivable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546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2"/>
              </w:rPr>
              <w:t>December 28,</w:t>
            </w:r>
          </w:p>
        </w:tc>
        <w:tc>
          <w:tcPr>
            <w:tcW w:w="60" w:type="dxa"/>
            <w:vAlign w:val="bottom"/>
          </w:tcPr>
          <w:p>
            <w:pPr>
              <w:spacing w:after="0"/>
              <w:rPr>
                <w:sz w:val="11"/>
                <w:szCs w:val="11"/>
                <w:color w:val="auto"/>
              </w:rPr>
            </w:pPr>
          </w:p>
        </w:tc>
      </w:tr>
      <w:tr>
        <w:trPr>
          <w:trHeight w:val="171"/>
        </w:trPr>
        <w:tc>
          <w:tcPr>
            <w:tcW w:w="546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880" w:type="dxa"/>
            <w:vAlign w:val="bottom"/>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2180" w:hanging="551"/>
        <w:spacing w:after="0"/>
        <w:tabs>
          <w:tab w:leader="none" w:pos="218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This investment is accounted for utilizing the equity method.</w:t>
      </w:r>
    </w:p>
    <w:p>
      <w:pPr>
        <w:spacing w:after="0" w:line="23" w:lineRule="exact"/>
        <w:rPr>
          <w:rFonts w:ascii="Arial" w:cs="Arial" w:eastAsia="Arial" w:hAnsi="Arial"/>
          <w:sz w:val="18"/>
          <w:szCs w:val="18"/>
          <w:i w:val="1"/>
          <w:iCs w:val="1"/>
          <w:color w:val="auto"/>
        </w:rPr>
      </w:pPr>
    </w:p>
    <w:p>
      <w:pPr>
        <w:ind w:left="2180" w:hanging="551"/>
        <w:spacing w:after="0"/>
        <w:tabs>
          <w:tab w:leader="none" w:pos="218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privately held companies as consideration for a portion of advertising</w:t>
      </w:r>
    </w:p>
    <w:p>
      <w:pPr>
        <w:spacing w:after="0" w:line="9" w:lineRule="exact"/>
        <w:rPr>
          <w:rFonts w:ascii="Arial" w:cs="Arial" w:eastAsia="Arial" w:hAnsi="Arial"/>
          <w:sz w:val="18"/>
          <w:szCs w:val="18"/>
          <w:i w:val="1"/>
          <w:iCs w:val="1"/>
          <w:color w:val="auto"/>
        </w:rPr>
      </w:pPr>
    </w:p>
    <w:p>
      <w:pPr>
        <w:ind w:left="2180" w:right="16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contracts. The equity securities are accounted for at adjusted cost in accordance with the practicability exception under ASU 2016-01 and represent an ownership of less than 20%. The Company does not exert significant influence on these companies’ operating or financial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-701040</wp:posOffset>
            </wp:positionV>
            <wp:extent cx="9779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spacing w:after="0" w:line="62" w:lineRule="exact"/>
        <w:rPr>
          <w:sz w:val="20"/>
          <w:szCs w:val="20"/>
          <w:color w:val="auto"/>
        </w:rPr>
      </w:pPr>
    </w:p>
    <w:p>
      <w:pPr>
        <w:ind w:right="40" w:firstLine="555"/>
        <w:spacing w:after="0" w:line="302" w:lineRule="auto"/>
        <w:rPr>
          <w:sz w:val="20"/>
          <w:szCs w:val="20"/>
          <w:color w:val="auto"/>
        </w:rPr>
      </w:pPr>
      <w:r>
        <w:rPr>
          <w:rFonts w:ascii="Arial" w:cs="Arial" w:eastAsia="Arial" w:hAnsi="Arial"/>
          <w:sz w:val="16"/>
          <w:szCs w:val="16"/>
          <w:color w:val="auto"/>
        </w:rPr>
        <w:t>During the three months ended March 29, 2018 and March 30, 2017, the Company recorded impairment charges of $0.4 million and $1.4 million, respectively, on certain of its investments due to a significant deterioration in the business prospects of the investee or new information regarding the fair value of the investee, which brought the impaired investments to a remaining value of $0.0 million, in the three months ended March 29, 2018 and March 30, 2017. As of March 29, 2018, no other observable price changes or impairments have been recorded as a result of the Company’s qualitative assessment 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NATIONAL CINEMEDIA,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79"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As of March 29, 2018 and December 28, 2017, the Company had notes receivable totaling $8.3 million and $8.3 million, respectively, from its founding members related to the sale of Fathom Events, as described in Note 4—</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These notes were initially valued using comparative market multiples. There were no identified events or changes in circumstances that had a significant adverse effect on the fair value of the notes receivable. The notes are classified as Level 3 in the fair value hierarchy as the inputs to the determination of fair value are based upon non-identical assets and use significant unobservable inputs.</w:t>
      </w:r>
    </w:p>
    <w:p>
      <w:pPr>
        <w:spacing w:after="0" w:line="80" w:lineRule="exact"/>
        <w:rPr>
          <w:sz w:val="20"/>
          <w:szCs w:val="20"/>
          <w:color w:val="auto"/>
        </w:rPr>
      </w:pPr>
    </w:p>
    <w:p>
      <w:pPr>
        <w:ind w:right="120" w:firstLine="555"/>
        <w:spacing w:after="0" w:line="308" w:lineRule="auto"/>
        <w:rPr>
          <w:sz w:val="20"/>
          <w:szCs w:val="20"/>
          <w:color w:val="auto"/>
        </w:rPr>
      </w:pPr>
      <w:r>
        <w:rPr>
          <w:rFonts w:ascii="Arial" w:cs="Arial" w:eastAsia="Arial" w:hAnsi="Arial"/>
          <w:sz w:val="17"/>
          <w:szCs w:val="17"/>
          <w:i w:val="1"/>
          <w:iCs w:val="1"/>
          <w:color w:val="auto"/>
        </w:rPr>
        <w:t>Borrowings</w:t>
      </w:r>
      <w:r>
        <w:rPr>
          <w:rFonts w:ascii="Arial" w:cs="Arial" w:eastAsia="Arial" w:hAnsi="Arial"/>
          <w:sz w:val="17"/>
          <w:szCs w:val="17"/>
          <w:color w:val="auto"/>
        </w:rPr>
        <w:t>—The carrying amount of the revolving credit facility is considered a reasonable estimate of fair value due to its floating-rate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fair values of the Company’s financial instruments where carrying values do not approximate fair value were as follows (in millions):</w:t>
      </w:r>
    </w:p>
    <w:p>
      <w:pPr>
        <w:spacing w:after="0" w:line="13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ind w:left="300"/>
              <w:spacing w:after="0"/>
              <w:rPr>
                <w:sz w:val="20"/>
                <w:szCs w:val="20"/>
                <w:color w:val="auto"/>
              </w:rPr>
            </w:pPr>
            <w:r>
              <w:rPr>
                <w:rFonts w:ascii="Arial" w:cs="Arial" w:eastAsia="Arial" w:hAnsi="Arial"/>
                <w:sz w:val="14"/>
                <w:szCs w:val="14"/>
                <w:b w:val="1"/>
                <w:bCs w:val="1"/>
                <w:color w:val="auto"/>
              </w:rPr>
              <w:t>As of March 29,</w:t>
            </w:r>
          </w:p>
        </w:tc>
        <w:tc>
          <w:tcPr>
            <w:tcW w:w="10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As of December 28,</w:t>
            </w:r>
          </w:p>
        </w:tc>
      </w:tr>
      <w:tr>
        <w:trPr>
          <w:trHeight w:val="17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3"/>
        </w:trPr>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60"/>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r>
      <w:tr>
        <w:trPr>
          <w:trHeight w:val="171"/>
        </w:trPr>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4"/>
                <w:szCs w:val="14"/>
                <w:b w:val="1"/>
                <w:bCs w:val="1"/>
                <w:i w:val="1"/>
                <w:iCs w:val="1"/>
                <w:color w:val="auto"/>
                <w:w w:val="92"/>
              </w:rPr>
              <w:t>(1)</w:t>
            </w:r>
          </w:p>
        </w:tc>
        <w:tc>
          <w:tcPr>
            <w:tcW w:w="100" w:type="dxa"/>
            <w:vAlign w:val="bottom"/>
          </w:tcPr>
          <w:p>
            <w:pPr>
              <w:spacing w:after="0"/>
              <w:rPr>
                <w:sz w:val="14"/>
                <w:szCs w:val="14"/>
                <w:color w:val="auto"/>
              </w:rPr>
            </w:pPr>
          </w:p>
        </w:tc>
        <w:tc>
          <w:tcPr>
            <w:tcW w:w="740" w:type="dxa"/>
            <w:vAlign w:val="bottom"/>
          </w:tcPr>
          <w:p>
            <w:pPr>
              <w:jc w:val="right"/>
              <w:ind w:right="1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14"/>
                <w:szCs w:val="14"/>
                <w:b w:val="1"/>
                <w:bCs w:val="1"/>
                <w:i w:val="1"/>
                <w:iCs w:val="1"/>
                <w:color w:val="auto"/>
                <w:w w:val="95"/>
              </w:rPr>
              <w:t>(1)</w:t>
            </w:r>
          </w:p>
        </w:tc>
      </w:tr>
      <w:tr>
        <w:trPr>
          <w:trHeight w:val="223"/>
        </w:trPr>
        <w:tc>
          <w:tcPr>
            <w:tcW w:w="4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Term loans</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8"/>
              </w:rPr>
              <w:t>270.0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Notes due 2022</w:t>
            </w:r>
          </w:p>
        </w:tc>
        <w:tc>
          <w:tcPr>
            <w:tcW w:w="120" w:type="dxa"/>
            <w:vAlign w:val="bottom"/>
          </w:tcPr>
          <w:p>
            <w:pPr>
              <w:spacing w:after="0"/>
              <w:rPr>
                <w:sz w:val="19"/>
                <w:szCs w:val="19"/>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8"/>
              </w:rPr>
              <w:t>400.0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407.3</w:t>
            </w:r>
          </w:p>
        </w:tc>
        <w:tc>
          <w:tcPr>
            <w:tcW w:w="80" w:type="dxa"/>
            <w:vAlign w:val="bottom"/>
          </w:tcPr>
          <w:p>
            <w:pPr>
              <w:spacing w:after="0"/>
              <w:rPr>
                <w:sz w:val="19"/>
                <w:szCs w:val="19"/>
                <w:color w:val="auto"/>
              </w:rPr>
            </w:pPr>
          </w:p>
        </w:tc>
      </w:tr>
      <w:tr>
        <w:trPr>
          <w:trHeight w:val="230"/>
        </w:trPr>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Notes due 2026</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8"/>
              </w:rPr>
              <w:t>250.0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235.0</w:t>
            </w:r>
          </w:p>
        </w:tc>
        <w:tc>
          <w:tcPr>
            <w:tcW w:w="80" w:type="dxa"/>
            <w:vAlign w:val="bottom"/>
            <w:shd w:val="clear" w:color="auto" w:fill="CFF0FC"/>
          </w:tcPr>
          <w:p>
            <w:pPr>
              <w:spacing w:after="0"/>
              <w:rPr>
                <w:sz w:val="19"/>
                <w:szCs w:val="19"/>
                <w:color w:val="auto"/>
              </w:rPr>
            </w:pPr>
          </w:p>
        </w:tc>
      </w:tr>
    </w:tbl>
    <w:p>
      <w:pPr>
        <w:spacing w:after="0" w:line="134" w:lineRule="exact"/>
        <w:rPr>
          <w:sz w:val="20"/>
          <w:szCs w:val="20"/>
          <w:color w:val="auto"/>
        </w:rPr>
      </w:pPr>
    </w:p>
    <w:p>
      <w:pPr>
        <w:ind w:left="2260" w:right="120" w:hanging="550"/>
        <w:spacing w:after="0" w:line="277" w:lineRule="auto"/>
        <w:tabs>
          <w:tab w:leader="none" w:pos="226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If the Company were to measure the borrowings in the above table at fair value on the balance sheet they would be classified as Level 2 based upon the inputs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-302260</wp:posOffset>
            </wp:positionV>
            <wp:extent cx="6261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Act of 1933, as amended, and Section 21E of the Securities Exchange Act of 1934 (the “Exchange Act”), as amended. All statements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statements of historical facts included in this Form 10-Q, including, without limitation, certain statements under “Management’s Discussion and Analysis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and Results of Operations,” may constitute forward-looking statements. In some cases, you can identify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statements” by the specific words, including but not limited to “may,” “should,” “expects,” “plans,” “anticipates,” “believes,” “estimates,” “predicts,”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or “continue” or the negative of those words and other comparable words. These forward-looking statements involve risks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uncertainties. Our actual results could differ materially from those indicated in these statements as a result of certain factors as more fully discussed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heading “Risk Factors” contained below and in our annual report on Form 10-K for the Company’s fiscal year ended December 28, 2017. Investors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cautioned not to place undue reliance on any such forward-looking statements, which speak only as of the date they are made. We undertake no obligation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update any forward-looking statement, whether as a result of new information, future events or otherwise, except as required by law. The following discussion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and analysis should be read in conjunction with the unaudited Condensed Financial Statements and notes thereto included herein and the audited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statements and other disclosure included in our annual report on Form 10-K for the Company’s fiscal year ended December 28,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 xml:space="preserve">We are America's Movie Network. As the #1 weekend network for Millennials (age 18-34) in the U.S., we are the connector between brands and movie audiences. We currently derive revenue principally from the sale of advertising to national, regional and local businesses in </w:t>
      </w:r>
      <w:r>
        <w:rPr>
          <w:rFonts w:ascii="Arial" w:cs="Arial" w:eastAsia="Arial" w:hAnsi="Arial"/>
          <w:sz w:val="17"/>
          <w:szCs w:val="17"/>
          <w:i w:val="1"/>
          <w:iCs w:val="1"/>
          <w:color w:val="auto"/>
        </w:rPr>
        <w:t>Noovie</w:t>
      </w:r>
      <w:r>
        <w:rPr>
          <w:rFonts w:ascii="Arial" w:cs="Arial" w:eastAsia="Arial" w:hAnsi="Arial"/>
          <w:sz w:val="17"/>
          <w:szCs w:val="17"/>
          <w:color w:val="auto"/>
        </w:rPr>
        <w:t xml:space="preserve">, our cinema advertising and entertainment pre-show seen on movie screens across the U.S. We also sell advertising on our LEN, a series of strategically-placed screens located in movie theater lobbies, as well as other forms of advertising and promotions in theater lobbies. In addition, we sell online and mobile advertising through our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digital product to reach entertainment audiences beyond the theater. We have long-term ESAs (approximately 19 years remaining as of March 29, 2018) with the founding members and multi-year agreements with our network affiliates, which expire at various dates between December 31, 2018 and July 22, 2031. The weighted average remaining term (based on attendance) of the ESAs and the network affiliate agreements is 16.6 years as of March 29, 2018. The ESAs and network affiliate agreements grant us exclusive rights in their theaters to sell advertising, subject to limited exceptions.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are distributed predominantly via satellite through our proprietary DCN. Approximately 98% of the aggregate founding member and network affiliate theater attendance is generated by theaters connected to our DCN (the remaining screens receive advertisements on USB drives) and 100%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projected on digital projectors (93% digital cinema projectors and 7% LCD projectors) as of March 29, 2018.</w:t>
      </w:r>
    </w:p>
    <w:p>
      <w:pPr>
        <w:spacing w:after="0" w:line="72"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 hold meetings at least once per quarter with officers to discuss and analyze operating results and address significant variances to budget and prior year in an effort to identify trends and changes in our business. We focus on operating metrics including changes in revenue, OIBDA, Adjusted OIBDA and Adjusted OIBDA margin, as defined and discussed below, as some of our primary measurement metrics. In addition, we monitor our monthly advertising performance measurements, including advertising inventory utilization, national and local and regional advertising pricing (CPM), local and regional advertising rate per screen per week, national and local and regional and total advertising revenue per attendee. We also monitor free cash flow, the dividend coverage ratio, financial leverage ratio (net debt divided by Adjusted OIBDA including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distributions to members.</w:t>
      </w:r>
    </w:p>
    <w:p>
      <w:pPr>
        <w:spacing w:after="0" w:line="61" w:lineRule="exact"/>
        <w:rPr>
          <w:sz w:val="20"/>
          <w:szCs w:val="20"/>
          <w:color w:val="auto"/>
        </w:rPr>
      </w:pPr>
    </w:p>
    <w:p>
      <w:pPr>
        <w:ind w:right="600" w:firstLine="555"/>
        <w:spacing w:after="0" w:line="277"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the section entitled “Risk Factors” below and in our Form 10-K filed with the SEC on March 19, 2018 for our fiscal year ended December 28, 2017.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21" w:lineRule="exact"/>
        <w:rPr>
          <w:sz w:val="20"/>
          <w:szCs w:val="20"/>
          <w:color w:val="auto"/>
        </w:rPr>
      </w:pPr>
    </w:p>
    <w:p>
      <w:pPr>
        <w:jc w:val="both"/>
        <w:ind w:right="340" w:firstLine="555"/>
        <w:spacing w:after="0" w:line="264"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 The following table presents operating data, OIBDA and Adjusted OIBDA (dollars in millions, except margin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2018</w:t>
            </w: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Q1 2017</w:t>
            </w:r>
          </w:p>
        </w:tc>
        <w:tc>
          <w:tcPr>
            <w:tcW w:w="340" w:type="dxa"/>
            <w:vAlign w:val="bottom"/>
            <w:vMerge w:val="restart"/>
          </w:tcPr>
          <w:p>
            <w:pPr>
              <w:spacing w:after="0"/>
              <w:rPr>
                <w:sz w:val="11"/>
                <w:szCs w:val="11"/>
                <w:color w:val="auto"/>
              </w:rPr>
            </w:pPr>
          </w:p>
        </w:tc>
        <w:tc>
          <w:tcPr>
            <w:tcW w:w="13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Q1 2018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Borders>
              <w:bottom w:val="single" w:sz="8" w:color="CFF2FA"/>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CFF2FA"/>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FF2FA"/>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2017</w:t>
            </w:r>
          </w:p>
        </w:tc>
        <w:tc>
          <w:tcPr>
            <w:tcW w:w="22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FF2FA"/>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FF2FA"/>
          </w:tcPr>
          <w:p>
            <w:pPr>
              <w:jc w:val="right"/>
              <w:ind w:right="89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80.2</w:t>
            </w:r>
          </w:p>
        </w:tc>
        <w:tc>
          <w:tcPr>
            <w:tcW w:w="340" w:type="dxa"/>
            <w:vAlign w:val="bottom"/>
            <w:shd w:val="clear" w:color="auto" w:fill="CFF2FA"/>
          </w:tcPr>
          <w:p>
            <w:pPr>
              <w:spacing w:after="0"/>
              <w:rPr>
                <w:sz w:val="19"/>
                <w:szCs w:val="19"/>
                <w:color w:val="auto"/>
              </w:rPr>
            </w:pPr>
          </w:p>
        </w:tc>
        <w:tc>
          <w:tcPr>
            <w:tcW w:w="240" w:type="dxa"/>
            <w:vAlign w:val="bottom"/>
            <w:shd w:val="clear" w:color="auto" w:fill="CFF2FA"/>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71.9</w:t>
            </w:r>
          </w:p>
        </w:tc>
        <w:tc>
          <w:tcPr>
            <w:tcW w:w="340" w:type="dxa"/>
            <w:vAlign w:val="bottom"/>
            <w:shd w:val="clear" w:color="auto" w:fill="CFF2FA"/>
          </w:tcPr>
          <w:p>
            <w:pPr>
              <w:spacing w:after="0"/>
              <w:rPr>
                <w:sz w:val="19"/>
                <w:szCs w:val="19"/>
                <w:color w:val="auto"/>
              </w:rPr>
            </w:pPr>
          </w:p>
        </w:tc>
        <w:tc>
          <w:tcPr>
            <w:tcW w:w="154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Advertising</w:t>
            </w:r>
          </w:p>
        </w:tc>
        <w:tc>
          <w:tcPr>
            <w:tcW w:w="1080" w:type="dxa"/>
            <w:vAlign w:val="bottom"/>
            <w:shd w:val="clear" w:color="auto" w:fill="CFF2FA"/>
          </w:tcPr>
          <w:p>
            <w:pPr>
              <w:spacing w:after="0"/>
              <w:rPr>
                <w:sz w:val="19"/>
                <w:szCs w:val="19"/>
                <w:color w:val="auto"/>
              </w:rPr>
            </w:pPr>
          </w:p>
        </w:tc>
        <w:tc>
          <w:tcPr>
            <w:tcW w:w="4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43.2</w:t>
            </w:r>
          </w:p>
        </w:tc>
        <w:tc>
          <w:tcPr>
            <w:tcW w:w="340" w:type="dxa"/>
            <w:vAlign w:val="bottom"/>
            <w:shd w:val="clear" w:color="auto" w:fill="CFF2FA"/>
          </w:tcPr>
          <w:p>
            <w:pPr>
              <w:spacing w:after="0"/>
              <w:rPr>
                <w:sz w:val="19"/>
                <w:szCs w:val="19"/>
                <w:color w:val="auto"/>
              </w:rPr>
            </w:pPr>
          </w:p>
        </w:tc>
        <w:tc>
          <w:tcPr>
            <w:tcW w:w="15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Borders>
              <w:bottom w:val="single" w:sz="8" w:color="CFF2FA"/>
            </w:tcBorders>
          </w:tcPr>
          <w:p>
            <w:pPr>
              <w:ind w:left="240"/>
              <w:spacing w:after="0"/>
              <w:rPr>
                <w:sz w:val="20"/>
                <w:szCs w:val="20"/>
                <w:color w:val="auto"/>
              </w:rPr>
            </w:pPr>
            <w:r>
              <w:rPr>
                <w:rFonts w:ascii="Arial" w:cs="Arial" w:eastAsia="Arial" w:hAnsi="Arial"/>
                <w:sz w:val="18"/>
                <w:szCs w:val="18"/>
                <w:color w:val="auto"/>
              </w:rPr>
              <w:t>Network, administrative and unallocated costs</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340" w:type="dxa"/>
            <w:vAlign w:val="bottom"/>
            <w:tcBorders>
              <w:bottom w:val="single" w:sz="8" w:color="CFF2F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340" w:type="dxa"/>
            <w:vAlign w:val="bottom"/>
            <w:tcBorders>
              <w:bottom w:val="single" w:sz="8" w:color="CFF2FA"/>
            </w:tcBorders>
          </w:tcPr>
          <w:p>
            <w:pPr>
              <w:spacing w:after="0"/>
              <w:rPr>
                <w:sz w:val="19"/>
                <w:szCs w:val="19"/>
                <w:color w:val="auto"/>
              </w:rPr>
            </w:pPr>
          </w:p>
        </w:tc>
        <w:tc>
          <w:tcPr>
            <w:tcW w:w="1540" w:type="dxa"/>
            <w:vAlign w:val="bottom"/>
            <w:tcBorders>
              <w:bottom w:val="single" w:sz="8" w:color="CFF2FA"/>
            </w:tcBorders>
            <w:gridSpan w:val="2"/>
          </w:tcPr>
          <w:p>
            <w:pPr>
              <w:jc w:val="right"/>
              <w:ind w:right="8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FF2FA"/>
          </w:tcPr>
          <w:p>
            <w:pPr>
              <w:ind w:left="36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auto"/>
            </w:tcBorders>
            <w:shd w:val="clear" w:color="auto" w:fill="CFF2FA"/>
          </w:tcPr>
          <w:p>
            <w:pPr>
              <w:spacing w:after="0"/>
              <w:rPr>
                <w:sz w:val="19"/>
                <w:szCs w:val="19"/>
                <w:color w:val="auto"/>
              </w:rPr>
            </w:pPr>
          </w:p>
        </w:tc>
        <w:tc>
          <w:tcPr>
            <w:tcW w:w="46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69.2</w:t>
            </w:r>
          </w:p>
        </w:tc>
        <w:tc>
          <w:tcPr>
            <w:tcW w:w="340" w:type="dxa"/>
            <w:vAlign w:val="bottom"/>
            <w:shd w:val="clear" w:color="auto" w:fill="CFF2FA"/>
          </w:tcPr>
          <w:p>
            <w:pPr>
              <w:spacing w:after="0"/>
              <w:rPr>
                <w:sz w:val="19"/>
                <w:szCs w:val="19"/>
                <w:color w:val="auto"/>
              </w:rPr>
            </w:pPr>
          </w:p>
        </w:tc>
        <w:tc>
          <w:tcPr>
            <w:tcW w:w="240" w:type="dxa"/>
            <w:vAlign w:val="bottom"/>
            <w:tcBorders>
              <w:bottom w:val="single" w:sz="8" w:color="auto"/>
            </w:tcBorders>
            <w:shd w:val="clear" w:color="auto" w:fill="CFF2FA"/>
          </w:tcPr>
          <w:p>
            <w:pPr>
              <w:spacing w:after="0"/>
              <w:rPr>
                <w:sz w:val="19"/>
                <w:szCs w:val="19"/>
                <w:color w:val="auto"/>
              </w:rPr>
            </w:pPr>
          </w:p>
        </w:tc>
        <w:tc>
          <w:tcPr>
            <w:tcW w:w="10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18"/>
                <w:szCs w:val="18"/>
                <w:color w:val="auto"/>
              </w:rPr>
              <w:t>66.8</w:t>
            </w:r>
          </w:p>
        </w:tc>
        <w:tc>
          <w:tcPr>
            <w:tcW w:w="340" w:type="dxa"/>
            <w:vAlign w:val="bottom"/>
            <w:shd w:val="clear" w:color="auto" w:fill="CFF2FA"/>
          </w:tcPr>
          <w:p>
            <w:pPr>
              <w:spacing w:after="0"/>
              <w:rPr>
                <w:sz w:val="19"/>
                <w:szCs w:val="19"/>
                <w:color w:val="auto"/>
              </w:rPr>
            </w:pPr>
          </w:p>
        </w:tc>
        <w:tc>
          <w:tcPr>
            <w:tcW w:w="154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FF2FA"/>
          </w:tcPr>
          <w:p>
            <w:pPr>
              <w:spacing w:after="0"/>
              <w:rPr>
                <w:sz w:val="20"/>
                <w:szCs w:val="20"/>
                <w:color w:val="auto"/>
              </w:rPr>
            </w:pPr>
            <w:r>
              <w:rPr>
                <w:rFonts w:ascii="Arial" w:cs="Arial" w:eastAsia="Arial" w:hAnsi="Arial"/>
                <w:sz w:val="18"/>
                <w:szCs w:val="18"/>
                <w:color w:val="auto"/>
              </w:rPr>
              <w:t>Non-operating expenses</w:t>
            </w:r>
          </w:p>
        </w:tc>
        <w:tc>
          <w:tcPr>
            <w:tcW w:w="1080" w:type="dxa"/>
            <w:vAlign w:val="bottom"/>
            <w:shd w:val="clear" w:color="auto" w:fill="CFF2FA"/>
          </w:tcPr>
          <w:p>
            <w:pPr>
              <w:spacing w:after="0"/>
              <w:rPr>
                <w:sz w:val="19"/>
                <w:szCs w:val="19"/>
                <w:color w:val="auto"/>
              </w:rPr>
            </w:pPr>
          </w:p>
        </w:tc>
        <w:tc>
          <w:tcPr>
            <w:tcW w:w="4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FF2FA"/>
          </w:tcPr>
          <w:p>
            <w:pPr>
              <w:spacing w:after="0"/>
              <w:rPr>
                <w:sz w:val="19"/>
                <w:szCs w:val="19"/>
                <w:color w:val="auto"/>
              </w:rPr>
            </w:pPr>
          </w:p>
        </w:tc>
        <w:tc>
          <w:tcPr>
            <w:tcW w:w="154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Borders>
              <w:bottom w:val="single" w:sz="8" w:color="CFF2FA"/>
            </w:tcBorders>
          </w:tcPr>
          <w:p>
            <w:pPr>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CFF2FA"/>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40" w:type="dxa"/>
            <w:vAlign w:val="bottom"/>
            <w:tcBorders>
              <w:bottom w:val="single" w:sz="8" w:color="CFF2FA"/>
            </w:tcBorders>
          </w:tcPr>
          <w:p>
            <w:pPr>
              <w:spacing w:after="0"/>
              <w:rPr>
                <w:sz w:val="19"/>
                <w:szCs w:val="19"/>
                <w:color w:val="auto"/>
              </w:rPr>
            </w:pPr>
          </w:p>
        </w:tc>
        <w:tc>
          <w:tcPr>
            <w:tcW w:w="1540" w:type="dxa"/>
            <w:vAlign w:val="bottom"/>
            <w:tcBorders>
              <w:bottom w:val="single" w:sz="8" w:color="CFF2FA"/>
            </w:tcBorders>
            <w:gridSpan w:val="2"/>
          </w:tcPr>
          <w:p>
            <w:pPr>
              <w:jc w:val="right"/>
              <w:ind w:right="8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shd w:val="clear" w:color="auto" w:fill="CFF2FA"/>
          </w:tcPr>
          <w:p>
            <w:pPr>
              <w:ind w:left="24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2FA"/>
          </w:tcPr>
          <w:p>
            <w:pPr>
              <w:jc w:val="right"/>
              <w:ind w:right="894"/>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2FA"/>
          </w:tcPr>
          <w:p>
            <w:pPr>
              <w:jc w:val="right"/>
              <w:ind w:right="28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2FA"/>
          </w:tcPr>
          <w:p>
            <w:pPr>
              <w:jc w:val="right"/>
              <w:ind w:right="8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FF2FA"/>
          </w:tcPr>
          <w:p>
            <w:pPr>
              <w:jc w:val="right"/>
              <w:ind w:right="280"/>
              <w:spacing w:after="0"/>
              <w:rPr>
                <w:sz w:val="20"/>
                <w:szCs w:val="20"/>
                <w:color w:val="auto"/>
              </w:rPr>
            </w:pPr>
            <w:r>
              <w:rPr>
                <w:rFonts w:ascii="Arial" w:cs="Arial" w:eastAsia="Arial" w:hAnsi="Arial"/>
                <w:sz w:val="18"/>
                <w:szCs w:val="18"/>
                <w:color w:val="auto"/>
              </w:rPr>
              <w:t>(7.9)</w:t>
            </w:r>
          </w:p>
        </w:tc>
        <w:tc>
          <w:tcPr>
            <w:tcW w:w="15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FF2FA"/>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2FA"/>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2FA"/>
            </w:tcBorders>
          </w:tcPr>
          <w:p>
            <w:pPr>
              <w:spacing w:after="0" w:line="20" w:lineRule="exact"/>
              <w:rPr>
                <w:sz w:val="1"/>
                <w:szCs w:val="1"/>
                <w:color w:val="auto"/>
              </w:rPr>
            </w:pPr>
          </w:p>
        </w:tc>
        <w:tc>
          <w:tcPr>
            <w:tcW w:w="1320" w:type="dxa"/>
            <w:vAlign w:val="bottom"/>
            <w:tcBorders>
              <w:top w:val="single" w:sz="8" w:color="CFF2FA"/>
            </w:tcBorders>
          </w:tcPr>
          <w:p>
            <w:pPr>
              <w:spacing w:after="0" w:line="20" w:lineRule="exact"/>
              <w:rPr>
                <w:sz w:val="1"/>
                <w:szCs w:val="1"/>
                <w:color w:val="auto"/>
              </w:rPr>
            </w:pPr>
          </w:p>
        </w:tc>
        <w:tc>
          <w:tcPr>
            <w:tcW w:w="220" w:type="dxa"/>
            <w:vAlign w:val="bottom"/>
            <w:tcBorders>
              <w:top w:val="single" w:sz="8" w:color="CFF2FA"/>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360" w:type="dxa"/>
            <w:vAlign w:val="bottom"/>
            <w:shd w:val="clear" w:color="auto" w:fill="CFF2FA"/>
          </w:tcPr>
          <w:p>
            <w:pPr>
              <w:spacing w:after="0"/>
              <w:rPr>
                <w:sz w:val="20"/>
                <w:szCs w:val="20"/>
                <w:color w:val="auto"/>
              </w:rPr>
            </w:pPr>
            <w:r>
              <w:rPr>
                <w:rFonts w:ascii="Arial" w:cs="Arial" w:eastAsia="Arial" w:hAnsi="Arial"/>
                <w:sz w:val="18"/>
                <w:szCs w:val="18"/>
                <w:color w:val="auto"/>
              </w:rPr>
              <w:t>Adjusted OIBDA</w:t>
            </w:r>
          </w:p>
        </w:tc>
        <w:tc>
          <w:tcPr>
            <w:tcW w:w="1080" w:type="dxa"/>
            <w:vAlign w:val="bottom"/>
            <w:shd w:val="clear" w:color="auto" w:fill="CFF2FA"/>
          </w:tcPr>
          <w:p>
            <w:pPr>
              <w:jc w:val="right"/>
              <w:ind w:right="894"/>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23.3</w:t>
            </w:r>
          </w:p>
        </w:tc>
        <w:tc>
          <w:tcPr>
            <w:tcW w:w="340" w:type="dxa"/>
            <w:vAlign w:val="bottom"/>
            <w:shd w:val="clear" w:color="auto" w:fill="CFF2FA"/>
          </w:tcPr>
          <w:p>
            <w:pPr>
              <w:spacing w:after="0"/>
              <w:rPr>
                <w:sz w:val="19"/>
                <w:szCs w:val="19"/>
                <w:color w:val="auto"/>
              </w:rPr>
            </w:pPr>
          </w:p>
        </w:tc>
        <w:tc>
          <w:tcPr>
            <w:tcW w:w="240" w:type="dxa"/>
            <w:vAlign w:val="bottom"/>
            <w:shd w:val="clear" w:color="auto" w:fill="CFF2FA"/>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17.6</w:t>
            </w:r>
          </w:p>
        </w:tc>
        <w:tc>
          <w:tcPr>
            <w:tcW w:w="340" w:type="dxa"/>
            <w:vAlign w:val="bottom"/>
            <w:shd w:val="clear" w:color="auto" w:fill="CFF2FA"/>
          </w:tcPr>
          <w:p>
            <w:pPr>
              <w:spacing w:after="0"/>
              <w:rPr>
                <w:sz w:val="19"/>
                <w:szCs w:val="19"/>
                <w:color w:val="auto"/>
              </w:rPr>
            </w:pPr>
          </w:p>
        </w:tc>
        <w:tc>
          <w:tcPr>
            <w:tcW w:w="1540" w:type="dxa"/>
            <w:vAlign w:val="bottom"/>
            <w:gridSpan w:val="2"/>
            <w:shd w:val="clear" w:color="auto" w:fill="CFF2FA"/>
          </w:tcPr>
          <w:p>
            <w:pPr>
              <w:jc w:val="right"/>
              <w:ind w:right="8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Adjusted OIBDA margin</w:t>
            </w:r>
          </w:p>
        </w:tc>
        <w:tc>
          <w:tcPr>
            <w:tcW w:w="10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24.5%</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FF2FA"/>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080" w:type="dxa"/>
            <w:vAlign w:val="bottom"/>
            <w:shd w:val="clear" w:color="auto" w:fill="CFF2FA"/>
          </w:tcPr>
          <w:p>
            <w:pPr>
              <w:spacing w:after="0"/>
              <w:rPr>
                <w:sz w:val="19"/>
                <w:szCs w:val="19"/>
                <w:color w:val="auto"/>
              </w:rPr>
            </w:pPr>
          </w:p>
        </w:tc>
        <w:tc>
          <w:tcPr>
            <w:tcW w:w="460" w:type="dxa"/>
            <w:vAlign w:val="bottom"/>
            <w:shd w:val="clear" w:color="auto" w:fill="CFF2FA"/>
          </w:tcPr>
          <w:p>
            <w:pPr>
              <w:jc w:val="right"/>
              <w:spacing w:after="0"/>
              <w:rPr>
                <w:sz w:val="20"/>
                <w:szCs w:val="20"/>
                <w:color w:val="auto"/>
              </w:rPr>
            </w:pPr>
            <w:r>
              <w:rPr>
                <w:rFonts w:ascii="Arial" w:cs="Arial" w:eastAsia="Arial" w:hAnsi="Arial"/>
                <w:sz w:val="18"/>
                <w:szCs w:val="18"/>
                <w:color w:val="auto"/>
                <w:w w:val="93"/>
              </w:rPr>
              <w:t>177.0</w:t>
            </w:r>
          </w:p>
        </w:tc>
        <w:tc>
          <w:tcPr>
            <w:tcW w:w="3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181.5</w:t>
            </w:r>
          </w:p>
        </w:tc>
        <w:tc>
          <w:tcPr>
            <w:tcW w:w="340" w:type="dxa"/>
            <w:vAlign w:val="bottom"/>
            <w:shd w:val="clear" w:color="auto" w:fill="CFF2FA"/>
          </w:tcPr>
          <w:p>
            <w:pPr>
              <w:spacing w:after="0"/>
              <w:rPr>
                <w:sz w:val="19"/>
                <w:szCs w:val="19"/>
                <w:color w:val="auto"/>
              </w:rPr>
            </w:pPr>
          </w:p>
        </w:tc>
        <w:tc>
          <w:tcPr>
            <w:tcW w:w="1540" w:type="dxa"/>
            <w:vAlign w:val="bottom"/>
            <w:gridSpan w:val="2"/>
            <w:shd w:val="clear" w:color="auto" w:fill="CFF2FA"/>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60" w:right="140" w:hanging="552"/>
        <w:spacing w:after="0" w:line="308" w:lineRule="auto"/>
        <w:tabs>
          <w:tab w:leader="none" w:pos="560" w:val="left"/>
        </w:tabs>
        <w:numPr>
          <w:ilvl w:val="0"/>
          <w:numId w:val="9"/>
        </w:numPr>
        <w:rPr>
          <w:rFonts w:ascii="Arial" w:cs="Arial" w:eastAsia="Arial" w:hAnsi="Arial"/>
          <w:sz w:val="17"/>
          <w:szCs w:val="17"/>
          <w:i w:val="1"/>
          <w:iCs w:val="1"/>
          <w:color w:val="auto"/>
        </w:rPr>
      </w:pPr>
      <w:r>
        <w:rPr>
          <w:rFonts w:ascii="Arial" w:cs="Arial" w:eastAsia="Arial" w:hAnsi="Arial"/>
          <w:sz w:val="17"/>
          <w:szCs w:val="17"/>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-317500</wp:posOffset>
            </wp:positionV>
            <wp:extent cx="17151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firstLine="555"/>
        <w:spacing w:after="0" w:line="285" w:lineRule="auto"/>
        <w:rPr>
          <w:sz w:val="20"/>
          <w:szCs w:val="20"/>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GAAP in the United States. OIBDA represents operating income before depreciation and amortization expense. Adjusted OIBDA excludes from OIBDA non-cash share based compensation costs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 based compensation programs, CEO turnover,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or costs associated with the resignation of the Company’s former Chief Executive Officer. OIBDA or Adjusted OIBDA should not be regarded as an alternative to operating income, net income or as indicators of operating performance, nor 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non-GAAP presentations may not be comparable to other similarly titled measures of other companies, or calculations in the Company’s debt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ind w:left="560"/>
        <w:spacing w:after="0"/>
        <w:rPr>
          <w:sz w:val="20"/>
          <w:szCs w:val="20"/>
          <w:color w:val="auto"/>
        </w:rPr>
      </w:pPr>
      <w:r>
        <w:rPr>
          <w:rFonts w:ascii="Arial" w:cs="Arial" w:eastAsia="Arial" w:hAnsi="Arial"/>
          <w:sz w:val="18"/>
          <w:szCs w:val="18"/>
          <w:color w:val="auto"/>
        </w:rPr>
        <w:t>The following table reconciles operating income to OIBDA and Adjusted OIBDA for the periods presented (dollars in millions):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80" w:type="dxa"/>
            <w:vAlign w:val="bottom"/>
          </w:tcPr>
          <w:p>
            <w:pPr>
              <w:jc w:val="right"/>
              <w:ind w:right="46"/>
              <w:spacing w:after="0"/>
              <w:rPr>
                <w:sz w:val="20"/>
                <w:szCs w:val="20"/>
                <w:color w:val="auto"/>
              </w:rPr>
            </w:pPr>
            <w:r>
              <w:rPr>
                <w:rFonts w:ascii="Arial" w:cs="Arial" w:eastAsia="Arial" w:hAnsi="Arial"/>
                <w:sz w:val="14"/>
                <w:szCs w:val="14"/>
                <w:b w:val="1"/>
                <w:bCs w:val="1"/>
                <w:color w:val="auto"/>
              </w:rPr>
              <w:t>Q1 2018</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Q1 2017</w:t>
            </w:r>
          </w:p>
        </w:tc>
      </w:tr>
      <w:tr>
        <w:trPr>
          <w:trHeight w:val="223"/>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ind w:right="10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08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bottom w:val="single" w:sz="8" w:color="CFF0FC"/>
            </w:tcBorders>
          </w:tcPr>
          <w:p>
            <w:pPr>
              <w:spacing w:after="0"/>
              <w:rPr>
                <w:sz w:val="19"/>
                <w:szCs w:val="19"/>
                <w:color w:val="auto"/>
              </w:rPr>
            </w:pPr>
          </w:p>
        </w:tc>
      </w:tr>
      <w:tr>
        <w:trPr>
          <w:trHeight w:val="223"/>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OIBDA</w:t>
            </w:r>
          </w:p>
        </w:tc>
        <w:tc>
          <w:tcPr>
            <w:tcW w:w="20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02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FF0FC"/>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2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(2)</w:t>
            </w:r>
          </w:p>
        </w:tc>
        <w:tc>
          <w:tcPr>
            <w:tcW w:w="20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FF0FC"/>
          </w:tcPr>
          <w:p>
            <w:pPr>
              <w:spacing w:after="0"/>
              <w:rPr>
                <w:sz w:val="19"/>
                <w:szCs w:val="19"/>
                <w:color w:val="auto"/>
              </w:rPr>
            </w:pPr>
          </w:p>
        </w:tc>
      </w:tr>
      <w:tr>
        <w:trPr>
          <w:trHeight w:val="263"/>
        </w:trPr>
        <w:tc>
          <w:tcPr>
            <w:tcW w:w="4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Adjusted OIBDA</w:t>
            </w:r>
          </w:p>
        </w:tc>
        <w:tc>
          <w:tcPr>
            <w:tcW w:w="2080" w:type="dxa"/>
            <w:vAlign w:val="bottom"/>
            <w:tcBorders>
              <w:bottom w:val="single" w:sz="8" w:color="CFF0FC"/>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0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Borders>
              <w:bottom w:val="single" w:sz="8" w:color="CFF0FC"/>
            </w:tcBorders>
          </w:tcPr>
          <w:p>
            <w:pPr>
              <w:spacing w:after="0"/>
              <w:rPr>
                <w:sz w:val="22"/>
                <w:szCs w:val="22"/>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0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2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80" w:type="dxa"/>
            <w:vAlign w:val="bottom"/>
            <w:shd w:val="clear" w:color="auto" w:fill="CFF0FC"/>
          </w:tcPr>
          <w:p>
            <w:pPr>
              <w:spacing w:after="0"/>
              <w:rPr>
                <w:sz w:val="18"/>
                <w:szCs w:val="18"/>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Adjusted OIBDA margin</w:t>
            </w:r>
          </w:p>
        </w:tc>
        <w:tc>
          <w:tcPr>
            <w:tcW w:w="2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r>
    </w:tbl>
    <w:p>
      <w:pPr>
        <w:spacing w:after="0" w:line="363" w:lineRule="exact"/>
        <w:rPr>
          <w:sz w:val="20"/>
          <w:szCs w:val="20"/>
          <w:color w:val="auto"/>
        </w:rPr>
      </w:pPr>
    </w:p>
    <w:p>
      <w:pPr>
        <w:jc w:val="both"/>
        <w:ind w:left="1120" w:right="100" w:hanging="558"/>
        <w:spacing w:after="0" w:line="286" w:lineRule="auto"/>
        <w:tabs>
          <w:tab w:leader="none" w:pos="1120" w:val="left"/>
        </w:tabs>
        <w:numPr>
          <w:ilvl w:val="0"/>
          <w:numId w:val="10"/>
        </w:numPr>
        <w:rPr>
          <w:rFonts w:ascii="Arial" w:cs="Arial" w:eastAsia="Arial" w:hAnsi="Arial"/>
          <w:sz w:val="16"/>
          <w:szCs w:val="16"/>
          <w:i w:val="1"/>
          <w:iCs w:val="1"/>
          <w:color w:val="auto"/>
        </w:rPr>
      </w:pPr>
      <w:r>
        <w:rPr>
          <w:rFonts w:ascii="Arial" w:cs="Arial" w:eastAsia="Arial" w:hAnsi="Arial"/>
          <w:sz w:val="16"/>
          <w:szCs w:val="16"/>
          <w:color w:val="auto"/>
        </w:rPr>
        <w:t>Share-based compensation costs are included in network operations, selling and marketing, administrative expense and administrative fee – managing member in the accompanying unaudited Condensed Financial Statements. These costs represent both non-cash charges and cash charges paid through the administrative fee with the managing member. The amount of share-based compensation costs that were non-cash were $1.8 million and $2.0 million for the three months ended March 29, 2018 and March 30, 2017, respectively.</w:t>
      </w:r>
    </w:p>
    <w:p>
      <w:pPr>
        <w:spacing w:after="0" w:line="1" w:lineRule="exact"/>
        <w:rPr>
          <w:rFonts w:ascii="Arial" w:cs="Arial" w:eastAsia="Arial" w:hAnsi="Arial"/>
          <w:sz w:val="16"/>
          <w:szCs w:val="16"/>
          <w:i w:val="1"/>
          <w:iCs w:val="1"/>
          <w:color w:val="auto"/>
        </w:rPr>
      </w:pPr>
    </w:p>
    <w:p>
      <w:pPr>
        <w:ind w:left="1120" w:right="240" w:hanging="558"/>
        <w:spacing w:after="0" w:line="261" w:lineRule="auto"/>
        <w:tabs>
          <w:tab w:leader="none" w:pos="112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Chief Executive Officer transition costs represent consulting, relocation and other costs and are primarily included in administrative fee – managing member in the accompanying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-842645</wp:posOffset>
            </wp:positionV>
            <wp:extent cx="13633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firstLine="555"/>
        <w:spacing w:after="0" w:line="342" w:lineRule="auto"/>
        <w:rPr>
          <w:sz w:val="20"/>
          <w:szCs w:val="20"/>
          <w:color w:val="auto"/>
        </w:rPr>
      </w:pPr>
      <w:r>
        <w:rPr>
          <w:rFonts w:ascii="Arial" w:cs="Arial" w:eastAsia="Arial" w:hAnsi="Arial"/>
          <w:sz w:val="16"/>
          <w:szCs w:val="16"/>
          <w:color w:val="auto"/>
        </w:rPr>
        <w:t>The results of operations data for the three months ended March 29, 2018 (first quarter of 2018) and March 30, 2017 (first quarter of 2017) was derived from the unaudited Condensed Financial Statements and accounting records of NCM LLC and should be read in conjunction with the notes thereto.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2018 and First Quarter of 2017</w:t>
      </w:r>
    </w:p>
    <w:p>
      <w:pPr>
        <w:spacing w:after="0" w:line="117"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11.5%, from $71.9 million for the first quarter of 2017 to $80.2 million for the first quarter of 2018.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is a summary of revenue by category (in millions):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 Change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2018</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Q1 2017</w:t>
            </w:r>
          </w:p>
        </w:tc>
        <w:tc>
          <w:tcPr>
            <w:tcW w:w="22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98"/>
              <w:spacing w:after="0" w:line="133" w:lineRule="exact"/>
              <w:rPr>
                <w:sz w:val="20"/>
                <w:szCs w:val="20"/>
                <w:color w:val="auto"/>
              </w:rPr>
            </w:pPr>
            <w:r>
              <w:rPr>
                <w:rFonts w:ascii="Arial" w:cs="Arial" w:eastAsia="Arial" w:hAnsi="Arial"/>
                <w:sz w:val="14"/>
                <w:szCs w:val="14"/>
                <w:b w:val="1"/>
                <w:bCs w:val="1"/>
                <w:color w:val="auto"/>
                <w:w w:val="93"/>
              </w:rPr>
              <w:t>Q1 2018 to</w:t>
            </w:r>
          </w:p>
        </w:tc>
        <w:tc>
          <w:tcPr>
            <w:tcW w:w="200" w:type="dxa"/>
            <w:vAlign w:val="bottom"/>
          </w:tcPr>
          <w:p>
            <w:pPr>
              <w:spacing w:after="0"/>
              <w:rPr>
                <w:sz w:val="11"/>
                <w:szCs w:val="11"/>
                <w:color w:val="auto"/>
              </w:rPr>
            </w:pPr>
          </w:p>
        </w:tc>
        <w:tc>
          <w:tcPr>
            <w:tcW w:w="11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Q1 2018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Q1 2017</w:t>
            </w:r>
          </w:p>
        </w:tc>
        <w:tc>
          <w:tcPr>
            <w:tcW w:w="2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 2017</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w:t>
            </w:r>
          </w:p>
        </w:tc>
        <w:tc>
          <w:tcPr>
            <w:tcW w:w="820" w:type="dxa"/>
            <w:vAlign w:val="bottom"/>
            <w:shd w:val="clear" w:color="auto" w:fill="CFF0FC"/>
          </w:tcPr>
          <w:p>
            <w:pPr>
              <w:jc w:val="right"/>
              <w:ind w:right="66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54.8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Local and regional advertising revenue</w:t>
            </w: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17.4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5"/>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Founding member advertising revenue from</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beverage concessionaire agreements</w:t>
            </w: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(0.4)</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820" w:type="dxa"/>
            <w:vAlign w:val="bottom"/>
            <w:tcBorders>
              <w:top w:val="single" w:sz="8" w:color="auto"/>
              <w:bottom w:val="single" w:sz="8" w:color="auto"/>
            </w:tcBorders>
          </w:tcPr>
          <w:p>
            <w:pPr>
              <w:jc w:val="right"/>
              <w:ind w:right="66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80.2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data on theater attendance and revenue per attendee for the first quarter of 2018 and the first quarter of 2017:</w:t>
      </w:r>
    </w:p>
    <w:p>
      <w:pPr>
        <w:spacing w:after="0" w:line="9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Q1 2018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Q1 2017</w:t>
            </w:r>
          </w:p>
        </w:tc>
        <w:tc>
          <w:tcPr>
            <w:tcW w:w="200" w:type="dxa"/>
            <w:vAlign w:val="bottom"/>
            <w:vMerge w:val="restart"/>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Q1 2018 to</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Q1 2017</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National advertising revenue per attendee</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0.310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0.245</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Local and regional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0.098</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0.105</w:t>
            </w: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 advertising revenue (excluding founding</w:t>
            </w: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member beverage revenue) per attendee</w:t>
            </w:r>
          </w:p>
        </w:tc>
        <w:tc>
          <w:tcPr>
            <w:tcW w:w="8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0.408</w:t>
            </w:r>
          </w:p>
        </w:tc>
        <w:tc>
          <w:tcPr>
            <w:tcW w:w="4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0.350</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8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0.453</w:t>
            </w:r>
          </w:p>
        </w:tc>
        <w:tc>
          <w:tcPr>
            <w:tcW w:w="4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0.396</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181.5</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1700" w:right="420" w:hanging="558"/>
        <w:spacing w:after="0" w:line="264" w:lineRule="auto"/>
        <w:tabs>
          <w:tab w:leader="none" w:pos="170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AMC Rave and Cinemark Rave theaters that are currently part of another cinema advertising network for all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-432435</wp:posOffset>
            </wp:positionV>
            <wp:extent cx="9861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sectPr>
      </w:pPr>
    </w:p>
    <w:bookmarkStart w:id="21" w:name="page22"/>
    <w:bookmarkEnd w:id="21"/>
    <w:p>
      <w:pPr>
        <w:ind w:left="560" w:right="80"/>
        <w:spacing w:after="0" w:line="288"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The $10.4 million, or 23.4%, increase in national advertising revenue (excluding beverage revenue from the founding members) was due primarily to a 21.8% increase in impressions sold, an increase of $1.9 million in online, mobile and other revenue not included in the inventory measured by impressions sold or CPMs and a 2.3% increase in national advertising CPMs (excluding beverage). The increase in impressions sold was due to significantly higher demand in the scatter market, which is inventory not included within an upfront or content partner commitment sold closer to the advertisement air date typically at higher CPMs, in the first quarter of 2018, compared to the first quarter of 2017, partially offset by lower upfront and content partner spending quarter over quarter. The increase in impressions resulted in an increase in national inventory utilization from 76.2% in the first quarter of 2017 to 95.2% in the first quarter of 2018, despite a 2.5% decrease in network attendance. Inventory utilization is calculated as utilized impressions divided by total advertising impressions, which is based on eleven 30-second salable national advertising units in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which can be expanded, should market demand dictate. The increase in national advertising CPMs (excluding beverage) in the first quarter of 2018, compared to the first quarter of 2017, was due to heavier weight of high CPM scatter revenue.</w:t>
      </w:r>
    </w:p>
    <w:p>
      <w:pPr>
        <w:spacing w:after="0" w:line="61" w:lineRule="exact"/>
        <w:rPr>
          <w:sz w:val="20"/>
          <w:szCs w:val="20"/>
          <w:color w:val="auto"/>
        </w:rPr>
      </w:pPr>
    </w:p>
    <w:p>
      <w:pPr>
        <w:ind w:left="560"/>
        <w:spacing w:after="0" w:line="302" w:lineRule="auto"/>
        <w:rPr>
          <w:sz w:val="20"/>
          <w:szCs w:val="20"/>
          <w:color w:val="auto"/>
        </w:rPr>
      </w:pPr>
      <w:r>
        <w:rPr>
          <w:rFonts w:ascii="Arial" w:cs="Arial" w:eastAsia="Arial" w:hAnsi="Arial"/>
          <w:sz w:val="16"/>
          <w:szCs w:val="16"/>
          <w:u w:val="single" w:color="auto"/>
          <w:color w:val="auto"/>
        </w:rPr>
        <w:t>Local and regional advertising revenue.</w:t>
      </w:r>
      <w:r>
        <w:rPr>
          <w:rFonts w:ascii="Arial" w:cs="Arial" w:eastAsia="Arial" w:hAnsi="Arial"/>
          <w:sz w:val="16"/>
          <w:szCs w:val="16"/>
          <w:color w:val="auto"/>
        </w:rPr>
        <w:t xml:space="preserve"> The $1.7 million, or 8.9%, decrease in local and regional advertising revenue was primarily due to a 10.5% decrease in the total volume of local and regional contracts compared to the first quarter of 2017 primarily related to a 30.0% decrease in the number of contracts greater than $100,000. Additionally, we believe the decrease in volume of contracts was in part related to a transition period following the reassignment of accounts and sales management following a realignment of the local and regional sales department in December 2017.</w:t>
      </w:r>
    </w:p>
    <w:p>
      <w:pPr>
        <w:spacing w:after="0" w:line="46" w:lineRule="exact"/>
        <w:rPr>
          <w:sz w:val="20"/>
          <w:szCs w:val="20"/>
          <w:color w:val="auto"/>
        </w:rPr>
      </w:pPr>
    </w:p>
    <w:p>
      <w:pPr>
        <w:ind w:left="560" w:right="240"/>
        <w:spacing w:after="0" w:line="279" w:lineRule="auto"/>
        <w:rPr>
          <w:sz w:val="20"/>
          <w:szCs w:val="20"/>
          <w:color w:val="auto"/>
        </w:rPr>
      </w:pPr>
      <w:r>
        <w:rPr>
          <w:rFonts w:ascii="Arial" w:cs="Arial" w:eastAsia="Arial" w:hAnsi="Arial"/>
          <w:sz w:val="17"/>
          <w:szCs w:val="17"/>
          <w:u w:val="single" w:color="auto"/>
          <w:color w:val="auto"/>
        </w:rPr>
        <w:t>Founding member beverage revenue.</w:t>
      </w:r>
      <w:r>
        <w:rPr>
          <w:rFonts w:ascii="Arial" w:cs="Arial" w:eastAsia="Arial" w:hAnsi="Arial"/>
          <w:sz w:val="17"/>
          <w:szCs w:val="17"/>
          <w:color w:val="auto"/>
        </w:rPr>
        <w:t xml:space="preserve"> The $0.4 million, or 4.8%, decrease in national advertising revenue from the founding members’ beverage concessionaire agreements was primarily due to a 4.1% decrease in founding member attendance, partially offset by a 1.1% increase in beverage revenue CPMs, in the first quarter of 2018, compared to the first quarter of 2017. The 2018 beverage revenue CPM is based on the change in CPM during segment one of our pre-show from 2016 to 2017, which increased 1.1%.</w:t>
      </w:r>
    </w:p>
    <w:p>
      <w:pPr>
        <w:spacing w:after="0" w:line="171" w:lineRule="exact"/>
        <w:rPr>
          <w:sz w:val="20"/>
          <w:szCs w:val="20"/>
          <w:color w:val="auto"/>
        </w:rPr>
      </w:pPr>
    </w:p>
    <w:p>
      <w:pPr>
        <w:ind w:right="20" w:firstLine="555"/>
        <w:spacing w:after="0" w:line="329"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increased $2.4 million, or 3.6%, from $66.8 million for the first quarter of 2017 to $69.2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2018. The following table shows the changes in operating expense for the first quarter of 2018 and the first quarter of 2017 (in millions):</w:t>
      </w:r>
    </w:p>
    <w:tbl>
      <w:tblPr>
        <w:tblLayout w:type="fixed"/>
        <w:tblInd w:w="5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jc w:val="center"/>
              <w:ind w:left="237"/>
              <w:spacing w:after="0"/>
              <w:rPr>
                <w:sz w:val="20"/>
                <w:szCs w:val="20"/>
                <w:color w:val="auto"/>
              </w:rPr>
            </w:pPr>
            <w:r>
              <w:rPr>
                <w:rFonts w:ascii="Arial" w:cs="Arial" w:eastAsia="Arial" w:hAnsi="Arial"/>
                <w:sz w:val="14"/>
                <w:szCs w:val="14"/>
                <w:b w:val="1"/>
                <w:bCs w:val="1"/>
                <w:color w:val="auto"/>
                <w:w w:val="91"/>
              </w:rPr>
              <w:t>$ Change</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2018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ind w:right="7"/>
              <w:spacing w:after="0"/>
              <w:rPr>
                <w:sz w:val="20"/>
                <w:szCs w:val="20"/>
                <w:color w:val="auto"/>
              </w:rPr>
            </w:pPr>
            <w:r>
              <w:rPr>
                <w:rFonts w:ascii="Arial" w:cs="Arial" w:eastAsia="Arial" w:hAnsi="Arial"/>
                <w:sz w:val="14"/>
                <w:szCs w:val="14"/>
                <w:b w:val="1"/>
                <w:bCs w:val="1"/>
                <w:color w:val="auto"/>
              </w:rPr>
              <w:t>Q1 2017</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Borders>
              <w:top w:val="single" w:sz="8" w:color="auto"/>
            </w:tcBorders>
          </w:tcPr>
          <w:p>
            <w:pPr>
              <w:jc w:val="center"/>
              <w:ind w:left="237"/>
              <w:spacing w:after="0" w:line="133" w:lineRule="exact"/>
              <w:rPr>
                <w:sz w:val="20"/>
                <w:szCs w:val="20"/>
                <w:color w:val="auto"/>
              </w:rPr>
            </w:pPr>
            <w:r>
              <w:rPr>
                <w:rFonts w:ascii="Arial" w:cs="Arial" w:eastAsia="Arial" w:hAnsi="Arial"/>
                <w:sz w:val="14"/>
                <w:szCs w:val="14"/>
                <w:b w:val="1"/>
                <w:bCs w:val="1"/>
                <w:color w:val="auto"/>
                <w:w w:val="93"/>
              </w:rPr>
              <w:t>Q1 2018 to</w:t>
            </w:r>
          </w:p>
        </w:tc>
        <w:tc>
          <w:tcPr>
            <w:tcW w:w="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Q1 2018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FF2FA"/>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FF2FA"/>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CFF2FA"/>
            </w:tcBorders>
          </w:tcPr>
          <w:p>
            <w:pPr>
              <w:spacing w:after="0"/>
              <w:rPr>
                <w:sz w:val="14"/>
                <w:szCs w:val="14"/>
                <w:color w:val="auto"/>
              </w:rPr>
            </w:pPr>
          </w:p>
        </w:tc>
        <w:tc>
          <w:tcPr>
            <w:tcW w:w="20" w:type="dxa"/>
            <w:vAlign w:val="bottom"/>
            <w:tcBorders>
              <w:bottom w:val="single" w:sz="8" w:color="CFF2FA"/>
            </w:tcBorders>
          </w:tcPr>
          <w:p>
            <w:pPr>
              <w:spacing w:after="0"/>
              <w:rPr>
                <w:sz w:val="14"/>
                <w:szCs w:val="14"/>
                <w:color w:val="auto"/>
              </w:rPr>
            </w:pPr>
          </w:p>
        </w:tc>
        <w:tc>
          <w:tcPr>
            <w:tcW w:w="1040" w:type="dxa"/>
            <w:vAlign w:val="bottom"/>
            <w:tcBorders>
              <w:bottom w:val="single" w:sz="8" w:color="auto"/>
            </w:tcBorders>
          </w:tcPr>
          <w:p>
            <w:pPr>
              <w:jc w:val="center"/>
              <w:ind w:left="237"/>
              <w:spacing w:after="0"/>
              <w:rPr>
                <w:sz w:val="20"/>
                <w:szCs w:val="20"/>
                <w:color w:val="auto"/>
              </w:rPr>
            </w:pPr>
            <w:r>
              <w:rPr>
                <w:rFonts w:ascii="Arial" w:cs="Arial" w:eastAsia="Arial" w:hAnsi="Arial"/>
                <w:sz w:val="14"/>
                <w:szCs w:val="14"/>
                <w:b w:val="1"/>
                <w:bCs w:val="1"/>
                <w:color w:val="auto"/>
                <w:w w:val="93"/>
              </w:rPr>
              <w:t>Q1 2017</w:t>
            </w: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CFF2FA"/>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 2017</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Advertising operating costs</w:t>
            </w:r>
          </w:p>
        </w:tc>
        <w:tc>
          <w:tcPr>
            <w:tcW w:w="980" w:type="dxa"/>
            <w:vAlign w:val="bottom"/>
            <w:shd w:val="clear" w:color="auto" w:fill="CFF2FA"/>
          </w:tcPr>
          <w:p>
            <w:pPr>
              <w:jc w:val="right"/>
              <w:ind w:right="82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2FA"/>
          </w:tcPr>
          <w:p>
            <w:pPr>
              <w:spacing w:after="0"/>
              <w:rPr>
                <w:sz w:val="19"/>
                <w:szCs w:val="19"/>
                <w:color w:val="auto"/>
              </w:rPr>
            </w:pPr>
          </w:p>
        </w:tc>
        <w:tc>
          <w:tcPr>
            <w:tcW w:w="1180" w:type="dxa"/>
            <w:vAlign w:val="bottom"/>
            <w:gridSpan w:val="2"/>
            <w:shd w:val="clear" w:color="auto" w:fill="CFF2FA"/>
          </w:tcPr>
          <w:p>
            <w:pPr>
              <w:jc w:val="right"/>
              <w:ind w:right="907"/>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040" w:type="dxa"/>
            <w:vAlign w:val="bottom"/>
            <w:shd w:val="clear" w:color="auto" w:fill="CFF2FA"/>
          </w:tcPr>
          <w:p>
            <w:pPr>
              <w:jc w:val="right"/>
              <w:ind w:right="917"/>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Network costs</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Theater access fees—founding members</w:t>
            </w:r>
          </w:p>
        </w:tc>
        <w:tc>
          <w:tcPr>
            <w:tcW w:w="980" w:type="dxa"/>
            <w:vAlign w:val="bottom"/>
            <w:shd w:val="clear" w:color="auto" w:fill="CFF2FA"/>
          </w:tcPr>
          <w:p>
            <w:pPr>
              <w:spacing w:after="0"/>
              <w:rPr>
                <w:sz w:val="19"/>
                <w:szCs w:val="19"/>
                <w:color w:val="auto"/>
              </w:rPr>
            </w:pP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w w:val="96"/>
              </w:rPr>
              <w:t>20.6</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6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040" w:type="dxa"/>
            <w:vAlign w:val="bottom"/>
            <w:shd w:val="clear" w:color="auto" w:fill="CFF2FA"/>
          </w:tcPr>
          <w:p>
            <w:pPr>
              <w:spacing w:after="0"/>
              <w:rPr>
                <w:sz w:val="19"/>
                <w:szCs w:val="19"/>
                <w:color w:val="auto"/>
              </w:rPr>
            </w:pPr>
          </w:p>
        </w:tc>
        <w:tc>
          <w:tcPr>
            <w:tcW w:w="540" w:type="dxa"/>
            <w:vAlign w:val="bottom"/>
            <w:gridSpan w:val="2"/>
            <w:shd w:val="clear" w:color="auto" w:fill="CFF2FA"/>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Selling and marketing costs</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Administrative and other costs</w:t>
            </w:r>
          </w:p>
        </w:tc>
        <w:tc>
          <w:tcPr>
            <w:tcW w:w="980" w:type="dxa"/>
            <w:vAlign w:val="bottom"/>
            <w:shd w:val="clear" w:color="auto" w:fill="CFF2FA"/>
          </w:tcPr>
          <w:p>
            <w:pPr>
              <w:spacing w:after="0"/>
              <w:rPr>
                <w:sz w:val="19"/>
                <w:szCs w:val="19"/>
                <w:color w:val="auto"/>
              </w:rPr>
            </w:pP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6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040" w:type="dxa"/>
            <w:vAlign w:val="bottom"/>
            <w:shd w:val="clear" w:color="auto" w:fill="CFF2FA"/>
          </w:tcPr>
          <w:p>
            <w:pPr>
              <w:spacing w:after="0"/>
              <w:rPr>
                <w:sz w:val="19"/>
                <w:szCs w:val="19"/>
                <w:color w:val="auto"/>
              </w:rPr>
            </w:pPr>
          </w:p>
        </w:tc>
        <w:tc>
          <w:tcPr>
            <w:tcW w:w="340" w:type="dxa"/>
            <w:vAlign w:val="bottom"/>
            <w:shd w:val="clear" w:color="auto" w:fill="CFF2FA"/>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Administrative fee—managing member</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FF2FA"/>
          </w:tcPr>
          <w:p>
            <w:pPr>
              <w:spacing w:after="0"/>
              <w:rPr>
                <w:sz w:val="19"/>
                <w:szCs w:val="19"/>
                <w:color w:val="auto"/>
              </w:rPr>
            </w:pPr>
          </w:p>
        </w:tc>
        <w:tc>
          <w:tcPr>
            <w:tcW w:w="3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060" w:type="dxa"/>
            <w:vAlign w:val="bottom"/>
            <w:shd w:val="clear" w:color="auto" w:fill="CFF2FA"/>
          </w:tcPr>
          <w:p>
            <w:pPr>
              <w:spacing w:after="0"/>
              <w:rPr>
                <w:sz w:val="19"/>
                <w:szCs w:val="19"/>
                <w:color w:val="auto"/>
              </w:rPr>
            </w:pPr>
          </w:p>
        </w:tc>
        <w:tc>
          <w:tcPr>
            <w:tcW w:w="4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1040" w:type="dxa"/>
            <w:vAlign w:val="bottom"/>
            <w:shd w:val="clear" w:color="auto" w:fill="CFF2FA"/>
          </w:tcPr>
          <w:p>
            <w:pPr>
              <w:spacing w:after="0"/>
              <w:rPr>
                <w:sz w:val="19"/>
                <w:szCs w:val="19"/>
                <w:color w:val="auto"/>
              </w:rPr>
            </w:pPr>
          </w:p>
        </w:tc>
        <w:tc>
          <w:tcPr>
            <w:tcW w:w="540" w:type="dxa"/>
            <w:vAlign w:val="bottom"/>
            <w:gridSpan w:val="2"/>
            <w:shd w:val="clear" w:color="auto" w:fill="CFF2FA"/>
          </w:tcPr>
          <w:p>
            <w:pPr>
              <w:jc w:val="right"/>
              <w:ind w:right="140"/>
              <w:spacing w:after="0"/>
              <w:rPr>
                <w:sz w:val="20"/>
                <w:szCs w:val="20"/>
                <w:color w:val="auto"/>
              </w:rPr>
            </w:pPr>
            <w:r>
              <w:rPr>
                <w:rFonts w:ascii="Arial" w:cs="Arial" w:eastAsia="Arial" w:hAnsi="Arial"/>
                <w:sz w:val="18"/>
                <w:szCs w:val="18"/>
                <w:color w:val="auto"/>
              </w:rPr>
              <w:t>(0.1)</w:t>
            </w:r>
          </w:p>
        </w:tc>
        <w:tc>
          <w:tcPr>
            <w:tcW w:w="1620" w:type="dxa"/>
            <w:vAlign w:val="bottom"/>
            <w:gridSpan w:val="2"/>
            <w:shd w:val="clear" w:color="auto" w:fill="CFF2FA"/>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8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tcPr>
          <w:p>
            <w:pPr>
              <w:jc w:val="right"/>
              <w:ind w:right="82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69.2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increased $2.0 million, or 40.0%, from $5.0 million for the first quarter of 2017 to $7.0 million for the first quarter of 2018. This increase was primarily due to a $1.8 million increase in affiliate advertising payments related to higher revenue during the first quarter of 2018, compared to the first quarter of 2017, and a 5.5%, or 362 screen, increase in the number of average affiliate screens as well as a slight increase in the associated revenue share percentages for the new affiliates for the first quarter of 2018, compared to the first quarter of 2017.</w:t>
      </w:r>
    </w:p>
    <w:p>
      <w:pPr>
        <w:spacing w:after="0" w:line="80" w:lineRule="exact"/>
        <w:rPr>
          <w:sz w:val="20"/>
          <w:szCs w:val="20"/>
          <w:color w:val="auto"/>
        </w:rPr>
      </w:pPr>
    </w:p>
    <w:p>
      <w:pPr>
        <w:ind w:left="560" w:right="120"/>
        <w:spacing w:after="0" w:line="302"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decreased $0.7 million, or 16.7%, from $4.2 million for the first quarter of 2017 to $3.5 million for the first quarter of 2018. This decrease was primarily due to a $0.8 million decrease in personnel related expenses in the first quarter of 2018 as compared to the first quarter of 2017. This decrease is primarily due to severance expense recorded in the first quarter of 2017 due to the elimination of certain positions within network operations and the resulting decrease in salary expense in the first quarter of 2018 due to the aforementioned reduction in headcount.</w:t>
      </w:r>
    </w:p>
    <w:p>
      <w:pPr>
        <w:spacing w:after="0" w:line="46" w:lineRule="exact"/>
        <w:rPr>
          <w:sz w:val="20"/>
          <w:szCs w:val="20"/>
          <w:color w:val="auto"/>
        </w:rPr>
      </w:pPr>
    </w:p>
    <w:p>
      <w:pPr>
        <w:ind w:left="560" w:right="240"/>
        <w:spacing w:after="0" w:line="264" w:lineRule="auto"/>
        <w:rPr>
          <w:sz w:val="20"/>
          <w:szCs w:val="20"/>
          <w:color w:val="auto"/>
        </w:rPr>
      </w:pPr>
      <w:r>
        <w:rPr>
          <w:rFonts w:ascii="Arial" w:cs="Arial" w:eastAsia="Arial" w:hAnsi="Arial"/>
          <w:sz w:val="18"/>
          <w:szCs w:val="18"/>
          <w:u w:val="single" w:color="auto"/>
          <w:color w:val="auto"/>
        </w:rPr>
        <w:t>Theater access fees—founding members.</w:t>
      </w:r>
      <w:r>
        <w:rPr>
          <w:rFonts w:ascii="Arial" w:cs="Arial" w:eastAsia="Arial" w:hAnsi="Arial"/>
          <w:sz w:val="18"/>
          <w:szCs w:val="18"/>
          <w:color w:val="auto"/>
        </w:rPr>
        <w:t xml:space="preserve"> Theater access fees remained flat at $20.6 million for the first quarter of 2017 and 2018. The expense associated with founding member attendance decreased $0.5 million due to a 4.1% decrease in founding member attendance which was offset by a $0.5 million increase in the expense associated with the founding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22" w:name="page23"/>
    <w:bookmarkEnd w:id="22"/>
    <w:p>
      <w:pPr>
        <w:ind w:left="560" w:right="40"/>
        <w:spacing w:after="0" w:line="277" w:lineRule="auto"/>
        <w:rPr>
          <w:sz w:val="20"/>
          <w:szCs w:val="20"/>
          <w:color w:val="auto"/>
        </w:rPr>
      </w:pPr>
      <w:r>
        <w:rPr>
          <w:rFonts w:ascii="Arial" w:cs="Arial" w:eastAsia="Arial" w:hAnsi="Arial"/>
          <w:sz w:val="18"/>
          <w:szCs w:val="18"/>
          <w:color w:val="auto"/>
        </w:rPr>
        <w:t>member digital screens that are connected to the DCN, including higher quality digital cinema projectors and related equipment, due to the annual 5% increase specified in the ESAs.</w:t>
      </w:r>
    </w:p>
    <w:p>
      <w:pPr>
        <w:spacing w:after="0" w:line="62" w:lineRule="exact"/>
        <w:rPr>
          <w:sz w:val="20"/>
          <w:szCs w:val="20"/>
          <w:color w:val="auto"/>
        </w:rPr>
      </w:pPr>
    </w:p>
    <w:p>
      <w:pPr>
        <w:ind w:left="560" w:right="40"/>
        <w:spacing w:after="0" w:line="302"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$2.1 million, or 11.6%, from $18.1 million for the first quarter of 2017 to $16.0 million for the first quarter of 2018. This decrease was primarily related to a $1.0 million decrease in non-cash impairment expense in the first quarter of 2018, compared to the first quarter of 2017, related to investments obtained in prior years in exchange for advertising services, a $0.4 million decrease in market research expense, and a $0.3 million decrease in barter expense in the first quarter of 2018, compared to the first quarter of 2017.</w:t>
      </w:r>
    </w:p>
    <w:p>
      <w:pPr>
        <w:spacing w:after="0" w:line="46"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$2.9 million, or 49.2%, from $5.9 million for the first quarter of 2017 to $8.8 million for the first quarter of 2018 primarily related to a $1.7 million increase in personnel related expenses due to a decrease in capitalized personnel costs driven by the nature of the work being performed by our information technology department during the first quarter of 2018 as compared to the first quarter of 2017, an increase in the amount of personnel focused on developing and managing digital products in the first quarter of 2018 as compared to the first quarter of 2017, and an increase in bonus expense driven by more favorable projected performance against internal bonus targets in 2018 as compared to 2017. Additionally, there was a $0.7 million increase in consulting services, the accrual of certain performance bonuses, and licensing costs related to our digital products.</w:t>
      </w:r>
    </w:p>
    <w:p>
      <w:pPr>
        <w:spacing w:after="0" w:line="70" w:lineRule="exact"/>
        <w:rPr>
          <w:sz w:val="20"/>
          <w:szCs w:val="20"/>
          <w:color w:val="auto"/>
        </w:rPr>
      </w:pPr>
    </w:p>
    <w:p>
      <w:pPr>
        <w:ind w:left="560" w:right="20"/>
        <w:spacing w:after="0" w:line="257" w:lineRule="auto"/>
        <w:rPr>
          <w:sz w:val="20"/>
          <w:szCs w:val="20"/>
          <w:color w:val="auto"/>
        </w:rPr>
      </w:pPr>
      <w:r>
        <w:rPr>
          <w:rFonts w:ascii="Arial" w:cs="Arial" w:eastAsia="Arial" w:hAnsi="Arial"/>
          <w:sz w:val="18"/>
          <w:szCs w:val="18"/>
          <w:u w:val="single" w:color="auto"/>
          <w:color w:val="auto"/>
        </w:rPr>
        <w:t>Administrative fee – managing member.</w:t>
      </w:r>
      <w:r>
        <w:rPr>
          <w:rFonts w:ascii="Arial" w:cs="Arial" w:eastAsia="Arial" w:hAnsi="Arial"/>
          <w:sz w:val="18"/>
          <w:szCs w:val="18"/>
          <w:color w:val="auto"/>
        </w:rPr>
        <w:t xml:space="preserve"> Administrative fee-managing member increased $0.4 million, or 11.8% from $3.4 million for the first quarter of 2017 to $3.8 million for the first quarter of 2018 due primarily to a $0.3 million increase in personnel related expenses driven by an increase in bonus expense due to more favorable projected performance against internal bonus targets in 2018 as compared to 2017. Amounts recorded are based on the terms of the management services agreement which states NCM LLC pays NCM, Inc. service fees which are equal to the cost of NCM, Inc. employees and any reimbursable costs incurred by NCM, Inc.</w:t>
      </w:r>
    </w:p>
    <w:p>
      <w:pPr>
        <w:spacing w:after="0" w:line="80"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decreased $0.1 million, or 1.0%, from $9.6 million for the first quarter of 2017 to $9.5 million for the first quarter of 2018 primarily due to a decrease in amortization expense of intangible assets.</w:t>
      </w:r>
    </w:p>
    <w:p>
      <w:pPr>
        <w:spacing w:after="0" w:line="62"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i w:val="1"/>
          <w:iCs w:val="1"/>
          <w:color w:val="auto"/>
        </w:rPr>
        <w:t>Non-operating expenses</w:t>
      </w:r>
      <w:r>
        <w:rPr>
          <w:rFonts w:ascii="Arial" w:cs="Arial" w:eastAsia="Arial" w:hAnsi="Arial"/>
          <w:sz w:val="18"/>
          <w:szCs w:val="18"/>
          <w:color w:val="auto"/>
        </w:rPr>
        <w:t>. Total non-operating expenses increased $0.8 million, or 6.2%, from $12.9 million for the first quarter of 2017 to $13.7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first quarter of 2018. The following table shows the changes in non-operating expense for the first quarter of 2018 and the first quarter of 2017 (in millions):</w:t>
      </w:r>
    </w:p>
    <w:p>
      <w:pPr>
        <w:spacing w:after="0" w:line="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 Change</w:t>
            </w:r>
          </w:p>
        </w:tc>
        <w:tc>
          <w:tcPr>
            <w:tcW w:w="20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38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2018</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Q1 2017</w:t>
            </w:r>
          </w:p>
        </w:tc>
        <w:tc>
          <w:tcPr>
            <w:tcW w:w="20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158"/>
              <w:spacing w:after="0" w:line="133" w:lineRule="exact"/>
              <w:rPr>
                <w:sz w:val="20"/>
                <w:szCs w:val="20"/>
                <w:color w:val="auto"/>
              </w:rPr>
            </w:pPr>
            <w:r>
              <w:rPr>
                <w:rFonts w:ascii="Arial" w:cs="Arial" w:eastAsia="Arial" w:hAnsi="Arial"/>
                <w:sz w:val="14"/>
                <w:szCs w:val="14"/>
                <w:b w:val="1"/>
                <w:bCs w:val="1"/>
                <w:color w:val="auto"/>
                <w:w w:val="93"/>
              </w:rPr>
              <w:t>Q1 2018 to</w:t>
            </w:r>
          </w:p>
        </w:tc>
        <w:tc>
          <w:tcPr>
            <w:tcW w:w="200" w:type="dxa"/>
            <w:vAlign w:val="bottom"/>
          </w:tcPr>
          <w:p>
            <w:pPr>
              <w:spacing w:after="0"/>
              <w:rPr>
                <w:sz w:val="11"/>
                <w:szCs w:val="11"/>
                <w:color w:val="auto"/>
              </w:rPr>
            </w:pPr>
          </w:p>
        </w:tc>
        <w:tc>
          <w:tcPr>
            <w:tcW w:w="13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Q1 2018 to</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tcBorders>
              <w:bottom w:val="single" w:sz="8" w:color="CFF2FA"/>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2FA"/>
            </w:tcBorders>
            <w:vMerge w:val="continue"/>
          </w:tcPr>
          <w:p>
            <w:pPr>
              <w:spacing w:after="0"/>
              <w:rPr>
                <w:sz w:val="14"/>
                <w:szCs w:val="14"/>
                <w:color w:val="auto"/>
              </w:rPr>
            </w:pPr>
          </w:p>
        </w:tc>
        <w:tc>
          <w:tcPr>
            <w:tcW w:w="20" w:type="dxa"/>
            <w:vAlign w:val="bottom"/>
            <w:tcBorders>
              <w:bottom w:val="single" w:sz="8" w:color="CFF2FA"/>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3"/>
              </w:rPr>
              <w:t>Q1 2017</w:t>
            </w:r>
          </w:p>
        </w:tc>
        <w:tc>
          <w:tcPr>
            <w:tcW w:w="200" w:type="dxa"/>
            <w:vAlign w:val="bottom"/>
            <w:tcBorders>
              <w:bottom w:val="single" w:sz="8" w:color="CFF2FA"/>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Q1 2017</w:t>
            </w:r>
          </w:p>
        </w:tc>
        <w:tc>
          <w:tcPr>
            <w:tcW w:w="240" w:type="dxa"/>
            <w:vAlign w:val="bottom"/>
            <w:tcBorders>
              <w:bottom w:val="single" w:sz="8" w:color="CFF2FA"/>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Interest on borrowings</w:t>
            </w:r>
          </w:p>
        </w:tc>
        <w:tc>
          <w:tcPr>
            <w:tcW w:w="1040" w:type="dxa"/>
            <w:vAlign w:val="bottom"/>
            <w:shd w:val="clear" w:color="auto" w:fill="CFF2FA"/>
          </w:tcPr>
          <w:p>
            <w:pPr>
              <w:jc w:val="right"/>
              <w:ind w:right="88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2FA"/>
          </w:tcPr>
          <w:p>
            <w:pPr>
              <w:jc w:val="right"/>
              <w:spacing w:after="0"/>
              <w:rPr>
                <w:sz w:val="20"/>
                <w:szCs w:val="20"/>
                <w:color w:val="auto"/>
              </w:rPr>
            </w:pPr>
            <w:r>
              <w:rPr>
                <w:rFonts w:ascii="Arial" w:cs="Arial" w:eastAsia="Arial" w:hAnsi="Arial"/>
                <w:sz w:val="18"/>
                <w:szCs w:val="18"/>
                <w:color w:val="auto"/>
                <w:w w:val="79"/>
              </w:rPr>
              <w:t>13.8</w:t>
            </w:r>
          </w:p>
        </w:tc>
        <w:tc>
          <w:tcPr>
            <w:tcW w:w="140" w:type="dxa"/>
            <w:vAlign w:val="bottom"/>
            <w:shd w:val="clear" w:color="auto" w:fill="CFF2FA"/>
          </w:tcPr>
          <w:p>
            <w:pPr>
              <w:spacing w:after="0"/>
              <w:rPr>
                <w:sz w:val="19"/>
                <w:szCs w:val="19"/>
                <w:color w:val="auto"/>
              </w:rPr>
            </w:pPr>
          </w:p>
        </w:tc>
        <w:tc>
          <w:tcPr>
            <w:tcW w:w="340" w:type="dxa"/>
            <w:vAlign w:val="bottom"/>
            <w:gridSpan w:val="2"/>
            <w:shd w:val="clear" w:color="auto" w:fill="CFF2FA"/>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2FA"/>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FF2FA"/>
          </w:tcPr>
          <w:p>
            <w:pPr>
              <w:spacing w:after="0"/>
              <w:rPr>
                <w:sz w:val="19"/>
                <w:szCs w:val="19"/>
                <w:color w:val="auto"/>
              </w:rPr>
            </w:pP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FF2FA"/>
          </w:tcPr>
          <w:p>
            <w:pPr>
              <w:spacing w:after="0"/>
              <w:rPr>
                <w:sz w:val="19"/>
                <w:szCs w:val="19"/>
                <w:color w:val="auto"/>
              </w:rPr>
            </w:pPr>
          </w:p>
        </w:tc>
        <w:tc>
          <w:tcPr>
            <w:tcW w:w="1620" w:type="dxa"/>
            <w:vAlign w:val="bottom"/>
            <w:gridSpan w:val="2"/>
            <w:shd w:val="clear" w:color="auto" w:fill="CFF2FA"/>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800" w:type="dxa"/>
            <w:vAlign w:val="bottom"/>
            <w:shd w:val="clear" w:color="auto" w:fill="CFF2FA"/>
          </w:tcPr>
          <w:p>
            <w:pPr>
              <w:spacing w:after="0"/>
              <w:rPr>
                <w:sz w:val="20"/>
                <w:szCs w:val="20"/>
                <w:color w:val="auto"/>
              </w:rPr>
            </w:pPr>
            <w:r>
              <w:rPr>
                <w:rFonts w:ascii="Arial" w:cs="Arial" w:eastAsia="Arial" w:hAnsi="Arial"/>
                <w:sz w:val="18"/>
                <w:szCs w:val="18"/>
                <w:color w:val="auto"/>
              </w:rPr>
              <w:t>Other non-operating income</w:t>
            </w:r>
          </w:p>
        </w:tc>
        <w:tc>
          <w:tcPr>
            <w:tcW w:w="1040" w:type="dxa"/>
            <w:vAlign w:val="bottom"/>
            <w:shd w:val="clear" w:color="auto" w:fill="CFF2FA"/>
          </w:tcPr>
          <w:p>
            <w:pPr>
              <w:spacing w:after="0"/>
              <w:rPr>
                <w:sz w:val="19"/>
                <w:szCs w:val="19"/>
                <w:color w:val="auto"/>
              </w:rPr>
            </w:pPr>
          </w:p>
        </w:tc>
        <w:tc>
          <w:tcPr>
            <w:tcW w:w="46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2FA"/>
          </w:tcPr>
          <w:p>
            <w:pPr>
              <w:spacing w:after="0"/>
              <w:rPr>
                <w:sz w:val="19"/>
                <w:szCs w:val="19"/>
                <w:color w:val="auto"/>
              </w:rPr>
            </w:pPr>
          </w:p>
        </w:tc>
        <w:tc>
          <w:tcPr>
            <w:tcW w:w="260" w:type="dxa"/>
            <w:vAlign w:val="bottom"/>
            <w:shd w:val="clear" w:color="auto" w:fill="CFF2FA"/>
          </w:tcPr>
          <w:p>
            <w:pPr>
              <w:spacing w:after="0"/>
              <w:rPr>
                <w:sz w:val="19"/>
                <w:szCs w:val="19"/>
                <w:color w:val="auto"/>
              </w:rPr>
            </w:pPr>
          </w:p>
        </w:tc>
        <w:tc>
          <w:tcPr>
            <w:tcW w:w="1420" w:type="dxa"/>
            <w:vAlign w:val="bottom"/>
            <w:gridSpan w:val="2"/>
            <w:shd w:val="clear" w:color="auto" w:fill="CFF2FA"/>
          </w:tcPr>
          <w:p>
            <w:pPr>
              <w:jc w:val="right"/>
              <w:ind w:right="160"/>
              <w:spacing w:after="0"/>
              <w:rPr>
                <w:sz w:val="20"/>
                <w:szCs w:val="20"/>
                <w:color w:val="auto"/>
              </w:rPr>
            </w:pPr>
            <w:r>
              <w:rPr>
                <w:rFonts w:ascii="Arial" w:cs="Arial" w:eastAsia="Arial" w:hAnsi="Arial"/>
                <w:sz w:val="18"/>
                <w:szCs w:val="18"/>
                <w:color w:val="auto"/>
              </w:rPr>
              <w:t>(0.1)</w:t>
            </w:r>
          </w:p>
        </w:tc>
        <w:tc>
          <w:tcPr>
            <w:tcW w:w="2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180" w:type="dxa"/>
            <w:vAlign w:val="bottom"/>
            <w:shd w:val="clear" w:color="auto" w:fill="CFF2FA"/>
          </w:tcPr>
          <w:p>
            <w:pPr>
              <w:jc w:val="right"/>
              <w:spacing w:after="0"/>
              <w:rPr>
                <w:sz w:val="20"/>
                <w:szCs w:val="20"/>
                <w:color w:val="auto"/>
              </w:rPr>
            </w:pPr>
            <w:r>
              <w:rPr>
                <w:rFonts w:ascii="Arial" w:cs="Arial" w:eastAsia="Arial" w:hAnsi="Arial"/>
                <w:sz w:val="18"/>
                <w:szCs w:val="18"/>
                <w:color w:val="auto"/>
              </w:rPr>
              <w:t>0.1</w:t>
            </w:r>
          </w:p>
        </w:tc>
        <w:tc>
          <w:tcPr>
            <w:tcW w:w="1820" w:type="dxa"/>
            <w:vAlign w:val="bottom"/>
            <w:gridSpan w:val="3"/>
            <w:shd w:val="clear" w:color="auto" w:fill="CFF2FA"/>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3800" w:type="dxa"/>
            <w:vAlign w:val="bottom"/>
          </w:tcPr>
          <w:p>
            <w:pPr>
              <w:ind w:left="240"/>
              <w:spacing w:after="0"/>
              <w:rPr>
                <w:sz w:val="20"/>
                <w:szCs w:val="20"/>
                <w:color w:val="auto"/>
              </w:rPr>
            </w:pPr>
            <w:r>
              <w:rPr>
                <w:rFonts w:ascii="Arial" w:cs="Arial" w:eastAsia="Arial" w:hAnsi="Arial"/>
                <w:sz w:val="18"/>
                <w:szCs w:val="18"/>
                <w:color w:val="auto"/>
              </w:rPr>
              <w:t>Total non-operating expenses</w:t>
            </w: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820" w:type="dxa"/>
            <w:vAlign w:val="bottom"/>
            <w:gridSpan w:val="3"/>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The increase in non-operating expense was due primarily to a $0.6 million increase in interest on borrowings primarily related to a higher LIBOR rate on our term loans for the first quarter of 2018, compared to the first quarter of 2017.</w:t>
      </w:r>
    </w:p>
    <w:p>
      <w:pPr>
        <w:spacing w:after="0" w:line="62"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decreased $4.9 million from $7.9 million for the first quarter of 2017 to $3.0 million for the first quarter of 2018.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net loss was due to an $8.3 million increase in revenue partially offset by a $2.4 increase in operating expenses, a $0.8 million increase in non-operating expenses, as discussed above, and a $0.2 million increase in income tax expense.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Trends and Uncertainties Related to our Business, Industry and Corporate Structure</w:t>
      </w:r>
    </w:p>
    <w:p>
      <w:pPr>
        <w:spacing w:after="0" w:line="121" w:lineRule="exact"/>
        <w:rPr>
          <w:sz w:val="20"/>
          <w:szCs w:val="20"/>
          <w:color w:val="auto"/>
        </w:rPr>
      </w:pPr>
    </w:p>
    <w:p>
      <w:pPr>
        <w:ind w:firstLine="555"/>
        <w:spacing w:after="0" w:line="285" w:lineRule="auto"/>
        <w:rPr>
          <w:sz w:val="20"/>
          <w:szCs w:val="20"/>
          <w:color w:val="auto"/>
        </w:rPr>
      </w:pPr>
      <w:r>
        <w:rPr>
          <w:rFonts w:ascii="Arial" w:cs="Arial" w:eastAsia="Arial" w:hAnsi="Arial"/>
          <w:sz w:val="16"/>
          <w:szCs w:val="16"/>
          <w:b w:val="1"/>
          <w:bCs w:val="1"/>
          <w:i w:val="1"/>
          <w:iCs w:val="1"/>
          <w:color w:val="auto"/>
        </w:rPr>
        <w:t>Our Marketplace</w:t>
      </w:r>
      <w:r>
        <w:rPr>
          <w:rFonts w:ascii="Arial" w:cs="Arial" w:eastAsia="Arial" w:hAnsi="Arial"/>
          <w:sz w:val="16"/>
          <w:szCs w:val="16"/>
          <w:color w:val="auto"/>
        </w:rPr>
        <w:t>— Changes in the current macro-economic environment and changes in the national, regional and local advertising markets present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uncertainties that could impact our results of operations, including the timing and amount of spending from our advertising clients as expenditures from advertisers tend to be cyclical, reflecting overall economic conditions, as well as our clients’ budgeting and buying patterns. In the current environment, it is difficult to know if these changes are short-term or temporary in nature or are long-term trends and changes. These changes include increased competition related to the expansion of online and mobile advertising platforms as well as fluctuations from quarter to quarter of the demand from national, regional and local advertisers. Further, we could negatively be impacted by factors that could reduce the viewership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such as the expansion of reserved seating (utilized in approximately 45.4% of our network as of March 29, 2018), online ticketing, an increase in the number and length of trailers for upcoming films, increased dwell time of patrons in exhibitor lobbies before showtime and lower network attendance, which could result from shortening of release windows, more alternative methods of delivering movies to consumers, lower consumer confidence and disposable income and a decline in the motion picture box office. The motion picture box office could be impacted by audience’s interest in the available motion pictures, shrinking theatrical exclusive release windows, and the marketing efforts of the major motion picture studios. These factors may affect the attractiveness of our offerings to advertisers. If pre-show viewership declines significantly, we will be required to provide additional advertising time (makegoods) to national advertisers to reach agreed-on audience delivery thresholds. National advertising sales and rates also are dependent on the methodology used to measure audience impressions. If a change is made to this methodology that reflects fewer audience impressions available during the pre-show, this would adversely affect our revenues and results of operations. The impact to our business associated with these issues could be mitigated over time due to factors including the increase in salable advertising impressions, better geographic coverage related to the expansion of our network, diversification and growth of our advertising client base, improvements in </w:t>
      </w:r>
      <w:r>
        <w:rPr>
          <w:rFonts w:ascii="Arial" w:cs="Arial" w:eastAsia="Arial" w:hAnsi="Arial"/>
          <w:sz w:val="16"/>
          <w:szCs w:val="16"/>
          <w:i w:val="1"/>
          <w:iCs w:val="1"/>
          <w:color w:val="auto"/>
        </w:rPr>
        <w:t xml:space="preserve">Noovie </w:t>
      </w:r>
      <w:r>
        <w:rPr>
          <w:rFonts w:ascii="Arial" w:cs="Arial" w:eastAsia="Arial" w:hAnsi="Arial"/>
          <w:sz w:val="16"/>
          <w:szCs w:val="16"/>
          <w:color w:val="auto"/>
        </w:rPr>
        <w:t>pre-show engagement and upgrades to our inventory management and data management systems. We could also benefit if the effectiveness of cinema</w:t>
      </w:r>
      <w:r>
        <w:rPr>
          <w:rFonts w:ascii="Arial" w:cs="Arial" w:eastAsia="Arial" w:hAnsi="Arial"/>
          <w:sz w:val="16"/>
          <w:szCs w:val="16"/>
          <w:i w:val="1"/>
          <w:iCs w:val="1"/>
          <w:color w:val="auto"/>
        </w:rPr>
        <w:t xml:space="preserve"> </w:t>
      </w:r>
      <w:r>
        <w:rPr>
          <w:rFonts w:ascii="Arial" w:cs="Arial" w:eastAsia="Arial" w:hAnsi="Arial"/>
          <w:sz w:val="16"/>
          <w:szCs w:val="16"/>
          <w:color w:val="auto"/>
        </w:rPr>
        <w:t>advertising improves relative to other advertising mediums.</w:t>
      </w:r>
    </w:p>
    <w:p>
      <w:pPr>
        <w:spacing w:after="0" w:line="65"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Through continued participation in the advertising upfront marketplace, we believe that over time we will be able to secure more upfront commitments from advertisers. This will allow us to bundle several client flights throughout the year in an effort to stabilize month-to-month and quarter-to-quarter volatility. Consistent with the television industry upfront booking practices, a portion of our upfront commitments have cancellation options or options to reduce the amount that advertisers may purchase and we would need to rely on the scatter market to replace those commitments. In addition, advertising sold through our upfront commitments may be placed throughout the period very irregularly which may affect our overall sales; for example, if a substantial portion of advertising from our upfront commitments is scheduled for peak periods of advertising demand, we will have fewer peak period advertising slots available for sale into the higher priced scatter market. Volatility in scatter market demand could cause our financial results to vary period to period.</w:t>
      </w:r>
    </w:p>
    <w:p>
      <w:pPr>
        <w:spacing w:after="0" w:line="59"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first three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was as follows.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89"/>
              </w:rPr>
              <w:t>Number of screens</w:t>
            </w:r>
          </w:p>
        </w:tc>
        <w:tc>
          <w:tcPr>
            <w:tcW w:w="1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38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Founding</w:t>
            </w:r>
          </w:p>
        </w:tc>
        <w:tc>
          <w:tcPr>
            <w:tcW w:w="14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6"/>
              </w:rPr>
              <w:t>Network Affiliates</w:t>
            </w: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Members</w:t>
            </w:r>
          </w:p>
        </w:tc>
        <w:tc>
          <w:tcPr>
            <w:tcW w:w="140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29, 2017</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16,808</w:t>
            </w:r>
          </w:p>
        </w:tc>
        <w:tc>
          <w:tcPr>
            <w:tcW w:w="2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 xml:space="preserve">New affiliates </w:t>
            </w:r>
            <w:r>
              <w:rPr>
                <w:rFonts w:ascii="Arial" w:cs="Arial" w:eastAsia="Arial" w:hAnsi="Arial"/>
                <w:sz w:val="18"/>
                <w:szCs w:val="18"/>
                <w:i w:val="1"/>
                <w:iCs w:val="1"/>
                <w:color w:val="auto"/>
              </w:rPr>
              <w:t>(1)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Closures, net of openings</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Balance as of March 29, 2018</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16,787</w:t>
            </w:r>
          </w:p>
        </w:tc>
        <w:tc>
          <w:tcPr>
            <w:tcW w:w="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2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146050</wp:posOffset>
            </wp:positionV>
            <wp:extent cx="13379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17" w:lineRule="exact"/>
        <w:rPr>
          <w:sz w:val="20"/>
          <w:szCs w:val="20"/>
          <w:color w:val="auto"/>
        </w:rPr>
      </w:pPr>
    </w:p>
    <w:p>
      <w:pPr>
        <w:ind w:left="1540" w:hanging="398"/>
        <w:spacing w:after="0"/>
        <w:tabs>
          <w:tab w:leader="none" w:pos="154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Represents two new affiliates added to our network during the first three months of 2018.</w:t>
      </w:r>
    </w:p>
    <w:p>
      <w:pPr>
        <w:spacing w:after="0" w:line="11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Thus far in 2018, we have also contracted with another network affiliate for 281 screens that will be added to our network later in 2018. We believe that adding screens and attendees to our network will provide our advertising clients with a better marketing product with increased reach and improved geographic coverage. We have begun to offer our advertising clients better audience targeting capabilities and more robust campaign data analytics that we believe will provide a better product offering and should expand our overall national client base. We also believe that the continued growth of our market coverage could strengthen our selling proposition and competitive positioning against other national, regional and local video advertising platforms, including television, online and mobile video platforms and other out of home video advertising platforms.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4" w:name="page25"/>
    <w:bookmarkEnd w:id="24"/>
    <w:p>
      <w:pPr>
        <w:ind w:firstLine="555"/>
        <w:spacing w:after="0" w:line="287" w:lineRule="auto"/>
        <w:rPr>
          <w:sz w:val="20"/>
          <w:szCs w:val="20"/>
          <w:color w:val="auto"/>
        </w:rPr>
      </w:pPr>
      <w:r>
        <w:rPr>
          <w:rFonts w:ascii="Arial" w:cs="Arial" w:eastAsia="Arial" w:hAnsi="Arial"/>
          <w:sz w:val="16"/>
          <w:szCs w:val="16"/>
          <w:b w:val="1"/>
          <w:bCs w:val="1"/>
          <w:i w:val="1"/>
          <w:iCs w:val="1"/>
          <w:color w:val="auto"/>
        </w:rPr>
        <w:t>Memorandum of Understanding with AMC</w:t>
      </w:r>
      <w:r>
        <w:rPr>
          <w:rFonts w:ascii="Arial" w:cs="Arial" w:eastAsia="Arial" w:hAnsi="Arial"/>
          <w:sz w:val="16"/>
          <w:szCs w:val="16"/>
          <w:color w:val="auto"/>
        </w:rPr>
        <w:t>—During the first quarter of 2017, NCM, Inc. and NCM LLC entered into a binding MOU with AMC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effectuate aspects of the Final Judgment entered into by the DOJ in connection with AMC’s acquisition of Carmike. Pursuant to the MOU, AMC received common membership units in respect of the annual attendance at such Carmike theaters in accordance with the Common Unit Adjustment Agreement during the first quarter of 2017. Since these theaters are subject to an existing on-screen advertising agreement with an alternative provider, AMC will make integration payments to us reflecting the estimated advertising cash flow that we would have generated if we had exclusive access to sell advertising in those theaters. The integration payments will continue until the earlier of (i) the date the theaters are transferred to our network or (ii) the expiration of the ESA. Integration payments are calculated based upon the advertising cash flow that NCM LLC would have generated if it had exclusive access to sell advertising in the theaters with pre-existing advertising agreements and fluctuate based on earnings and Adjusted OIBDA. The ESA additionally entitles NCM LLC to payments related to the founding members’ on-screen advertising commitments under their beverage concessionaire agreements for encumbered theaters. These payments are also accounted for as a reduction to the intangible asset. During the three months ended March 29, 2018 and March 30, 2017, the Company recorded a reduction to net intangible assets of $2.2 million and $0.4 million, respectively, related to integration and other encumbered theater payments. During the three months ended March 29, 2018 and March 30, 2017, AMC and Cinemark paid a total of $9.4 million and $1.0 million, respectively.</w:t>
      </w:r>
    </w:p>
    <w:p>
      <w:pPr>
        <w:spacing w:after="0" w:line="61"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Utilization and Pricing</w:t>
      </w:r>
      <w:r>
        <w:rPr>
          <w:rFonts w:ascii="Arial" w:cs="Arial" w:eastAsia="Arial" w:hAnsi="Arial"/>
          <w:sz w:val="17"/>
          <w:szCs w:val="17"/>
          <w:color w:val="auto"/>
        </w:rPr>
        <w:t>— We have experienced volatility in our pricing (CPMs) over the years, with annual national CPM increases (decreases)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ranging from (16.4%) to 9.7% over the last five years. In the first three months of 2018, we experienced an increase of 2.3% in national advertising CPMs (excluding beverage revenue) compared to the first three months of 2017. This volatility in pricing can be driven by increased competition from other national video networks, including online and mobile advertising platforms, television networks and other out-of-home video networks and seasonal marketplace supply and demand characteristics. Volatility in pricing is also caused by changes in our customer mix period to period due to the variation in CPMs charged to each customer. We have also experienced volatility in our utilization over the years, with annual national inventory utilization ranging from 109.3% to 128.3% over the last five years. We experience even more substantial volatility quarter-to-quarter. This volatility in utilization can be driven by the loss or addition of one or more significant national contracts, whereby the timing and amount of these national contracts can be based upon the advertising budgets of our customers, product launches, the financial performance of our customers or other industry or macro-economic factors. We expect our CPMs and utilization to continue to be impacted period to period based upon the factors described above.</w:t>
      </w:r>
    </w:p>
    <w:p>
      <w:pPr>
        <w:spacing w:after="0" w:line="70" w:lineRule="exact"/>
        <w:rPr>
          <w:sz w:val="20"/>
          <w:szCs w:val="20"/>
          <w:color w:val="auto"/>
        </w:rPr>
      </w:pPr>
    </w:p>
    <w:p>
      <w:pPr>
        <w:ind w:right="40" w:firstLine="555"/>
        <w:spacing w:after="0" w:line="270"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pre-show program can be sold to the founding members to satisfy their on-screen advertising commitments under their beverage concessionaire agreements. For the first three months of 2018 and 2017,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acquired as part of these beverage concessionaire agreements decline with the other founding members, this premium time will be available for sale to other clients. Per the ESAs, the time sold to the founding member beverage supplier is priced equal to the advertising CPM for the previous year charged by us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limited to the highest advertising CPM being then-charged by us. Due to a 1.1% increase in segment one CPMs in 2017, the CPM on our beverage concessionaire revenue increased during the first quarter of 2018 by 1.1% and the remainder of 2018 will increase by an equivalent percentage.</w:t>
      </w:r>
    </w:p>
    <w:p>
      <w:pPr>
        <w:spacing w:after="0" w:line="70" w:lineRule="exact"/>
        <w:rPr>
          <w:sz w:val="20"/>
          <w:szCs w:val="20"/>
          <w:color w:val="auto"/>
        </w:rPr>
      </w:pPr>
    </w:p>
    <w:p>
      <w:pPr>
        <w:ind w:right="120" w:firstLine="555"/>
        <w:spacing w:after="0" w:line="287" w:lineRule="auto"/>
        <w:rPr>
          <w:sz w:val="20"/>
          <w:szCs w:val="20"/>
          <w:color w:val="auto"/>
        </w:rPr>
      </w:pPr>
      <w:r>
        <w:rPr>
          <w:rFonts w:ascii="Arial" w:cs="Arial" w:eastAsia="Arial" w:hAnsi="Arial"/>
          <w:sz w:val="16"/>
          <w:szCs w:val="16"/>
          <w:b w:val="1"/>
          <w:bCs w:val="1"/>
          <w:i w:val="1"/>
          <w:iCs w:val="1"/>
          <w:color w:val="auto"/>
        </w:rPr>
        <w:t>Theater Access Fees</w:t>
      </w:r>
      <w:r>
        <w:rPr>
          <w:rFonts w:ascii="Arial" w:cs="Arial" w:eastAsia="Arial" w:hAnsi="Arial"/>
          <w:sz w:val="16"/>
          <w:szCs w:val="16"/>
          <w:color w:val="auto"/>
        </w:rPr>
        <w:t>—In consideration for our access to the founding members’ theater attendees for on-screen advertising and use of lobbies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this last increase occurring in fiscal year 2017 and the payment per digital screen increases annually by 5%. Pursuant to the ESAs, the theater access fee paid to the members of NCM LLC included an additional fee for access to the higher quality digital cinema systems. This additional fee will continue to increase as additional screens are equipped with the new digital cinema equipment and the fee increasing annually by 5%. As of March 29, 2018, 98% of our founding member network screens were showing advertising on digital cinema projectors, and thus the future impact on the theater access fee related to additional digital cinema installations within existing founding member theaters is expected to be minimal. The theater access fee paid in the aggregate to all founding members cannot be less than 12% of NCM LLC’s aggregate advertising revenue (as defined in the ESA), or it will be adjusted upward to reach this minimum payment. As of March 29, 2018 and December 28, 2017, we had no liabilities recorded for the minimum payment, as the theater access fee was in excess of the minimum.</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Trends and Uncertainties Related to Liquidity and Financial Performance</w:t>
      </w:r>
    </w:p>
    <w:p>
      <w:pPr>
        <w:spacing w:after="0" w:line="121" w:lineRule="exact"/>
        <w:rPr>
          <w:sz w:val="20"/>
          <w:szCs w:val="20"/>
          <w:color w:val="auto"/>
        </w:rPr>
      </w:pPr>
    </w:p>
    <w:p>
      <w:pPr>
        <w:ind w:right="20" w:firstLine="555"/>
        <w:spacing w:after="0" w:line="254" w:lineRule="auto"/>
        <w:rPr>
          <w:sz w:val="20"/>
          <w:szCs w:val="20"/>
          <w:color w:val="auto"/>
        </w:rPr>
      </w:pPr>
      <w:r>
        <w:rPr>
          <w:rFonts w:ascii="Arial" w:cs="Arial" w:eastAsia="Arial" w:hAnsi="Arial"/>
          <w:sz w:val="18"/>
          <w:szCs w:val="18"/>
          <w:b w:val="1"/>
          <w:bCs w:val="1"/>
          <w:i w:val="1"/>
          <w:iCs w:val="1"/>
          <w:color w:val="auto"/>
        </w:rPr>
        <w:t>Debt</w:t>
      </w:r>
      <w:r>
        <w:rPr>
          <w:rFonts w:ascii="Arial" w:cs="Arial" w:eastAsia="Arial" w:hAnsi="Arial"/>
          <w:sz w:val="18"/>
          <w:szCs w:val="18"/>
          <w:color w:val="auto"/>
        </w:rPr>
        <w:t>—During the past several years, we amended our senior secured credit facility to extend the maturity, expand the revolver availability and reduce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interest rate spreads. In August 2016, we completed a private placement of $250.0 million in aggregate principal amount of 5.750% Senior Unsecured Notes due in 2026. A portion of the proceeds were used to redeem our $200.0 million 7.875% Senior Unsecured Notes due in 2021. The remaining proceeds, after the payment of fees and the redemption premium were used to pay down the balance on our revolving credit facility. As a result of these financing transactions on our revolving credit facility and senior notes, we extended the average maturities of our debt and as of March 29, 2018 the weighted average remaining maturity was 4.4 years. As of March 29, 2018, approximately 68% of our total borrowings bear interest at fixed rates. The remaining 32% of our borrowings bear interest at variable rates and as such, our net income could fluctuate with market interest rate fluctuations that could increase the interest paid on our borrowings.</w:t>
      </w:r>
    </w:p>
    <w:p>
      <w:pPr>
        <w:spacing w:after="0" w:line="84"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The senior secured credit facility contains a number of covenants and financial ratio requirements, with which we were in compliance at March 29, 2018, including a consolidated net senior secured leverage ratio as of March 29, 2018 of 3.1 versus a covenant of 6.5 times for each quarterly period. For purposes of calculating the net consolidated senior secured leverage ratio (senior secured debt divided by Adjusted OIBDA), Adjusted OIBDA includes integration payments by the founding members. We are permitted to make quarterly dividend payments and other payments based on leverage ratios for us and any subsidiaries so long as no default or event of default has occurred and continues to occur. The quarterly dividend payments and other distributions are made if the consolidated net senior secured leverage ratio is less than or equal to 6.5 times. Refer to Note 5—</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to the unaudited Condensed Financial Statements in Item 1 of this Form 10-Q for more information regarding our borrowings.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Related to Ownership</w:t>
      </w:r>
    </w:p>
    <w:p>
      <w:pPr>
        <w:spacing w:after="0" w:line="12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the Common Unit Adjustment Agreement with the founding members, on an annual basis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the amount of common membership units to be issued to or returned by the founding members based on theater additions or dispositions during the previous year. In addition, the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64"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During the first quarter of 2018, NCM LLC issued 2,821,710 (3,736,860 issued net of 915,150 returned) common membership units to its founding members for the rights to exclusive access to the theater screens and attendees added, net of dispositions by the founding members to NCM LLC’s network during the 2017 fiscal year and NCM LLC recorded a net intangible asset of $15.9 million during the first quarter of 2018 as a result of the Common Unit Adjustment.</w:t>
      </w:r>
    </w:p>
    <w:p>
      <w:pPr>
        <w:spacing w:after="0" w:line="79"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color w:val="auto"/>
        </w:rPr>
        <w:t>Overall, NCM, Inc.’s ownership in NCM LLC decreased to 48.8% as of March 29, 2018 compared to 49.5% at December 28, 2017 due primarily to the common unit adjustment described above.</w:t>
      </w:r>
    </w:p>
    <w:p>
      <w:pPr>
        <w:spacing w:after="0" w:line="62" w:lineRule="exact"/>
        <w:rPr>
          <w:sz w:val="20"/>
          <w:szCs w:val="20"/>
          <w:color w:val="auto"/>
        </w:rPr>
      </w:pPr>
    </w:p>
    <w:p>
      <w:pPr>
        <w:ind w:right="140" w:firstLine="555"/>
        <w:spacing w:after="0" w:line="289" w:lineRule="auto"/>
        <w:rPr>
          <w:sz w:val="20"/>
          <w:szCs w:val="20"/>
          <w:color w:val="auto"/>
        </w:rPr>
      </w:pPr>
      <w:r>
        <w:rPr>
          <w:rFonts w:ascii="Arial" w:cs="Arial" w:eastAsia="Arial" w:hAnsi="Arial"/>
          <w:sz w:val="16"/>
          <w:szCs w:val="16"/>
          <w:b w:val="1"/>
          <w:bCs w:val="1"/>
          <w:i w:val="1"/>
          <w:iCs w:val="1"/>
          <w:color w:val="auto"/>
        </w:rPr>
        <w:t>AMC Mandatory Ownership Divestitures</w:t>
      </w:r>
      <w:r>
        <w:rPr>
          <w:rFonts w:ascii="Arial" w:cs="Arial" w:eastAsia="Arial" w:hAnsi="Arial"/>
          <w:sz w:val="16"/>
          <w:szCs w:val="16"/>
          <w:color w:val="auto"/>
        </w:rPr>
        <w:t>—Pursuant to the Final Judgment, AMC is required to divest the majority of its equity interests in NCM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and NCM, Inc., so that by June 20, 2019 it owns no more than 4.99% of NCM LLC’s common membership units and NCM, Inc. common stock, taken together, on a fully converted basis (“NCM’s outstanding equity interests”). AMC must complete the divestiture per the following schedule: (i) on or before December 20, 2017, AMC must own no more than 15.0% of NCM’s outstanding equity interests, (ii) on or before December 20, 2018, AMC must own no more than 7.5% of NCM’s outstanding equity interests and (iii) on or before June 20, 2019, AMC must own no more than 4.99% of NCM’s outstanding equity interests. Pursuant to the MOU, AMC also has agreed, among other things, subject to limited exceptions to retain at least 4.5% of NCM’s outstanding equity interests during the term of the Final Judgment, subject to certain exceptions which allow for certain sell downs after the 30-month anniversary of the MOU. As of March 29, 2018, AMC owned 14.3% of NCM’s outstanding equity interests. When AMC redeems its common membership units for NCM, Inc. common stock, NCM, Inc.’s ownership would increase proportionally and the number of shares outstanding of NCM, Inc. common stock would increase.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00" w:firstLine="555"/>
        <w:spacing w:after="0" w:line="286"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our founding members and managing member, interest or principal payments on our term loan and the Senior Secured Notes and Senior Unsecured Notes.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26" w:name="page27"/>
    <w:bookmarkEnd w:id="26"/>
    <w:p>
      <w:pPr>
        <w:ind w:left="56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Change</w:t>
            </w:r>
          </w:p>
        </w:tc>
      </w:tr>
      <w:tr>
        <w:trPr>
          <w:trHeight w:val="133"/>
        </w:trPr>
        <w:tc>
          <w:tcPr>
            <w:tcW w:w="50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rPr>
              <w:t>March 29,</w:t>
            </w: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9"/>
              <w:spacing w:after="0" w:line="133" w:lineRule="exact"/>
              <w:rPr>
                <w:sz w:val="20"/>
                <w:szCs w:val="20"/>
                <w:color w:val="auto"/>
              </w:rPr>
            </w:pPr>
            <w:r>
              <w:rPr>
                <w:rFonts w:ascii="Arial" w:cs="Arial" w:eastAsia="Arial" w:hAnsi="Arial"/>
                <w:sz w:val="14"/>
                <w:szCs w:val="14"/>
                <w:b w:val="1"/>
                <w:bCs w:val="1"/>
                <w:color w:val="auto"/>
                <w:w w:val="90"/>
              </w:rPr>
              <w:t>December 28,</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59"/>
              <w:spacing w:after="0" w:line="133" w:lineRule="exact"/>
              <w:rPr>
                <w:sz w:val="20"/>
                <w:szCs w:val="20"/>
                <w:color w:val="auto"/>
              </w:rPr>
            </w:pPr>
            <w:r>
              <w:rPr>
                <w:rFonts w:ascii="Arial" w:cs="Arial" w:eastAsia="Arial" w:hAnsi="Arial"/>
                <w:sz w:val="14"/>
                <w:szCs w:val="14"/>
                <w:b w:val="1"/>
                <w:bCs w:val="1"/>
                <w:color w:val="auto"/>
                <w:w w:val="93"/>
              </w:rPr>
              <w:t>Q1 2018 to</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9"/>
              <w:spacing w:after="0" w:line="133" w:lineRule="exact"/>
              <w:rPr>
                <w:sz w:val="20"/>
                <w:szCs w:val="20"/>
                <w:color w:val="auto"/>
              </w:rPr>
            </w:pPr>
            <w:r>
              <w:rPr>
                <w:rFonts w:ascii="Arial" w:cs="Arial" w:eastAsia="Arial" w:hAnsi="Arial"/>
                <w:sz w:val="14"/>
                <w:szCs w:val="14"/>
                <w:b w:val="1"/>
                <w:bCs w:val="1"/>
                <w:color w:val="auto"/>
                <w:w w:val="93"/>
              </w:rPr>
              <w:t>Q1 2018 to</w:t>
            </w:r>
          </w:p>
        </w:tc>
        <w:tc>
          <w:tcPr>
            <w:tcW w:w="100" w:type="dxa"/>
            <w:vAlign w:val="bottom"/>
          </w:tcPr>
          <w:p>
            <w:pPr>
              <w:spacing w:after="0"/>
              <w:rPr>
                <w:sz w:val="11"/>
                <w:szCs w:val="11"/>
                <w:color w:val="auto"/>
              </w:rPr>
            </w:pPr>
          </w:p>
        </w:tc>
      </w:tr>
      <w:tr>
        <w:trPr>
          <w:trHeight w:val="17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YE 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Q1 2017</w:t>
            </w: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 xml:space="preserve">Revolver availability </w:t>
            </w:r>
            <w:r>
              <w:rPr>
                <w:rFonts w:ascii="Arial" w:cs="Arial" w:eastAsia="Arial" w:hAnsi="Arial"/>
                <w:sz w:val="18"/>
                <w:szCs w:val="18"/>
                <w:i w:val="1"/>
                <w:iCs w:val="1"/>
                <w:color w:val="auto"/>
              </w:rPr>
              <w:t>(1)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23"/>
        </w:trPr>
        <w:tc>
          <w:tcPr>
            <w:tcW w:w="50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liquidity</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560" w:hanging="552"/>
        <w:spacing w:after="0" w:line="257" w:lineRule="auto"/>
        <w:tabs>
          <w:tab w:leader="none" w:pos="560" w:val="left"/>
        </w:tabs>
        <w:numPr>
          <w:ilvl w:val="0"/>
          <w:numId w:val="13"/>
        </w:numPr>
        <w:rPr>
          <w:rFonts w:ascii="Arial" w:cs="Arial" w:eastAsia="Arial" w:hAnsi="Arial"/>
          <w:sz w:val="18"/>
          <w:szCs w:val="18"/>
          <w:i w:val="1"/>
          <w:iCs w:val="1"/>
          <w:color w:val="auto"/>
        </w:rPr>
      </w:pPr>
      <w:r>
        <w:rPr>
          <w:rFonts w:ascii="Arial" w:cs="Arial" w:eastAsia="Arial" w:hAnsi="Arial"/>
          <w:sz w:val="18"/>
          <w:szCs w:val="18"/>
          <w:color w:val="auto"/>
        </w:rPr>
        <w:t>The revolving credit facility portion of our total borrowings is available, subject to certain conditions, for general corporate purposes of NCM LLC in the ordinary course of business and for other transactions permitted under the senior secured credit facility, and a portion is available for letters of credit. Our total capacity under the revolving credit facility was $175.0 million as of March 29, 2018, December 28, 2017 and March 30, 2017. As of March 29, 2018, December 28, 2017 and March 30, 2017, the amount available under our revolving credit facility in the table above, was net letters of credit of $4.8 million, $4.8 million and $1.2 million, respectively.</w:t>
      </w:r>
    </w:p>
    <w:p>
      <w:pPr>
        <w:spacing w:after="0" w:line="80" w:lineRule="exact"/>
        <w:rPr>
          <w:rFonts w:ascii="Arial" w:cs="Arial" w:eastAsia="Arial" w:hAnsi="Arial"/>
          <w:sz w:val="18"/>
          <w:szCs w:val="18"/>
          <w:i w:val="1"/>
          <w:iCs w:val="1"/>
          <w:color w:val="auto"/>
        </w:rPr>
      </w:pPr>
    </w:p>
    <w:p>
      <w:pPr>
        <w:ind w:left="560"/>
        <w:spacing w:after="0"/>
        <w:rPr>
          <w:rFonts w:ascii="Arial" w:cs="Arial" w:eastAsia="Arial" w:hAnsi="Arial"/>
          <w:sz w:val="18"/>
          <w:szCs w:val="18"/>
          <w:i w:val="1"/>
          <w:iCs w:val="1"/>
          <w:color w:val="auto"/>
        </w:rPr>
      </w:pPr>
      <w:r>
        <w:rPr>
          <w:rFonts w:ascii="Arial" w:cs="Arial" w:eastAsia="Arial" w:hAnsi="Arial"/>
          <w:sz w:val="18"/>
          <w:szCs w:val="18"/>
          <w:color w:val="auto"/>
        </w:rPr>
        <w:t>We have generated and used cash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-885190</wp:posOffset>
            </wp:positionV>
            <wp:extent cx="17151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Q1 2018</w:t>
            </w:r>
          </w:p>
        </w:tc>
        <w:tc>
          <w:tcPr>
            <w:tcW w:w="28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Q1 2017</w:t>
            </w:r>
          </w:p>
        </w:tc>
      </w:tr>
      <w:tr>
        <w:trPr>
          <w:trHeight w:val="223"/>
        </w:trPr>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w:t>
            </w:r>
          </w:p>
        </w:tc>
        <w:tc>
          <w:tcPr>
            <w:tcW w:w="19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47.8</w:t>
            </w:r>
          </w:p>
        </w:tc>
        <w:tc>
          <w:tcPr>
            <w:tcW w:w="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Investing cash flow</w:t>
            </w:r>
          </w:p>
        </w:tc>
        <w:tc>
          <w:tcPr>
            <w:tcW w:w="21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Financing cash flow</w:t>
            </w:r>
          </w:p>
        </w:tc>
        <w:tc>
          <w:tcPr>
            <w:tcW w:w="21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(54.2)</w:t>
            </w:r>
          </w:p>
        </w:tc>
      </w:tr>
    </w:tbl>
    <w:p>
      <w:pPr>
        <w:spacing w:after="0" w:line="198" w:lineRule="exact"/>
        <w:rPr>
          <w:sz w:val="20"/>
          <w:szCs w:val="20"/>
          <w:color w:val="auto"/>
        </w:rPr>
      </w:pPr>
    </w:p>
    <w:p>
      <w:pPr>
        <w:ind w:left="1660" w:right="100" w:hanging="545"/>
        <w:spacing w:after="0" w:line="255"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The $4.2 million decrease in cash provided by operating activities for the first quarter of 2018,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2017 was due primarily to a decrease in the change in accounts receivable of approximately $22.4 million related to timing of collections and higher revenue in the first quarter of 2018, compared to the first quarter of 2017. This decrease was partially offset by 1) a $5.8 million decrease in the change in amounts due to our founding members and managing member, 2) a $5.0 million increase in the change in accounts payable and accrued expenses, primarily due to timing, 3) a $4.9 million decrease in net loss, as described further above and 4) a smaller decrease of $2.0 million in deferred revenue in the first quarter of 2018, compared to the first quarter of 2017.</w:t>
      </w:r>
    </w:p>
    <w:p>
      <w:pPr>
        <w:spacing w:after="0" w:line="81" w:lineRule="exact"/>
        <w:rPr>
          <w:rFonts w:ascii="Arial" w:cs="Arial" w:eastAsia="Arial" w:hAnsi="Arial"/>
          <w:sz w:val="18"/>
          <w:szCs w:val="18"/>
          <w:color w:val="auto"/>
        </w:rPr>
      </w:pPr>
    </w:p>
    <w:p>
      <w:pPr>
        <w:ind w:left="1660" w:right="120" w:hanging="545"/>
        <w:spacing w:after="0" w:line="261"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$1.8 million increase in cash used in investing activities for the first quarter of 2018, compared to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2017 was due primarily to $1.4 million of lower proceeds from the founding members notes receivable due to timing of the payments and a $0.6 million in higher purchases of property, plant and equipment related to digital product development in the first quarter of 2018, compared to the first quarter of 2017.</w:t>
      </w:r>
    </w:p>
    <w:p>
      <w:pPr>
        <w:spacing w:after="0" w:line="71" w:lineRule="exact"/>
        <w:rPr>
          <w:rFonts w:ascii="Arial" w:cs="Arial" w:eastAsia="Arial" w:hAnsi="Arial"/>
          <w:sz w:val="18"/>
          <w:szCs w:val="18"/>
          <w:color w:val="auto"/>
        </w:rPr>
      </w:pPr>
    </w:p>
    <w:p>
      <w:pPr>
        <w:ind w:left="1660" w:right="120" w:hanging="545"/>
        <w:spacing w:after="0" w:line="261" w:lineRule="auto"/>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$8.4 million decrease in cash used in financing activities during the first quarter of 2018,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2017 was due primarily to an $8.4 million increase in founding member integration payments and a $6.0 million increase in proceeds from borrowings, net of repayments under our revolving credit facility, partially offset by a $3.7 million increase in distributions to the founding members and managing member.</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17"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Our primary source of liquidity and capital resources includes cash from operations, availability under the revolving credit facility and cash on hand. Management believes that future funds generated from our operations and cash on hand should be sufficient to fund working capital requirements, our debt service requirements, and capital expenditure and other investing requirements, through the next twelve months. Cash flows can be impacted by the seasonality of advertising sales, stock option exercises, interest on borrowings under our revolving credit agreement and to a lesser extent theater attendance. We are required pursuant to the terms of our operating agreement to distribute our available cash, as defined in the operating agreement, quarterly to our members (the founding members and NCM, Inc.). The available cash distribution to the members of NCM LLC for the three months ended March 29, 2018 was approximately $16.5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color w:val="auto"/>
        </w:rPr>
        <w:t>For a discussion of accounting policies that we consider critical to our business operations and understanding of our results of operations, and that affect the more significant judgments and estimates used in the preparation of our unaudited Condensed Financial Statements, see Item 7. “Management’s Discussion and Analysis of Financial Condition and Results of Operations – Critical Accounting Policies” contained in our annual report on Form 10-K filed for the fiscal year ended December 28, 2017 and incorporated by reference herein. As of March 29, 2018, there were no significant changes in those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ind w:right="480"/>
        <w:spacing w:after="0" w:line="277" w:lineRule="auto"/>
        <w:rPr>
          <w:sz w:val="20"/>
          <w:szCs w:val="20"/>
          <w:color w:val="auto"/>
        </w:rPr>
      </w:pPr>
      <w:r>
        <w:rPr>
          <w:rFonts w:ascii="Arial" w:cs="Arial" w:eastAsia="Arial" w:hAnsi="Arial"/>
          <w:sz w:val="18"/>
          <w:szCs w:val="18"/>
          <w:color w:val="auto"/>
        </w:rPr>
        <w:t xml:space="preserve">critical accounting policies except for the change in barter revenue recognition upon the adoption of ASU 2014-09 in the first quarter of 2018 discussed further within Note 2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of this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40" w:firstLine="555"/>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Financial Statements in Item 1 of this Form 10-Q.</w:t>
      </w:r>
    </w:p>
    <w:p>
      <w:pPr>
        <w:spacing w:after="0" w:line="62"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4—</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Financial Statements in Item 1 of this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Item 7. “Management’s Discussion and Analysis of Financial Condition and Results of Operations – Contractual and Other Obligations” contained in our annual report on Form 10-K for the fiscal year ended December 28, 2017 and incorporated by reference herein. We do not believe these arrangements are material to our current or future financial condition, results of operations, liquidity, capital resources or capital expenditures.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material changes to our contractual obligations during the three months ended March 29,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60" w:firstLine="555"/>
        <w:spacing w:after="0" w:line="290"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consumers’ increased interest in the available motion pictures.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lower theater industry attendance levels. Accordingly, there can be no assurances that seasonal variations will not materially affect our results of operations in the future.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2015, 2016 and 2017.</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First</w:t>
            </w: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Second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Third</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386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Quarter</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Quarter</w:t>
            </w: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Quarter</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Quarter</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2015</w:t>
            </w:r>
          </w:p>
        </w:tc>
        <w:tc>
          <w:tcPr>
            <w:tcW w:w="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17.2%</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27.2%</w:t>
            </w:r>
          </w:p>
        </w:tc>
        <w:tc>
          <w:tcPr>
            <w:tcW w:w="16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25.0%</w:t>
            </w:r>
          </w:p>
        </w:tc>
        <w:tc>
          <w:tcPr>
            <w:tcW w:w="1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30.6%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FY 2016</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17.0%</w:t>
            </w:r>
          </w:p>
        </w:tc>
        <w:tc>
          <w:tcPr>
            <w:tcW w:w="1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25.8%</w:t>
            </w:r>
          </w:p>
        </w:tc>
        <w:tc>
          <w:tcPr>
            <w:tcW w:w="16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25.4%</w:t>
            </w:r>
          </w:p>
        </w:tc>
        <w:tc>
          <w:tcPr>
            <w:tcW w:w="1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31.8%</w:t>
            </w:r>
          </w:p>
        </w:tc>
        <w:tc>
          <w:tcPr>
            <w:tcW w:w="6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FY 2017</w:t>
            </w: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16.9%</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22.8%</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27.3%</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33.0%</w:t>
            </w:r>
          </w:p>
        </w:tc>
        <w:tc>
          <w:tcPr>
            <w:tcW w:w="60" w:type="dxa"/>
            <w:vAlign w:val="bottom"/>
            <w:shd w:val="clear" w:color="auto" w:fill="CFF0FC"/>
          </w:tcPr>
          <w:p>
            <w:pPr>
              <w:spacing w:after="0"/>
              <w:rPr>
                <w:sz w:val="19"/>
                <w:szCs w:val="19"/>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firstLine="555"/>
        <w:spacing w:after="0" w:line="293" w:lineRule="auto"/>
        <w:rPr>
          <w:sz w:val="20"/>
          <w:szCs w:val="20"/>
          <w:color w:val="auto"/>
        </w:rPr>
      </w:pPr>
      <w:r>
        <w:rPr>
          <w:rFonts w:ascii="Arial" w:cs="Arial" w:eastAsia="Arial" w:hAnsi="Arial"/>
          <w:sz w:val="16"/>
          <w:szCs w:val="16"/>
          <w:color w:val="auto"/>
        </w:rPr>
        <w:t>The primary market risk to which we are exposed is interest rate risk. The Notes due 2022 and the Notes due 2026 are at fixed rates, and therefore are not subject to market risk. As of March 29, 2018, the only interest rate risk that we are exposed to is related to our $175.0 million revolving credit facility and our $270.0 million term loan. A 100-basis point fluctuation in market interest rates underlying our term loan and revolving credit facility would have the effect of increasing or decreasing our cash interest expense by approximately $3.0 million for an annual period on the $33.0 million revolving credit balance and $270.0 million term loan outstanding as of March 29, 2018. For a discussion of market risks, see Item 7A. “Quantitative and Qualitative Disclosures About Market Risk” contained in our annual report on Form 10-K for the fiscal year ended December 28, 2017 and incorporated by reference herein.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firstLine="555"/>
        <w:spacing w:after="0" w:line="284"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of NCM, Inc., our manager, as appropriate to allow timely decisions regarding required disclosure. As of March 29, 2018, our management evaluated, with the participation of the Chief Executive Officer and Chief Financial Officer, the effectiveness of the Company’s disclosure controls and procedures pursuant to Rules 13a-15(e) and 15d-15(e) of the Exchange</w:t>
      </w:r>
    </w:p>
    <w:p>
      <w:pPr>
        <w:spacing w:after="0" w:line="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Act. Based on that evaluation, the Company’s management concluded that the Company’s disclosure controls and procedures as of March 29, 2018 were effective.</w:t>
      </w:r>
    </w:p>
    <w:p>
      <w:pPr>
        <w:spacing w:after="0" w:line="76" w:lineRule="exact"/>
        <w:rPr>
          <w:sz w:val="20"/>
          <w:szCs w:val="20"/>
          <w:color w:val="auto"/>
        </w:rPr>
      </w:pPr>
    </w:p>
    <w:p>
      <w:pPr>
        <w:ind w:right="560" w:firstLine="555"/>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79" w:lineRule="exact"/>
        <w:rPr>
          <w:sz w:val="20"/>
          <w:szCs w:val="20"/>
          <w:color w:val="auto"/>
        </w:rPr>
      </w:pPr>
    </w:p>
    <w:p>
      <w:pPr>
        <w:ind w:right="240" w:firstLine="555"/>
        <w:spacing w:after="0" w:line="308" w:lineRule="auto"/>
        <w:rPr>
          <w:sz w:val="20"/>
          <w:szCs w:val="20"/>
          <w:color w:val="auto"/>
        </w:rPr>
      </w:pPr>
      <w:r>
        <w:rPr>
          <w:rFonts w:ascii="Arial" w:cs="Arial" w:eastAsia="Arial" w:hAnsi="Arial"/>
          <w:sz w:val="17"/>
          <w:szCs w:val="17"/>
          <w:color w:val="auto"/>
        </w:rPr>
        <w:t>There have been no changes in the Company’s internal controls over financial reporting that occurred during the quarter ended March 29, 2018 that have materially affected, or are reasonably likely to materially affect, the Company’s internal controls over financial reporting.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21"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21"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March 19, 2018 for the fiscal year ended December 28,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50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Reference</w:t>
            </w:r>
          </w:p>
        </w:tc>
        <w:tc>
          <w:tcPr>
            <w:tcW w:w="554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580" w:type="dxa"/>
            <w:vAlign w:val="bottom"/>
          </w:tcPr>
          <w:p>
            <w:pPr>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540" w:type="dxa"/>
            <w:vAlign w:val="bottom"/>
            <w:gridSpan w:val="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Rule 13a-14(a) Certification of Chief Executive Officer.</w:t>
              </w:r>
            </w:hyperlink>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Rule 13a-14(a) Certification of Chief Financial Officer.</w:t>
              </w:r>
            </w:hyperlink>
          </w:p>
        </w:tc>
        <w:tc>
          <w:tcPr>
            <w:tcW w:w="40" w:type="dxa"/>
            <w:vAlign w:val="bottom"/>
            <w:tcBorders>
              <w:top w:val="single" w:sz="8" w:color="0000EE"/>
            </w:tcBorders>
          </w:tcPr>
          <w:p>
            <w:pPr>
              <w:spacing w:after="0"/>
              <w:rPr>
                <w:sz w:val="17"/>
                <w:szCs w:val="17"/>
                <w:color w:val="auto"/>
              </w:rPr>
            </w:pPr>
          </w:p>
        </w:tc>
        <w:tc>
          <w:tcPr>
            <w:tcW w:w="1500" w:type="dxa"/>
            <w:vAlign w:val="bottom"/>
            <w:gridSpan w:val="2"/>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55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Certification of Chief Executive Officer Pursuant to 18 U.S.C. Section 1350.</w:t>
              </w:r>
            </w:hyperlink>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5540" w:type="dxa"/>
            <w:vAlign w:val="bottom"/>
            <w:gridSpan w:val="5"/>
          </w:tcPr>
          <w:p>
            <w:pPr>
              <w:spacing w:after="0" w:line="196"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of Chief Financial Officer Pursuant to 18 U.S.C. Section 1350.</w:t>
              </w:r>
            </w:hyperlink>
          </w:p>
        </w:tc>
      </w:tr>
      <w:tr>
        <w:trPr>
          <w:trHeight w:val="465"/>
        </w:trPr>
        <w:tc>
          <w:tcPr>
            <w:tcW w:w="12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54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60" w:type="dxa"/>
            <w:vAlign w:val="bottom"/>
          </w:tcPr>
          <w:p>
            <w:pPr>
              <w:spacing w:after="0"/>
              <w:rPr>
                <w:sz w:val="24"/>
                <w:szCs w:val="24"/>
                <w:color w:val="auto"/>
              </w:rPr>
            </w:pP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5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0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55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947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3" w:lineRule="exact"/>
        <w:rPr>
          <w:sz w:val="20"/>
          <w:szCs w:val="20"/>
          <w:color w:val="auto"/>
        </w:rPr>
      </w:pPr>
    </w:p>
    <w:p>
      <w:pPr>
        <w:ind w:left="620" w:hanging="612"/>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432"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NATIONAL CINEMEDIA, LLC</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59"/>
        </w:trPr>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By: National CineMedia, Inc., its manager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May 9, 2018</w:t>
            </w:r>
          </w:p>
        </w:tc>
        <w:tc>
          <w:tcPr>
            <w:tcW w:w="6100" w:type="dxa"/>
            <w:vAlign w:val="bottom"/>
          </w:tcPr>
          <w:p>
            <w:pPr>
              <w:spacing w:after="0"/>
              <w:rPr>
                <w:sz w:val="20"/>
                <w:szCs w:val="20"/>
                <w:color w:val="auto"/>
              </w:rPr>
            </w:pPr>
            <w:r>
              <w:rPr>
                <w:rFonts w:ascii="Arial" w:cs="Arial" w:eastAsia="Arial" w:hAnsi="Arial"/>
                <w:sz w:val="18"/>
                <w:szCs w:val="18"/>
                <w:color w:val="auto"/>
              </w:rPr>
              <w:t>/s/ Andrew J. England</w:t>
            </w:r>
          </w:p>
        </w:tc>
      </w:tr>
      <w:tr>
        <w:trPr>
          <w:trHeight w:val="195"/>
        </w:trPr>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6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Andrew J. England</w:t>
            </w: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May 9, 2018</w:t>
            </w:r>
          </w:p>
        </w:tc>
        <w:tc>
          <w:tcPr>
            <w:tcW w:w="6100" w:type="dxa"/>
            <w:vAlign w:val="bottom"/>
          </w:tcPr>
          <w:p>
            <w:pPr>
              <w:spacing w:after="0"/>
              <w:rPr>
                <w:sz w:val="20"/>
                <w:szCs w:val="20"/>
                <w:color w:val="auto"/>
              </w:rPr>
            </w:pPr>
            <w:r>
              <w:rPr>
                <w:rFonts w:ascii="Arial" w:cs="Arial" w:eastAsia="Arial" w:hAnsi="Arial"/>
                <w:sz w:val="18"/>
                <w:szCs w:val="18"/>
                <w:color w:val="auto"/>
              </w:rPr>
              <w:t>/s/ Katherine L. Scherping</w:t>
            </w:r>
          </w:p>
        </w:tc>
      </w:tr>
      <w:tr>
        <w:trPr>
          <w:trHeight w:val="211"/>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6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Katherine L. Scherping</w:t>
            </w:r>
          </w:p>
        </w:tc>
      </w:tr>
    </w:tbl>
    <w:p>
      <w:pPr>
        <w:ind w:left="5320"/>
        <w:spacing w:after="0"/>
        <w:rPr>
          <w:sz w:val="20"/>
          <w:szCs w:val="20"/>
          <w:color w:val="auto"/>
        </w:rPr>
      </w:pPr>
      <w:r>
        <w:rPr>
          <w:rFonts w:ascii="Arial" w:cs="Arial" w:eastAsia="Arial" w:hAnsi="Arial"/>
          <w:sz w:val="18"/>
          <w:szCs w:val="18"/>
          <w:i w:val="1"/>
          <w:iCs w:val="1"/>
          <w:color w:val="auto"/>
        </w:rPr>
        <w:t>Chief Financial Officer</w:t>
      </w:r>
    </w:p>
    <w:p>
      <w:pPr>
        <w:spacing w:after="0" w:line="7"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Andrew J. England, certify that:</w:t>
      </w:r>
    </w:p>
    <w:p>
      <w:pPr>
        <w:spacing w:after="0" w:line="225" w:lineRule="exact"/>
        <w:rPr>
          <w:sz w:val="20"/>
          <w:szCs w:val="20"/>
          <w:color w:val="auto"/>
        </w:rPr>
      </w:pPr>
    </w:p>
    <w:p>
      <w:pPr>
        <w:ind w:left="700" w:hanging="174"/>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Katherine L. Scherping, certify that:</w:t>
      </w:r>
    </w:p>
    <w:p>
      <w:pPr>
        <w:spacing w:after="0" w:line="225" w:lineRule="exact"/>
        <w:rPr>
          <w:sz w:val="20"/>
          <w:szCs w:val="20"/>
          <w:color w:val="auto"/>
        </w:rPr>
      </w:pPr>
    </w:p>
    <w:p>
      <w:pPr>
        <w:ind w:left="700" w:hanging="17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LLC;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40" w:firstLine="526"/>
        <w:spacing w:after="0" w:line="264" w:lineRule="auto"/>
        <w:tabs>
          <w:tab w:leader="none" w:pos="6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left="520" w:right="160" w:firstLine="6"/>
        <w:spacing w:after="0" w:line="264" w:lineRule="auto"/>
        <w:tabs>
          <w:tab w:leader="none" w:pos="7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520" w:right="380" w:firstLine="6"/>
        <w:spacing w:after="0" w:line="264" w:lineRule="auto"/>
        <w:tabs>
          <w:tab w:leader="none" w:pos="7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940" w:firstLine="6"/>
        <w:spacing w:after="0" w:line="342" w:lineRule="auto"/>
        <w:tabs>
          <w:tab w:leader="none" w:pos="7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520" w:right="400" w:firstLine="6"/>
        <w:spacing w:after="0" w:line="264" w:lineRule="auto"/>
        <w:tabs>
          <w:tab w:leader="none" w:pos="7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200" w:firstLine="526"/>
        <w:spacing w:after="0" w:line="308" w:lineRule="auto"/>
        <w:tabs>
          <w:tab w:leader="none" w:pos="6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520" w:right="340" w:firstLine="6"/>
        <w:spacing w:after="0" w:line="277" w:lineRule="auto"/>
        <w:tabs>
          <w:tab w:leader="none" w:pos="7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20" w:right="280" w:firstLine="6"/>
        <w:spacing w:after="0" w:line="277" w:lineRule="auto"/>
        <w:tabs>
          <w:tab w:leader="none" w:pos="7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2018</w:t>
      </w:r>
    </w:p>
    <w:p>
      <w:pPr>
        <w:spacing w:after="0" w:line="25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Katherine L. Scherping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March 29, 2018 (the “Report”) of National CineMedia, LLC (the “Registrant”) as filed with the Securities and Exchange Commission on the date hereof, I, Andrew J. England, the Chief Executive Officer and Director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9, 2018</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Andrew J. England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Andrew J.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40" w:firstLine="518"/>
        <w:spacing w:after="0" w:line="312" w:lineRule="auto"/>
        <w:rPr>
          <w:sz w:val="20"/>
          <w:szCs w:val="20"/>
          <w:color w:val="auto"/>
        </w:rPr>
      </w:pPr>
      <w:r>
        <w:rPr>
          <w:rFonts w:ascii="Arial" w:cs="Arial" w:eastAsia="Arial" w:hAnsi="Arial"/>
          <w:sz w:val="16"/>
          <w:szCs w:val="16"/>
          <w:color w:val="auto"/>
        </w:rPr>
        <w:t>In connection with the Quarterly Report on Form 10-Q for the period ending March 29, 2018 (the “Report”) of National CineMedia, LLC (the “Registrant”) as filed with the Securities and Exchange Commission on the date hereof, I, Katherine L. Scherping, the Chief Financial Officer of the Registrant, certify, pursuant to 18 U.S.C. § 1350, as adopted pursuant to § 906 of the Sarbanes-Oxley Act of 2002, that to the best of my knowledge:</w:t>
      </w:r>
    </w:p>
    <w:p>
      <w:pPr>
        <w:spacing w:after="0" w:line="147" w:lineRule="exact"/>
        <w:rPr>
          <w:sz w:val="20"/>
          <w:szCs w:val="20"/>
          <w:color w:val="auto"/>
        </w:rPr>
      </w:pPr>
    </w:p>
    <w:p>
      <w:pPr>
        <w:ind w:left="700" w:hanging="174"/>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220" w:firstLine="526"/>
        <w:spacing w:after="0" w:line="516" w:lineRule="auto"/>
        <w:tabs>
          <w:tab w:leader="none" w:pos="69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May 9, 2018</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Katherine L. Scherping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Katherine L. Scherping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3395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endash "/>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2019-12-28T22:20:02Z</dcterms:created>
  <dcterms:modified xsi:type="dcterms:W3CDTF">2019-12-28T22:20:02Z</dcterms:modified>
</cp:coreProperties>
</file>