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9"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2" w:lineRule="exact"/>
        <w:rPr>
          <w:sz w:val="24"/>
          <w:szCs w:val="24"/>
          <w:color w:val="auto"/>
        </w:rPr>
      </w:pPr>
    </w:p>
    <w:p>
      <w:pPr>
        <w:ind w:left="3660" w:right="780" w:hanging="3436"/>
        <w:spacing w:after="0" w:line="391" w:lineRule="auto"/>
        <w:tabs>
          <w:tab w:leader="none" w:pos="13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29,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280" w:hanging="1090"/>
        <w:spacing w:after="0"/>
        <w:tabs>
          <w:tab w:leader="none" w:pos="12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 .</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89535</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1097" w:right="339" w:bottom="1440" w:gutter="0" w:footer="0" w:header="0"/>
        </w:sectPr>
      </w:pPr>
    </w:p>
    <w:p>
      <w:pPr>
        <w:spacing w:after="0" w:line="124"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45" w:lineRule="exact"/>
        <w:rPr>
          <w:sz w:val="24"/>
          <w:szCs w:val="24"/>
          <w:color w:val="auto"/>
        </w:rPr>
      </w:pPr>
    </w:p>
    <w:p>
      <w:pPr>
        <w:sectPr>
          <w:pgSz w:w="11900" w:h="16838" w:orient="portrait"/>
          <w:cols w:equalWidth="0" w:num="2">
            <w:col w:w="7420" w:space="720"/>
            <w:col w:w="3100"/>
          </w:cols>
          <w:pgMar w:left="320" w:top="1097" w:right="339" w:bottom="1440" w:gutter="0" w:footer="0" w:header="0"/>
          <w:type w:val="continuous"/>
        </w:sectPr>
      </w:pPr>
    </w:p>
    <w:p>
      <w:pPr>
        <w:spacing w:after="0" w:line="5"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spacing w:after="0" w:line="6" w:lineRule="exact"/>
        <w:rPr>
          <w:sz w:val="24"/>
          <w:szCs w:val="24"/>
          <w:color w:val="auto"/>
        </w:rPr>
      </w:pP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300" w:space="720"/>
            <w:col w:w="3220"/>
          </w:cols>
          <w:pgMar w:left="320" w:top="1097"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4">
            <w:col w:w="3840" w:space="720"/>
            <w:col w:w="840" w:space="320"/>
            <w:col w:w="1920" w:space="720"/>
            <w:col w:w="2880"/>
          </w:cols>
          <w:pgMar w:left="320" w:top="1097"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20" w:space="720"/>
            <w:col w:w="3000"/>
          </w:cols>
          <w:pgMar w:left="320" w:top="1097"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97" w:right="339" w:bottom="1440" w:gutter="0" w:footer="0" w:header="0"/>
          <w:type w:val="continuous"/>
        </w:sectPr>
      </w:pPr>
    </w:p>
    <w:p>
      <w:pPr>
        <w:spacing w:after="0" w:line="148"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par value $0.01 per share</w:t>
      </w:r>
    </w:p>
    <w:p>
      <w:pPr>
        <w:spacing w:after="0" w:line="46"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07" w:lineRule="exact"/>
        <w:rPr>
          <w:sz w:val="24"/>
          <w:szCs w:val="24"/>
          <w:color w:val="auto"/>
        </w:rPr>
      </w:pPr>
    </w:p>
    <w:p>
      <w:pPr>
        <w:sectPr>
          <w:pgSz w:w="11900" w:h="16838" w:orient="portrait"/>
          <w:cols w:equalWidth="0" w:num="3">
            <w:col w:w="4160" w:space="720"/>
            <w:col w:w="1720" w:space="720"/>
            <w:col w:w="3920"/>
          </w:cols>
          <w:pgMar w:left="320" w:top="1097" w:right="339" w:bottom="1440" w:gutter="0" w:footer="0" w:header="0"/>
          <w:type w:val="continuous"/>
        </w:sectPr>
      </w:pPr>
    </w:p>
    <w:p>
      <w:pPr>
        <w:ind w:left="396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1240"/>
          </w:cols>
          <w:pgMar w:left="320" w:top="1097" w:right="339" w:bottom="1440" w:gutter="0" w:footer="0" w:header="0"/>
          <w:type w:val="continuous"/>
        </w:sectPr>
      </w:pPr>
    </w:p>
    <w:p>
      <w:pPr>
        <w:spacing w:after="0" w:line="44" w:lineRule="exact"/>
        <w:rPr>
          <w:sz w:val="24"/>
          <w:szCs w:val="24"/>
          <w:color w:val="auto"/>
        </w:rPr>
      </w:pPr>
    </w:p>
    <w:p>
      <w:pPr>
        <w:ind w:right="30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6"/>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November 3, 2022, 82,000,152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sz w:val="20"/>
                <w:szCs w:val="20"/>
                <w:color w:val="auto"/>
              </w:rPr>
            </w:pPr>
            <w:r>
              <w:rPr>
                <w:rFonts w:ascii="Arial" w:cs="Arial" w:eastAsia="Arial" w:hAnsi="Arial"/>
                <w:sz w:val="18"/>
                <w:szCs w:val="18"/>
                <w:b w:val="1"/>
                <w:bCs w:val="1"/>
                <w:color w:val="0000FF"/>
                <w:w w:val="98"/>
              </w:rPr>
              <w:t>PART I</w:t>
            </w:r>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040" w:type="dxa"/>
            <w:vAlign w:val="bottom"/>
            <w:gridSpan w:val="11"/>
          </w:tcPr>
          <w:p>
            <w:pPr>
              <w:spacing w:after="0"/>
              <w:rPr>
                <w:sz w:val="20"/>
                <w:szCs w:val="20"/>
                <w:color w:val="auto"/>
              </w:rPr>
            </w:pPr>
            <w:r>
              <w:rPr>
                <w:rFonts w:ascii="Arial" w:cs="Arial" w:eastAsia="Arial" w:hAnsi="Arial"/>
                <w:sz w:val="18"/>
                <w:szCs w:val="18"/>
                <w:color w:val="0000FF"/>
              </w:rPr>
              <w:t>Unaudited Financial Statements</w:t>
            </w:r>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Unaudited Condensed Consolidated Balance Sheets</w:t>
            </w:r>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Unaudited Condensed Consolidated Statements of Income and Comprehensive Income</w:t>
            </w:r>
          </w:p>
        </w:tc>
        <w:tc>
          <w:tcPr>
            <w:tcW w:w="132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Unaudited Condensed Consolidated Statements of Cash Flows</w:t>
            </w:r>
          </w:p>
        </w:tc>
        <w:tc>
          <w:tcPr>
            <w:tcW w:w="3080" w:type="dxa"/>
            <w:vAlign w:val="bottom"/>
            <w:gridSpan w:val="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sz w:val="20"/>
                <w:szCs w:val="20"/>
                <w:color w:val="auto"/>
              </w:rPr>
            </w:pPr>
            <w:r>
              <w:rPr>
                <w:rFonts w:ascii="Arial" w:cs="Arial" w:eastAsia="Arial" w:hAnsi="Arial"/>
                <w:sz w:val="18"/>
                <w:szCs w:val="18"/>
                <w:color w:val="0000FF"/>
              </w:rPr>
              <w:t>Unaudited Condensed Consolidated Statements of Equity/(Deficit)</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20" w:type="dxa"/>
            <w:vAlign w:val="bottom"/>
            <w:tcBorders>
              <w:top w:val="single" w:sz="8" w:color="0000FF"/>
            </w:tcBorders>
          </w:tcPr>
          <w:p>
            <w:pPr>
              <w:spacing w:after="0"/>
              <w:rPr>
                <w:sz w:val="18"/>
                <w:szCs w:val="18"/>
                <w:color w:val="auto"/>
              </w:rPr>
            </w:pPr>
          </w:p>
        </w:tc>
        <w:tc>
          <w:tcPr>
            <w:tcW w:w="2780" w:type="dxa"/>
            <w:vAlign w:val="bottom"/>
            <w:gridSpan w:val="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8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FF"/>
            </w:tcBorders>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78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rPr>
              <w:t>PART II</w:t>
            </w:r>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2022</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30, 2021</w:t>
            </w:r>
          </w:p>
        </w:tc>
        <w:tc>
          <w:tcPr>
            <w:tcW w:w="0" w:type="dxa"/>
            <w:vAlign w:val="bottom"/>
          </w:tcPr>
          <w:p>
            <w:pPr>
              <w:spacing w:after="0"/>
              <w:rPr>
                <w:sz w:val="1"/>
                <w:szCs w:val="1"/>
                <w:color w:val="auto"/>
              </w:rPr>
            </w:pPr>
          </w:p>
        </w:tc>
      </w:tr>
      <w:tr>
        <w:trPr>
          <w:trHeight w:val="162"/>
        </w:trPr>
        <w:tc>
          <w:tcPr>
            <w:tcW w:w="770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Short-term marketable securities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Receivables, net of allowance of $1.7 and $1.7, respectively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assets and prepaid expenses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Property and equipment, net of accumulated depreciation of $55.7 and $59.9, respectively</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Intangible assets, net of accumulated amortization of $263.9 and $245.6,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596.8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606.3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tax assets, net of valuation allowance of $227.5 and $223.8, respectively</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Other investments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Long-term marketable securities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Debt issuance costs, net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non-current assets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659.0</w:t>
            </w:r>
          </w:p>
        </w:tc>
        <w:tc>
          <w:tcPr>
            <w:tcW w:w="0" w:type="dxa"/>
            <w:vAlign w:val="bottom"/>
          </w:tcPr>
          <w:p>
            <w:pPr>
              <w:spacing w:after="0"/>
              <w:rPr>
                <w:sz w:val="1"/>
                <w:szCs w:val="1"/>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EQUITY/(DEFICIT)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480"/>
              <w:spacing w:after="0"/>
              <w:rPr>
                <w:sz w:val="20"/>
                <w:szCs w:val="20"/>
                <w:color w:val="auto"/>
              </w:rPr>
            </w:pPr>
            <w:r>
              <w:rPr>
                <w:rFonts w:ascii="Arial" w:cs="Arial" w:eastAsia="Arial" w:hAnsi="Arial"/>
                <w:sz w:val="13"/>
                <w:szCs w:val="13"/>
                <w:color w:val="auto"/>
              </w:rPr>
              <w:t>Amounts due to founding members,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30"/>
        </w:trPr>
        <w:tc>
          <w:tcPr>
            <w:tcW w:w="770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18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parties of $0.3 and $0.0, respectively)</w:t>
            </w:r>
          </w:p>
        </w:tc>
        <w:tc>
          <w:tcPr>
            <w:tcW w:w="1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00" w:type="dxa"/>
            <w:vAlign w:val="bottom"/>
          </w:tcPr>
          <w:p>
            <w:pPr>
              <w:ind w:left="480"/>
              <w:spacing w:after="0"/>
              <w:rPr>
                <w:sz w:val="20"/>
                <w:szCs w:val="20"/>
                <w:color w:val="auto"/>
              </w:rPr>
            </w:pPr>
            <w:r>
              <w:rPr>
                <w:rFonts w:ascii="Arial" w:cs="Arial" w:eastAsia="Arial" w:hAnsi="Arial"/>
                <w:sz w:val="13"/>
                <w:szCs w:val="13"/>
                <w:color w:val="auto"/>
              </w:rPr>
              <w:t>Accrued expenses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payroll and related expenses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revenue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Short-term debt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4"/>
        </w:trPr>
        <w:tc>
          <w:tcPr>
            <w:tcW w:w="7700" w:type="dxa"/>
            <w:vAlign w:val="bottom"/>
          </w:tcPr>
          <w:p>
            <w:pPr>
              <w:ind w:left="680"/>
              <w:spacing w:after="0"/>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LIABILITIES: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Long-term debt, net of debt issuance costs of $8.6 and $10.5,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901.0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1,094.3</w:t>
            </w: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18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parties of $14.1 and $11.9, respectively)</w:t>
            </w:r>
          </w:p>
        </w:tc>
        <w:tc>
          <w:tcPr>
            <w:tcW w:w="1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1,200.9</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COMMITMENTS AND CONTINGENCIES (NOTE 8)</w:t>
            </w: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EQUITY/(DEFICIT):</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NCM, Inc. Stockholders’ Equity/(Deficit):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180" w:type="dxa"/>
            <w:vAlign w:val="bottom"/>
          </w:tcPr>
          <w:p>
            <w:pPr>
              <w:spacing w:after="0"/>
              <w:rPr>
                <w:sz w:val="10"/>
                <w:szCs w:val="10"/>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700" w:type="dxa"/>
            <w:vAlign w:val="bottom"/>
          </w:tcPr>
          <w:p>
            <w:pPr>
              <w:ind w:left="560"/>
              <w:spacing w:after="0"/>
              <w:rPr>
                <w:sz w:val="20"/>
                <w:szCs w:val="20"/>
                <w:color w:val="auto"/>
              </w:rPr>
            </w:pPr>
            <w:r>
              <w:rPr>
                <w:rFonts w:ascii="Arial" w:cs="Arial" w:eastAsia="Arial" w:hAnsi="Arial"/>
                <w:sz w:val="13"/>
                <w:szCs w:val="13"/>
                <w:color w:val="auto"/>
              </w:rPr>
              <w:t>respectively</w:t>
            </w: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7700" w:type="dxa"/>
            <w:vAlign w:val="bottom"/>
            <w:shd w:val="clear" w:color="auto" w:fill="CCEEFF"/>
          </w:tcPr>
          <w:p>
            <w:pPr>
              <w:ind w:left="480"/>
              <w:spacing w:after="0" w:line="122" w:lineRule="exact"/>
              <w:rPr>
                <w:sz w:val="20"/>
                <w:szCs w:val="20"/>
                <w:color w:val="auto"/>
              </w:rPr>
            </w:pPr>
            <w:r>
              <w:rPr>
                <w:rFonts w:ascii="Arial" w:cs="Arial" w:eastAsia="Arial" w:hAnsi="Arial"/>
                <w:sz w:val="13"/>
                <w:szCs w:val="13"/>
                <w:color w:val="auto"/>
              </w:rPr>
              <w:t>Common stock, $0.01 par value; 260,000,000 and 175,000,000 shares authorized, 81,701,661 and 80,626,889</w:t>
            </w:r>
          </w:p>
        </w:tc>
        <w:tc>
          <w:tcPr>
            <w:tcW w:w="180" w:type="dxa"/>
            <w:vAlign w:val="bottom"/>
            <w:shd w:val="clear" w:color="auto" w:fill="CCEEFF"/>
          </w:tcPr>
          <w:p>
            <w:pPr>
              <w:spacing w:after="0"/>
              <w:rPr>
                <w:sz w:val="10"/>
                <w:szCs w:val="10"/>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issued and outstanding, respectively</w:t>
            </w:r>
          </w:p>
        </w:tc>
        <w:tc>
          <w:tcPr>
            <w:tcW w:w="1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Arial" w:cs="Arial" w:eastAsia="Arial" w:hAnsi="Arial"/>
                <w:sz w:val="13"/>
                <w:szCs w:val="13"/>
                <w:color w:val="auto"/>
              </w:rPr>
              <w:t>Additional paid in capital/(deficit)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Retained earnings (distributions in excess of earnings)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Arial" w:cs="Arial" w:eastAsia="Arial" w:hAnsi="Arial"/>
                <w:sz w:val="13"/>
                <w:szCs w:val="13"/>
                <w:color w:val="auto"/>
              </w:rPr>
              <w:t>Total NCM, Inc. stockholders’ equity/(deficit)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(526.7)</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equity/(deficit)</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w:t>
            </w:r>
          </w:p>
        </w:tc>
        <w:tc>
          <w:tcPr>
            <w:tcW w:w="0" w:type="dxa"/>
            <w:vAlign w:val="bottom"/>
          </w:tcPr>
          <w:p>
            <w:pPr>
              <w:spacing w:after="0"/>
              <w:rPr>
                <w:sz w:val="1"/>
                <w:szCs w:val="1"/>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EQUITY/(DEFICIT)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right="480" w:hanging="107"/>
        <w:spacing w:after="0" w:line="251" w:lineRule="auto"/>
        <w:rPr>
          <w:sz w:val="20"/>
          <w:szCs w:val="20"/>
          <w:color w:val="auto"/>
        </w:rPr>
      </w:pPr>
      <w:r>
        <w:rPr>
          <w:rFonts w:ascii="Arial" w:cs="Arial" w:eastAsia="Arial" w:hAnsi="Arial"/>
          <w:sz w:val="14"/>
          <w:szCs w:val="14"/>
          <w:color w:val="auto"/>
        </w:rPr>
        <w:t>REVENUE (including revenue from related parties of $3.9, $2.7, $11.3 and $4.7, respectively)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Advertising operating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Network costs</w:t>
      </w:r>
    </w:p>
    <w:p>
      <w:pPr>
        <w:spacing w:after="0" w:line="42" w:lineRule="exact"/>
        <w:rPr>
          <w:sz w:val="20"/>
          <w:szCs w:val="20"/>
          <w:color w:val="auto"/>
        </w:rPr>
      </w:pPr>
    </w:p>
    <w:p>
      <w:pPr>
        <w:ind w:left="340" w:right="460" w:hanging="107"/>
        <w:spacing w:after="0" w:line="251" w:lineRule="auto"/>
        <w:rPr>
          <w:sz w:val="20"/>
          <w:szCs w:val="20"/>
          <w:color w:val="auto"/>
        </w:rPr>
      </w:pPr>
      <w:r>
        <w:rPr>
          <w:rFonts w:ascii="Arial" w:cs="Arial" w:eastAsia="Arial" w:hAnsi="Arial"/>
          <w:sz w:val="14"/>
          <w:szCs w:val="14"/>
          <w:color w:val="auto"/>
        </w:rPr>
        <w:t>Theater access fees and revenue share to founding members (including fees to related parties of $15.4, $11.4, $45.2, and $19.8, respectively)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Selling and marketing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 and other costs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Impairment of long-lived assets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 expense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intangibles recorded for network theater screen leases</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OPERATING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NON-OPERATING EXPENSES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17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September 29,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192"/>
        </w:trPr>
        <w:tc>
          <w:tcPr>
            <w:tcW w:w="142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4"/>
                <w:szCs w:val="24"/>
                <w:color w:val="auto"/>
              </w:rPr>
            </w:pPr>
          </w:p>
        </w:tc>
        <w:tc>
          <w:tcPr>
            <w:tcW w:w="7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24"/>
                <w:szCs w:val="24"/>
                <w:color w:val="auto"/>
              </w:rPr>
            </w:pPr>
          </w:p>
        </w:tc>
        <w:tc>
          <w:tcPr>
            <w:tcW w:w="74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405"/>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338"/>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6"/>
        </w:trPr>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-1739900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-1397000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-1139825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-796925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-539750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-282575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-8255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180" w:space="720"/>
            <w:col w:w="534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Interest on borrowings</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(Gain) loss on modification and retirement of debt, net</w:t>
            </w:r>
          </w:p>
        </w:tc>
        <w:tc>
          <w:tcPr>
            <w:tcW w:w="3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(Gain) loss on re-measurement of the payable to founding members under the</w:t>
            </w:r>
          </w:p>
        </w:tc>
        <w:tc>
          <w:tcPr>
            <w:tcW w:w="3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4"/>
        </w:trPr>
        <w:tc>
          <w:tcPr>
            <w:tcW w:w="5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receivable agreement</w:t>
            </w:r>
          </w:p>
        </w:tc>
        <w:tc>
          <w:tcPr>
            <w:tcW w:w="3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Other non-operating (income) expense</w:t>
            </w:r>
          </w:p>
        </w:tc>
        <w:tc>
          <w:tcPr>
            <w:tcW w:w="3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76"/>
        </w:trPr>
        <w:tc>
          <w:tcPr>
            <w:tcW w:w="59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900" w:type="dxa"/>
            <w:vAlign w:val="bottom"/>
          </w:tcPr>
          <w:p>
            <w:pPr>
              <w:ind w:left="20"/>
              <w:spacing w:after="0"/>
              <w:rPr>
                <w:sz w:val="20"/>
                <w:szCs w:val="20"/>
                <w:color w:val="auto"/>
              </w:rPr>
            </w:pPr>
            <w:r>
              <w:rPr>
                <w:rFonts w:ascii="Arial" w:cs="Arial" w:eastAsia="Arial" w:hAnsi="Arial"/>
                <w:sz w:val="14"/>
                <w:szCs w:val="14"/>
                <w:color w:val="auto"/>
              </w:rPr>
              <w:t>CONSOLIDATED NET LOSS</w:t>
            </w: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Less: Net loss attributable to noncontrolling interests</w:t>
            </w:r>
          </w:p>
        </w:tc>
        <w:tc>
          <w:tcPr>
            <w:tcW w:w="3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6"/>
        </w:trPr>
        <w:tc>
          <w:tcPr>
            <w:tcW w:w="5900" w:type="dxa"/>
            <w:vAlign w:val="bottom"/>
          </w:tcPr>
          <w:p>
            <w:pPr>
              <w:ind w:left="20"/>
              <w:spacing w:after="0"/>
              <w:rPr>
                <w:sz w:val="20"/>
                <w:szCs w:val="20"/>
                <w:color w:val="auto"/>
              </w:rPr>
            </w:pPr>
            <w:r>
              <w:rPr>
                <w:rFonts w:ascii="Arial" w:cs="Arial" w:eastAsia="Arial" w:hAnsi="Arial"/>
                <w:sz w:val="14"/>
                <w:szCs w:val="14"/>
                <w:color w:val="auto"/>
              </w:rPr>
              <w:t>NET LOSS ATTRIBUTABLE TO NCM, INC.</w:t>
            </w: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NCM, INC.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NCM, INC. COMMON SHARE:</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182"/>
        </w:trPr>
        <w:tc>
          <w:tcPr>
            <w:tcW w:w="590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81,605,806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80,359,723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81,371,370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79,652,152</w:t>
            </w:r>
          </w:p>
        </w:tc>
        <w:tc>
          <w:tcPr>
            <w:tcW w:w="0" w:type="dxa"/>
            <w:vAlign w:val="bottom"/>
          </w:tcPr>
          <w:p>
            <w:pPr>
              <w:spacing w:after="0"/>
              <w:rPr>
                <w:sz w:val="1"/>
                <w:szCs w:val="1"/>
                <w:color w:val="auto"/>
              </w:rPr>
            </w:pPr>
          </w:p>
        </w:tc>
      </w:tr>
      <w:tr>
        <w:trPr>
          <w:trHeight w:val="182"/>
        </w:trPr>
        <w:tc>
          <w:tcPr>
            <w:tcW w:w="5900" w:type="dxa"/>
            <w:vAlign w:val="bottom"/>
          </w:tcPr>
          <w:p>
            <w:pPr>
              <w:ind w:left="2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81,605,806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80,359,723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81,371,370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79,652,152</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4220" w:type="dxa"/>
            <w:vAlign w:val="bottom"/>
            <w:gridSpan w:val="4"/>
          </w:tcPr>
          <w:p>
            <w:pPr>
              <w:jc w:val="right"/>
              <w:ind w:right="116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September 29, 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8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140"/>
              <w:spacing w:after="0"/>
              <w:rPr>
                <w:sz w:val="20"/>
                <w:szCs w:val="20"/>
                <w:color w:val="auto"/>
              </w:rPr>
            </w:pPr>
            <w:r>
              <w:rPr>
                <w:rFonts w:ascii="Arial" w:cs="Arial" w:eastAsia="Arial" w:hAnsi="Arial"/>
                <w:sz w:val="14"/>
                <w:szCs w:val="14"/>
                <w:color w:val="auto"/>
              </w:rPr>
              <w:t>Consolidated net loss</w:t>
            </w:r>
          </w:p>
        </w:tc>
        <w:tc>
          <w:tcPr>
            <w:tcW w:w="1840" w:type="dxa"/>
            <w:vAlign w:val="bottom"/>
          </w:tcPr>
          <w:p>
            <w:pPr>
              <w:jc w:val="right"/>
              <w:ind w:right="168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1800" w:type="dxa"/>
            <w:vAlign w:val="bottom"/>
          </w:tcPr>
          <w:p>
            <w:pPr>
              <w:jc w:val="right"/>
              <w:ind w:right="16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Adjustments to reconcile consolidated net loss to net cash used in operating activities:</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Depreciation expense</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Non-cash share-based compensation</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long-lived assets</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modification and retirement of debt, net</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3"/>
        </w:trPr>
        <w:tc>
          <w:tcPr>
            <w:tcW w:w="6520" w:type="dxa"/>
            <w:vAlign w:val="bottom"/>
          </w:tcPr>
          <w:p>
            <w:pPr>
              <w:ind w:left="360"/>
              <w:spacing w:after="0" w:line="143" w:lineRule="exact"/>
              <w:rPr>
                <w:sz w:val="20"/>
                <w:szCs w:val="20"/>
                <w:color w:val="auto"/>
              </w:rPr>
            </w:pPr>
            <w:r>
              <w:rPr>
                <w:rFonts w:ascii="Arial" w:cs="Arial" w:eastAsia="Arial" w:hAnsi="Arial"/>
                <w:sz w:val="14"/>
                <w:szCs w:val="14"/>
                <w:color w:val="auto"/>
              </w:rPr>
              <w:t>Non-cash loss (gain) on re-measurement of the payable to founding members under</w:t>
            </w:r>
          </w:p>
        </w:tc>
        <w:tc>
          <w:tcPr>
            <w:tcW w:w="1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6520" w:type="dxa"/>
            <w:vAlign w:val="bottom"/>
          </w:tcPr>
          <w:p>
            <w:pPr>
              <w:ind w:left="460"/>
              <w:spacing w:after="0"/>
              <w:rPr>
                <w:sz w:val="20"/>
                <w:szCs w:val="20"/>
                <w:color w:val="auto"/>
              </w:rPr>
            </w:pPr>
            <w:r>
              <w:rPr>
                <w:rFonts w:ascii="Arial" w:cs="Arial" w:eastAsia="Arial" w:hAnsi="Arial"/>
                <w:sz w:val="14"/>
                <w:szCs w:val="14"/>
                <w:color w:val="auto"/>
              </w:rPr>
              <w:t>the tax receivable agreement</w:t>
            </w: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8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2"/>
        </w:trPr>
        <w:tc>
          <w:tcPr>
            <w:tcW w:w="6520" w:type="dxa"/>
            <w:vAlign w:val="bottom"/>
          </w:tcPr>
          <w:p>
            <w:pPr>
              <w:ind w:left="220"/>
              <w:spacing w:after="0"/>
              <w:rPr>
                <w:sz w:val="20"/>
                <w:szCs w:val="20"/>
                <w:color w:val="auto"/>
              </w:rPr>
            </w:pPr>
            <w:r>
              <w:rPr>
                <w:rFonts w:ascii="Arial" w:cs="Arial" w:eastAsia="Arial" w:hAnsi="Arial"/>
                <w:sz w:val="14"/>
                <w:szCs w:val="14"/>
                <w:color w:val="auto"/>
              </w:rPr>
              <w:t>Founding member integration and other encumbered theater payments</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Payment to the founding members under tax receivable agreement (including</w:t>
            </w:r>
          </w:p>
        </w:tc>
        <w:tc>
          <w:tcPr>
            <w:tcW w:w="18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to related parties of $0.0 and $0.6, respectively)</w:t>
            </w:r>
          </w:p>
        </w:tc>
        <w:tc>
          <w:tcPr>
            <w:tcW w:w="18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Receivables, net</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rPr>
              <w:t>Accounts payable and accrued expenses (including payments to related parties of</w:t>
            </w:r>
          </w:p>
        </w:tc>
        <w:tc>
          <w:tcPr>
            <w:tcW w:w="18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$0.0 and $0.6, respectively)</w:t>
            </w:r>
          </w:p>
        </w:tc>
        <w:tc>
          <w:tcPr>
            <w:tcW w:w="18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Amounts due to/from founding members, net</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Other, net</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8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property and equipment</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sale and maturities of marketable securities</w:t>
            </w:r>
          </w:p>
        </w:tc>
        <w:tc>
          <w:tcPr>
            <w:tcW w:w="184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8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Payment of dividends</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Issuance of revolving credit facility</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Issuance of term loans</w:t>
            </w:r>
          </w:p>
        </w:tc>
        <w:tc>
          <w:tcPr>
            <w:tcW w:w="18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Repayment of Notes due 2028</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Repayment of term loan facility</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Payment of debt issuance costs</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Repurchase of stock for restricted stock tax withholding</w:t>
            </w:r>
          </w:p>
        </w:tc>
        <w:tc>
          <w:tcPr>
            <w:tcW w:w="1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6520" w:type="dxa"/>
            <w:vAlign w:val="bottom"/>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18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CASH AND CASH EQUIVALENTS:</w:t>
            </w:r>
          </w:p>
        </w:tc>
        <w:tc>
          <w:tcPr>
            <w:tcW w:w="18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2"/>
        </w:trPr>
        <w:tc>
          <w:tcPr>
            <w:tcW w:w="6520" w:type="dxa"/>
            <w:vAlign w:val="bottom"/>
          </w:tcPr>
          <w:p>
            <w:pPr>
              <w:ind w:left="360"/>
              <w:spacing w:after="0"/>
              <w:rPr>
                <w:sz w:val="20"/>
                <w:szCs w:val="20"/>
                <w:color w:val="auto"/>
              </w:rPr>
            </w:pPr>
            <w:r>
              <w:rPr>
                <w:rFonts w:ascii="Arial" w:cs="Arial" w:eastAsia="Arial" w:hAnsi="Arial"/>
                <w:sz w:val="14"/>
                <w:szCs w:val="14"/>
                <w:color w:val="auto"/>
              </w:rPr>
              <w:t>Cash and cash equivalents at beginning of period</w:t>
            </w: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 at end of period</w:t>
            </w:r>
          </w:p>
        </w:tc>
        <w:tc>
          <w:tcPr>
            <w:tcW w:w="1840" w:type="dxa"/>
            <w:vAlign w:val="bottom"/>
            <w:tcBorders>
              <w:bottom w:val="single" w:sz="8" w:color="auto"/>
            </w:tcBorders>
            <w:shd w:val="clear" w:color="auto" w:fill="CCEEFF"/>
          </w:tcPr>
          <w:p>
            <w:pPr>
              <w:jc w:val="right"/>
              <w:ind w:right="168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164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w:t>
            </w:r>
          </w:p>
        </w:tc>
      </w:tr>
      <w:tr>
        <w:trPr>
          <w:trHeight w:val="26"/>
        </w:trPr>
        <w:tc>
          <w:tcPr>
            <w:tcW w:w="7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2022</w:t>
            </w:r>
          </w:p>
        </w:tc>
        <w:tc>
          <w:tcPr>
            <w:tcW w:w="16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 2021</w:t>
            </w:r>
          </w:p>
        </w:tc>
      </w:tr>
      <w:tr>
        <w:trPr>
          <w:trHeight w:val="169"/>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 of subsidiary equity with NCM, Inc. equity</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Dividends declared not requiring cash in the period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20"/>
        </w:trPr>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refunds for income taxes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7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gridSpan w:val="8"/>
          </w:tcPr>
          <w:p>
            <w:pPr>
              <w:ind w:left="180"/>
              <w:spacing w:after="0"/>
              <w:rPr>
                <w:sz w:val="20"/>
                <w:szCs w:val="20"/>
                <w:color w:val="auto"/>
              </w:rPr>
            </w:pPr>
            <w:r>
              <w:rPr>
                <w:rFonts w:ascii="Arial" w:cs="Arial" w:eastAsia="Arial" w:hAnsi="Arial"/>
                <w:sz w:val="14"/>
                <w:szCs w:val="14"/>
                <w:b w:val="1"/>
                <w:bCs w:val="1"/>
                <w:color w:val="auto"/>
              </w:rPr>
              <w:t>NCM, Inc.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rPr>
              <w:t>(Distribution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5"/>
            <w:vMerge w:val="restart"/>
          </w:tcPr>
          <w:p>
            <w:pPr>
              <w:spacing w:after="0" w:line="125" w:lineRule="exact"/>
              <w:rPr>
                <w:sz w:val="20"/>
                <w:szCs w:val="20"/>
                <w:color w:val="auto"/>
              </w:rPr>
            </w:pPr>
            <w:r>
              <w:rPr>
                <w:rFonts w:ascii="Arial" w:cs="Arial" w:eastAsia="Arial" w:hAnsi="Arial"/>
                <w:sz w:val="14"/>
                <w:szCs w:val="14"/>
                <w:b w:val="1"/>
                <w:bCs w:val="1"/>
                <w:color w:val="auto"/>
              </w:rPr>
              <w:t>Paid in Capital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85"/>
              </w:rPr>
              <w:t>Excess of</w:t>
            </w:r>
          </w:p>
        </w:tc>
        <w:tc>
          <w:tcPr>
            <w:tcW w:w="100" w:type="dxa"/>
            <w:vAlign w:val="bottom"/>
          </w:tcPr>
          <w:p>
            <w:pPr>
              <w:spacing w:after="0"/>
              <w:rPr>
                <w:sz w:val="9"/>
                <w:szCs w:val="9"/>
                <w:color w:val="auto"/>
              </w:rPr>
            </w:pPr>
          </w:p>
        </w:tc>
        <w:tc>
          <w:tcPr>
            <w:tcW w:w="1260" w:type="dxa"/>
            <w:vAlign w:val="bottom"/>
            <w:gridSpan w:val="3"/>
            <w:vMerge w:val="restart"/>
          </w:tcPr>
          <w:p>
            <w:pPr>
              <w:jc w:val="right"/>
              <w:ind w:right="260"/>
              <w:spacing w:after="0" w:line="125" w:lineRule="exact"/>
              <w:rPr>
                <w:sz w:val="20"/>
                <w:szCs w:val="20"/>
                <w:color w:val="auto"/>
              </w:rPr>
            </w:pPr>
            <w:r>
              <w:rPr>
                <w:rFonts w:ascii="Arial" w:cs="Arial" w:eastAsia="Arial" w:hAnsi="Arial"/>
                <w:sz w:val="14"/>
                <w:szCs w:val="14"/>
                <w:b w:val="1"/>
                <w:bCs w:val="1"/>
                <w:color w:val="auto"/>
                <w:w w:val="98"/>
              </w:rPr>
              <w:t>Noncontrolling</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Consolidated</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Balance—July 1, 2021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80,238,751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960" w:type="dxa"/>
            <w:vAlign w:val="bottom"/>
          </w:tcPr>
          <w:p>
            <w:pPr>
              <w:ind w:left="20"/>
              <w:spacing w:after="0" w:line="143" w:lineRule="exact"/>
              <w:rPr>
                <w:sz w:val="20"/>
                <w:szCs w:val="20"/>
                <w:color w:val="auto"/>
              </w:rPr>
            </w:pPr>
            <w:r>
              <w:rPr>
                <w:rFonts w:ascii="Arial" w:cs="Arial" w:eastAsia="Arial" w:hAnsi="Arial"/>
                <w:sz w:val="14"/>
                <w:szCs w:val="14"/>
                <w:color w:val="auto"/>
              </w:rPr>
              <w:t>Income tax and other impacts of NCM LLC ownership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changes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178,759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Cash dividends declared $0.05 per share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80,417,510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81,492,426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960" w:type="dxa"/>
            <w:vAlign w:val="bottom"/>
          </w:tcPr>
          <w:p>
            <w:pPr>
              <w:ind w:left="20"/>
              <w:spacing w:after="0" w:line="143" w:lineRule="exact"/>
              <w:rPr>
                <w:sz w:val="20"/>
                <w:szCs w:val="20"/>
                <w:color w:val="auto"/>
              </w:rPr>
            </w:pPr>
            <w:r>
              <w:rPr>
                <w:rFonts w:ascii="Arial" w:cs="Arial" w:eastAsia="Arial" w:hAnsi="Arial"/>
                <w:sz w:val="14"/>
                <w:szCs w:val="14"/>
                <w:color w:val="auto"/>
              </w:rPr>
              <w:t>Income tax and other impacts of NCM LLC ownership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Pr>
          <w:p>
            <w:pPr>
              <w:ind w:left="120"/>
              <w:spacing w:after="0"/>
              <w:rPr>
                <w:sz w:val="20"/>
                <w:szCs w:val="20"/>
                <w:color w:val="auto"/>
              </w:rPr>
            </w:pPr>
            <w:r>
              <w:rPr>
                <w:rFonts w:ascii="Arial" w:cs="Arial" w:eastAsia="Arial" w:hAnsi="Arial"/>
                <w:sz w:val="14"/>
                <w:szCs w:val="14"/>
                <w:color w:val="auto"/>
              </w:rPr>
              <w:t>changes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209,235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Cash dividends declared $0.03 per share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29,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(453.8)</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81,701,661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7"/>
          </w:tcPr>
          <w:p>
            <w:pPr>
              <w:spacing w:after="0"/>
              <w:rPr>
                <w:sz w:val="20"/>
                <w:szCs w:val="20"/>
                <w:color w:val="auto"/>
              </w:rPr>
            </w:pPr>
            <w:r>
              <w:rPr>
                <w:rFonts w:ascii="Arial" w:cs="Arial" w:eastAsia="Arial" w:hAnsi="Arial"/>
                <w:sz w:val="14"/>
                <w:szCs w:val="14"/>
                <w:b w:val="1"/>
                <w:bCs w:val="1"/>
                <w:color w:val="auto"/>
              </w:rPr>
              <w:t>NCM,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(Distribution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3"/>
            <w:vMerge w:val="restart"/>
          </w:tcPr>
          <w:p>
            <w:pPr>
              <w:jc w:val="center"/>
              <w:ind w:right="140"/>
              <w:spacing w:after="0" w:line="12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jc w:val="center"/>
              <w:ind w:right="120"/>
              <w:spacing w:after="0" w:line="122" w:lineRule="exact"/>
              <w:rPr>
                <w:sz w:val="20"/>
                <w:szCs w:val="20"/>
                <w:color w:val="auto"/>
              </w:rPr>
            </w:pPr>
            <w:r>
              <w:rPr>
                <w:rFonts w:ascii="Arial" w:cs="Arial" w:eastAsia="Arial" w:hAnsi="Arial"/>
                <w:sz w:val="14"/>
                <w:szCs w:val="14"/>
                <w:b w:val="1"/>
                <w:bCs w:val="1"/>
                <w:color w:val="auto"/>
                <w:w w:val="85"/>
              </w:rPr>
              <w:t>Excess of</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right"/>
              <w:ind w:right="160"/>
              <w:spacing w:after="0" w:line="122"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Balance—December 31, 2020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78,040,818</w:t>
            </w: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(207.5)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Income tax and other impacts of NCM LLC ownership</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4"/>
        </w:trPr>
        <w:tc>
          <w:tcPr>
            <w:tcW w:w="100" w:type="dxa"/>
            <w:vAlign w:val="bottom"/>
            <w:shd w:val="clear" w:color="auto" w:fill="CCEEFF"/>
          </w:tcPr>
          <w:p>
            <w:pPr>
              <w:spacing w:after="0"/>
              <w:rPr>
                <w:sz w:val="16"/>
                <w:szCs w:val="16"/>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Issuance of shares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1,390,567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NCM LLC common membership unit redemption</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Comprehensive loss, net of tax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(57.3)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986,125</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$0.15 per share</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(13.0)</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Balance— September 30, 2021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80,417,510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(336.7)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Balance—December 30, 2021</w:t>
            </w: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color w:val="auto"/>
              </w:rPr>
              <w:t>(383.5)</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80,626,889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240" w:type="dxa"/>
            <w:vAlign w:val="bottom"/>
            <w:gridSpan w:val="3"/>
          </w:tcPr>
          <w:p>
            <w:pPr>
              <w:ind w:left="160"/>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(195.5)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(332.0)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3"/>
        </w:trPr>
        <w:tc>
          <w:tcPr>
            <w:tcW w:w="40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Income tax and other impacts of NCM LLC ownership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changes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1,074,772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$0.11 per share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Balance—September 29, 2022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(453.8)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81,701,661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(189.1)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(376.5)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6" w:right="399" w:bottom="1440" w:gutter="0" w:footer="0" w:header="0"/>
        </w:sectPr>
      </w:pPr>
    </w:p>
    <w:bookmarkStart w:id="8" w:name="page9"/>
    <w:bookmarkEnd w:id="8"/>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40" w:firstLine="526"/>
        <w:spacing w:after="0" w:line="283" w:lineRule="auto"/>
        <w:rPr>
          <w:sz w:val="20"/>
          <w:szCs w:val="20"/>
          <w:color w:val="auto"/>
        </w:rPr>
      </w:pPr>
      <w:r>
        <w:rPr>
          <w:rFonts w:ascii="Arial" w:cs="Arial" w:eastAsia="Arial" w:hAnsi="Arial"/>
          <w:sz w:val="16"/>
          <w:szCs w:val="16"/>
          <w:color w:val="auto"/>
        </w:rPr>
        <w:t>National CineMedia, Inc., a Delaware corporation (“NCM, Inc.”), is a holding company with the sole purpose of becoming a member and sole manager of National CineMedia, LLC (“NCM LLC”), a Delaware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48" w:lineRule="exact"/>
        <w:rPr>
          <w:sz w:val="20"/>
          <w:szCs w:val="20"/>
          <w:color w:val="auto"/>
        </w:rPr>
      </w:pPr>
    </w:p>
    <w:p>
      <w:pPr>
        <w:ind w:right="20" w:firstLine="526"/>
        <w:spacing w:after="0" w:line="280" w:lineRule="auto"/>
        <w:rPr>
          <w:sz w:val="20"/>
          <w:szCs w:val="20"/>
          <w:color w:val="auto"/>
        </w:rPr>
      </w:pPr>
      <w:r>
        <w:rPr>
          <w:rFonts w:ascii="Arial" w:cs="Arial" w:eastAsia="Arial" w:hAnsi="Arial"/>
          <w:sz w:val="16"/>
          <w:szCs w:val="16"/>
          <w:color w:val="auto"/>
        </w:rPr>
        <w:t>The Company operates the largest cinema advertising network reaching movie audiences in the U.S. and sells advertising under long-term exhibitor service agreements (“ESAs”) with the founding members and with certain third-party network affiliates, under long-term network affiliate agreements. The impacts from the COVID-19 Pandemic have had and continue to have an effect on the world and our business. The movie slate for 2022 has improved from prior years but continues to be limited by post-production delays and major motion picture release schedule changes. The attendance level has increased from the prior year, but it has not met historical levels and has not been consistent throughout the year due to timing of major motion picture releases. In-theater advertising revenue for the year ended December 30, 2021 and the nine months ended September 29, 2022 also remained below historical levels due in part to a lag between the recovery of attendees and advertisers, as well as current macroeconomic factors.</w:t>
      </w:r>
    </w:p>
    <w:p>
      <w:pPr>
        <w:spacing w:after="0" w:line="50" w:lineRule="exact"/>
        <w:rPr>
          <w:sz w:val="20"/>
          <w:szCs w:val="20"/>
          <w:color w:val="auto"/>
        </w:rPr>
      </w:pPr>
    </w:p>
    <w:p>
      <w:pPr>
        <w:ind w:right="20" w:firstLine="526"/>
        <w:spacing w:after="0" w:line="288" w:lineRule="auto"/>
        <w:rPr>
          <w:sz w:val="20"/>
          <w:szCs w:val="20"/>
          <w:color w:val="auto"/>
        </w:rPr>
      </w:pPr>
      <w:r>
        <w:rPr>
          <w:rFonts w:ascii="Arial" w:cs="Arial" w:eastAsia="Arial" w:hAnsi="Arial"/>
          <w:sz w:val="16"/>
          <w:szCs w:val="16"/>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(weighted based upon pre-COVID-19 attendance levels) of approximately 17.0 years as of September 29, 2022. The network affiliate agreements expire at various dates between November 2022 and December 2037. The weighted average remaining term of the ESAs and the network affiliate agreements together is 15.1 years as of September 29, 2022 (weighted based upon pre-COVID-19 attendance levels).</w:t>
      </w:r>
    </w:p>
    <w:p>
      <w:pPr>
        <w:spacing w:after="0" w:line="98" w:lineRule="exact"/>
        <w:rPr>
          <w:sz w:val="20"/>
          <w:szCs w:val="20"/>
          <w:color w:val="auto"/>
        </w:rPr>
      </w:pPr>
    </w:p>
    <w:p>
      <w:pPr>
        <w:ind w:right="260" w:firstLine="526"/>
        <w:spacing w:after="0" w:line="303" w:lineRule="auto"/>
        <w:rPr>
          <w:sz w:val="20"/>
          <w:szCs w:val="20"/>
          <w:color w:val="auto"/>
        </w:rPr>
      </w:pPr>
      <w:r>
        <w:rPr>
          <w:rFonts w:ascii="Arial" w:cs="Arial" w:eastAsia="Arial" w:hAnsi="Arial"/>
          <w:sz w:val="16"/>
          <w:szCs w:val="16"/>
          <w:color w:val="auto"/>
        </w:rPr>
        <w:t>As of September 29, 2022, NCM LLC had 172,030,901 common membership units outstanding, of which 81,701,661 (47.5%) were owned by NCM, Inc., 40,683,797 (23.6%) were owned by Regal, 43,690,797 (25.4%) were owned by Cinemark and 5,954,646 (3.5%) were owned by AMC. The membership units held by the founding members are exchangeable into NCM, Inc. common stock on a one-for-one basis, at the discretion of the 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firstLine="526"/>
        <w:spacing w:after="0" w:line="263"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30, 2021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30, 2021.</w:t>
      </w:r>
    </w:p>
    <w:p>
      <w:pPr>
        <w:spacing w:after="0" w:line="119" w:lineRule="exact"/>
        <w:rPr>
          <w:sz w:val="20"/>
          <w:szCs w:val="20"/>
          <w:color w:val="auto"/>
        </w:rPr>
      </w:pPr>
    </w:p>
    <w:p>
      <w:pPr>
        <w:ind w:firstLine="526"/>
        <w:spacing w:after="0" w:line="273"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Historically, the Company’s business has been seasonal and for this and other reasons operating results for interim periods have not been indicative of the Company’s full year results or future performance. As a result of the various related party agreements discussed in Note 5—</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operating and reportable segment of advertising.</w:t>
      </w:r>
    </w:p>
    <w:p>
      <w:pPr>
        <w:spacing w:after="0" w:line="124" w:lineRule="exact"/>
        <w:rPr>
          <w:sz w:val="20"/>
          <w:szCs w:val="20"/>
          <w:color w:val="auto"/>
        </w:rPr>
      </w:pPr>
    </w:p>
    <w:p>
      <w:pPr>
        <w:ind w:right="60" w:firstLine="526"/>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firstLine="526"/>
        <w:spacing w:after="0" w:line="308" w:lineRule="auto"/>
        <w:rPr>
          <w:sz w:val="20"/>
          <w:szCs w:val="20"/>
          <w:color w:val="auto"/>
        </w:rPr>
      </w:pPr>
      <w:r>
        <w:rPr>
          <w:rFonts w:ascii="Arial" w:cs="Arial" w:eastAsia="Arial" w:hAnsi="Arial"/>
          <w:sz w:val="17"/>
          <w:szCs w:val="17"/>
          <w:b w:val="1"/>
          <w:bCs w:val="1"/>
          <w:i w:val="1"/>
          <w:iCs w:val="1"/>
          <w:color w:val="auto"/>
        </w:rPr>
        <w:t>Going Concern</w:t>
      </w:r>
      <w:r>
        <w:rPr>
          <w:rFonts w:ascii="Arial" w:cs="Arial" w:eastAsia="Arial" w:hAnsi="Arial"/>
          <w:sz w:val="17"/>
          <w:szCs w:val="17"/>
          <w:color w:val="auto"/>
        </w:rPr>
        <w:t>—The accompanying unaudited Condensed Consolidated Financial Statements are prepared in accordance with GAAP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going concern, which contemplates the realization of assets and the satisfaction of liabilities in the normal course of business.</w:t>
      </w:r>
    </w:p>
    <w:p>
      <w:pPr>
        <w:spacing w:after="0" w:line="92" w:lineRule="exact"/>
        <w:rPr>
          <w:sz w:val="20"/>
          <w:szCs w:val="20"/>
          <w:color w:val="auto"/>
        </w:rPr>
      </w:pPr>
    </w:p>
    <w:p>
      <w:pPr>
        <w:ind w:firstLine="526"/>
        <w:spacing w:after="0" w:line="267" w:lineRule="auto"/>
        <w:rPr>
          <w:sz w:val="20"/>
          <w:szCs w:val="20"/>
          <w:color w:val="auto"/>
        </w:rPr>
      </w:pPr>
      <w:r>
        <w:rPr>
          <w:rFonts w:ascii="Arial" w:cs="Arial" w:eastAsia="Arial" w:hAnsi="Arial"/>
          <w:sz w:val="17"/>
          <w:szCs w:val="17"/>
          <w:color w:val="auto"/>
        </w:rPr>
        <w:t>The Company, through NCM LLC, has borrowings under two Revolving Credit Facilities with $217.0 million outstanding as of September 29, 2022, that mature on June 20, 2023 (refer to Note 6—</w:t>
      </w:r>
      <w:r>
        <w:rPr>
          <w:rFonts w:ascii="Arial" w:cs="Arial" w:eastAsia="Arial" w:hAnsi="Arial"/>
          <w:sz w:val="17"/>
          <w:szCs w:val="17"/>
          <w:i w:val="1"/>
          <w:iCs w:val="1"/>
          <w:color w:val="auto"/>
        </w:rPr>
        <w:t>Borrowings</w:t>
      </w:r>
      <w:r>
        <w:rPr>
          <w:rFonts w:ascii="Arial" w:cs="Arial" w:eastAsia="Arial" w:hAnsi="Arial"/>
          <w:sz w:val="17"/>
          <w:szCs w:val="17"/>
          <w:color w:val="auto"/>
        </w:rPr>
        <w:t>). The Company does not have available liquidity to repay the full outstanding balance on the date of maturity. Additionally, based on current projections, the Company does not expect to meet certain financial covenants for the period ending March 30, 2023. Further, if the Company’s independent registered public accounting firm includes a “going concern” or like qualification or exception, other than for debt maturing within one year, in its report on the Company’s financial statements for the year ending December 29, 2022, this would be an event of default under the Company’s Credit Agreement at the time the Company’s financial statements for the year ending December 29, 2022 are filed. Under the Credit Agreement, failure to remain in compliance with these covenants or inability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the senior notes, which would allow the indenture trustee or senior note holders of each tranche of senior notes to accelerate the maturity to become due and payable. Should the Company’s borrowings become due and payable, the Company would not be able to repay the Company’s total outstanding debt balance. These conditions and events raise substantial doubt about the Company’s ability to continue as a going concern. In response to these conditions, management’s plans include amending NCM LLC’s Revolving Credit Facilities to extend the maturity dates, amending its Senior Secured Credit Facility to extend a waiver of these financial covenants or obtaining additional debt financing through a loan from third parties, and/or NCM, Inc. Management expects to conclude one of these alternatives; however, there can be no assurance that the Company will be successful in completing any of these options. As a result, management’s plan cannot be considered probable and thus does not alleviate the substantial doubt about the Company’s ability to continue as a going concern.</w:t>
      </w:r>
    </w:p>
    <w:p>
      <w:pPr>
        <w:spacing w:after="0" w:line="137" w:lineRule="exact"/>
        <w:rPr>
          <w:sz w:val="20"/>
          <w:szCs w:val="20"/>
          <w:color w:val="auto"/>
        </w:rPr>
      </w:pPr>
    </w:p>
    <w:p>
      <w:pPr>
        <w:ind w:right="400" w:firstLine="526"/>
        <w:spacing w:after="0" w:line="308" w:lineRule="auto"/>
        <w:rPr>
          <w:sz w:val="20"/>
          <w:szCs w:val="20"/>
          <w:color w:val="auto"/>
        </w:rPr>
      </w:pPr>
      <w:r>
        <w:rPr>
          <w:rFonts w:ascii="Arial" w:cs="Arial" w:eastAsia="Arial" w:hAnsi="Arial"/>
          <w:sz w:val="17"/>
          <w:szCs w:val="17"/>
          <w:color w:val="auto"/>
        </w:rPr>
        <w:t>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00" w:firstLine="526"/>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30, 2021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right="20" w:firstLine="526"/>
        <w:spacing w:after="0" w:line="273"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—The Company derives revenue principally from the advertising business, which includes advertising through its on-screen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 The Company has changed the classification of the make good provision, retrospectively, to now be included within “Deferred Revenue” on the unaudited Consolidated Balance Sheet rather than “Accrued Expenses” as of September 29, 2022.</w:t>
      </w:r>
    </w:p>
    <w:p>
      <w:pPr>
        <w:spacing w:after="0" w:line="124" w:lineRule="exact"/>
        <w:rPr>
          <w:sz w:val="20"/>
          <w:szCs w:val="20"/>
          <w:color w:val="auto"/>
        </w:rPr>
      </w:pPr>
    </w:p>
    <w:p>
      <w:pPr>
        <w:ind w:right="20" w:firstLine="526"/>
        <w:spacing w:after="0" w:line="287"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—The risk of credit loss related to the Company's trade receivables and unbilled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60" w:firstLine="526"/>
        <w:spacing w:after="0" w:line="296" w:lineRule="auto"/>
        <w:rPr>
          <w:sz w:val="20"/>
          <w:szCs w:val="20"/>
          <w:color w:val="auto"/>
        </w:rPr>
      </w:pPr>
      <w:r>
        <w:rPr>
          <w:rFonts w:ascii="Arial" w:cs="Arial" w:eastAsia="Arial" w:hAnsi="Arial"/>
          <w:sz w:val="16"/>
          <w:szCs w:val="16"/>
          <w:color w:val="auto"/>
        </w:rPr>
        <w:t>The Company had no agencies through which it sourced advertising revenue that accounted for more than 10% of the Company’s gross outstanding receivable balance as of September 29, 2022. The Company had one agency through which it sourced advertising revenue that accounted for 15.7% of the Company's gross outstanding receivable balance as of December 30, 2021. During the three and nine months ended September 29, 2022, the Company had one customer that accounted for 14.6% and 15.0% of the Company’s revenue, respectively. During the three and nine months ended September 30, 2021, the Company had one customer that accounted for 11.8% and 11.6% of the Company's revenue, respectively.</w:t>
      </w:r>
    </w:p>
    <w:p>
      <w:pPr>
        <w:spacing w:after="0" w:line="107" w:lineRule="exact"/>
        <w:rPr>
          <w:sz w:val="20"/>
          <w:szCs w:val="20"/>
          <w:color w:val="auto"/>
        </w:rPr>
      </w:pPr>
    </w:p>
    <w:p>
      <w:pPr>
        <w:jc w:val="both"/>
        <w:ind w:right="180" w:firstLine="526"/>
        <w:spacing w:after="0" w:line="301" w:lineRule="auto"/>
        <w:rPr>
          <w:sz w:val="20"/>
          <w:szCs w:val="20"/>
          <w:color w:val="auto"/>
        </w:rPr>
      </w:pPr>
      <w:r>
        <w:rPr>
          <w:rFonts w:ascii="Arial" w:cs="Arial" w:eastAsia="Arial" w:hAnsi="Arial"/>
          <w:sz w:val="16"/>
          <w:szCs w:val="16"/>
          <w:b w:val="1"/>
          <w:bCs w:val="1"/>
          <w:i w:val="1"/>
          <w:iCs w:val="1"/>
          <w:color w:val="auto"/>
        </w:rPr>
        <w:t>Long-lived Assets</w:t>
      </w:r>
      <w:r>
        <w:rPr>
          <w:rFonts w:ascii="Arial" w:cs="Arial" w:eastAsia="Arial" w:hAnsi="Arial"/>
          <w:sz w:val="16"/>
          <w:szCs w:val="16"/>
          <w:color w:val="auto"/>
        </w:rPr>
        <w:t>—The Company assesses impairment of long-lived assets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Standards Certification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360 –</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Property, Plant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Equipment</w:t>
      </w:r>
      <w:r>
        <w:rPr>
          <w:rFonts w:ascii="Arial" w:cs="Arial" w:eastAsia="Arial" w:hAnsi="Arial"/>
          <w:sz w:val="16"/>
          <w:szCs w:val="16"/>
          <w:color w:val="auto"/>
        </w:rPr>
        <w:t>. This includes determining whether certain triggering events have occurred that could affect the value of an asset. The Company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of $0.0 million, $0.0 million, $5.8 million and $0.0 million related to the write-off of certain internally developed software during the three months ended September 29, 2022 and September 30, 2021 and nine months ended September 29, 2022 and September 30, 2021, respectively.</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has issued stock options, restricted stock, and restricted stock units to certain employees and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directors. The restricted stock and restricted stock unit grants for Company management vest upon the achievement of Company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measures and/or service conditions, while non-management grants vest only upon the achievement of service conditions.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and restricted stock units that vest upon the achievement of Company performance measures is based on management’s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projections and the probability of achieving the projections, which require considerable judgment. A cumulative adjustment is recorded to share-based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in periods that management changes its estimate of the number of shares of restricted stock and restricted stock units expected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Ultimately, the Company adjusts the expense recognized to reflect the actual vested shares following the resolution of the performance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are accrued when declared on unvested restricted stock and restricted stock units that are expected to vest and are only paid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that actually vest. On February 28, 2021, March 2, 2021 and January 19, 2022, the Company’s Board of Directors approved certain modifications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awards awarded under the Company’s 2016 Equity Incentive Plan and 2020 Omnibus Equity Incentive Plan to adjust performance metrics, vesting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and future performance goals in light of the COVID-19 Pandemic resulting in incremental share-based compensation expense of $0.1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$0.5 million and $1.7 million for the three months ended September 29, 2022 and September 30, 2021 and nine months ended September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2022 and September 30, 2021, respectively. During the three months ended September 29, 2022 and September 30, 2021 and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29, 2022 and September 30, 2021, 230,689, 268,782, 1,155,817 and 1,394,321 shares of restricted stock and restricted stock units 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57" w:lineRule="exact"/>
        <w:rPr>
          <w:sz w:val="20"/>
          <w:szCs w:val="20"/>
          <w:color w:val="auto"/>
        </w:rPr>
      </w:pPr>
    </w:p>
    <w:p>
      <w:pPr>
        <w:ind w:right="140" w:firstLine="526"/>
        <w:spacing w:after="0" w:line="34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The following table presents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changes in NCM, Inc.’s equity resulting from net income attributable to NCM, Inc. and transfers to or from noncontrolling interests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46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10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23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NCM LLC equity issued for purchase of intangible asset</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and other impacts of subsidiary ownership changes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NCM LLC common membership unit redemption</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shares to founding members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line="156" w:lineRule="exact"/>
              <w:rPr>
                <w:sz w:val="20"/>
                <w:szCs w:val="20"/>
                <w:color w:val="auto"/>
              </w:rPr>
            </w:pPr>
            <w:r>
              <w:rPr>
                <w:rFonts w:ascii="Arial" w:cs="Arial" w:eastAsia="Arial" w:hAnsi="Arial"/>
                <w:sz w:val="18"/>
                <w:szCs w:val="18"/>
                <w:color w:val="auto"/>
              </w:rPr>
              <w:t>Change from net loss attributable to NCM, Inc. and</w:t>
            </w:r>
          </w:p>
        </w:tc>
        <w:tc>
          <w:tcPr>
            <w:tcW w:w="42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5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3"/>
                <w:szCs w:val="13"/>
                <w:color w:val="auto"/>
              </w:rPr>
            </w:pPr>
          </w:p>
        </w:tc>
        <w:tc>
          <w:tcPr>
            <w:tcW w:w="740" w:type="dxa"/>
            <w:vAlign w:val="bottom"/>
            <w:tcBorders>
              <w:top w:val="single" w:sz="8" w:color="auto"/>
            </w:tcBorders>
            <w:vMerge w:val="restart"/>
          </w:tcPr>
          <w:p>
            <w:pPr>
              <w:jc w:val="right"/>
              <w:ind w:right="5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1"/>
        </w:trPr>
        <w:tc>
          <w:tcPr>
            <w:tcW w:w="5540" w:type="dxa"/>
            <w:vAlign w:val="bottom"/>
          </w:tcPr>
          <w:p>
            <w:pPr>
              <w:ind w:left="160"/>
              <w:spacing w:after="0"/>
              <w:rPr>
                <w:sz w:val="20"/>
                <w:szCs w:val="20"/>
                <w:color w:val="auto"/>
              </w:rPr>
            </w:pPr>
            <w:r>
              <w:rPr>
                <w:rFonts w:ascii="Arial" w:cs="Arial" w:eastAsia="Arial" w:hAnsi="Arial"/>
                <w:sz w:val="18"/>
                <w:szCs w:val="18"/>
                <w:color w:val="auto"/>
              </w:rPr>
              <w:t>transfers from noncontrolling interests</w:t>
            </w:r>
          </w:p>
        </w:tc>
        <w:tc>
          <w:tcPr>
            <w:tcW w:w="4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color w:val="auto"/>
        </w:rPr>
        <w:t xml:space="preserve">During the first quarter of 2021, the Company adopted Accounting Standards Update 2019-12, Income Taxes (Topic 740):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(“ASU 2019-12”), which removes the following exceptions for the Company to analyze in a given period: the exception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incremental approach for intraperiod tax allocation; the exception to accounting for basis differences when there are ownership changes in foreign investments; and the exception in interim periods income tax accounting for year-to-date losses that exceed anticipated losses. The Company’s adoption of ASU 2019-12 did not have a material impact on the unaudited Condensed Consolidated Financial Statements or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60" w:firstLine="567"/>
        <w:spacing w:after="0" w:line="296" w:lineRule="auto"/>
        <w:rPr>
          <w:sz w:val="20"/>
          <w:szCs w:val="20"/>
          <w:color w:val="auto"/>
        </w:rPr>
      </w:pPr>
      <w:r>
        <w:rPr>
          <w:rFonts w:ascii="Arial" w:cs="Arial" w:eastAsia="Arial" w:hAnsi="Arial"/>
          <w:sz w:val="16"/>
          <w:szCs w:val="16"/>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concluded the LIBOR transition did not have a material impact on the Company’s unaudited Condensed Consolidated Financial Statements.</w:t>
      </w:r>
    </w:p>
    <w:p>
      <w:pPr>
        <w:spacing w:after="0" w:line="107"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12"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ind w:right="100" w:firstLine="526"/>
        <w:spacing w:after="0" w:line="272" w:lineRule="auto"/>
        <w:rPr>
          <w:sz w:val="20"/>
          <w:szCs w:val="20"/>
          <w:color w:val="auto"/>
        </w:rPr>
      </w:pPr>
      <w:r>
        <w:rPr>
          <w:rFonts w:ascii="Arial" w:cs="Arial" w:eastAsia="Arial" w:hAnsi="Arial"/>
          <w:sz w:val="17"/>
          <w:szCs w:val="17"/>
          <w:color w:val="auto"/>
        </w:rPr>
        <w:t xml:space="preserve">The Company derives revenue principally from the sale of advertising to national, regional and local businesses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Audience Accelerator</w:t>
      </w:r>
      <w:r>
        <w:rPr>
          <w:rFonts w:ascii="Arial" w:cs="Arial" w:eastAsia="Arial" w:hAnsi="Arial"/>
          <w:sz w:val="17"/>
          <w:szCs w:val="17"/>
          <w:i w:val="1"/>
          <w:iCs w:val="1"/>
          <w:color w:val="auto"/>
        </w:rPr>
        <w:t>,</w:t>
      </w:r>
      <w:r>
        <w:rPr>
          <w:rFonts w:ascii="Arial" w:cs="Arial" w:eastAsia="Arial" w:hAnsi="Arial"/>
          <w:sz w:val="17"/>
          <w:szCs w:val="17"/>
          <w:color w:val="auto"/>
        </w:rPr>
        <w:t xml:space="preserve"> through NCM's digital gaming products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Noovie </w:t>
      </w:r>
      <w:r>
        <w:rPr>
          <w:rFonts w:ascii="Arial" w:cs="Arial" w:eastAsia="Arial" w:hAnsi="Arial"/>
          <w:sz w:val="17"/>
          <w:szCs w:val="17"/>
          <w:color w:val="auto"/>
        </w:rPr>
        <w:t>Shuffle</w:t>
      </w:r>
      <w:r>
        <w:rPr>
          <w:rFonts w:ascii="Arial" w:cs="Arial" w:eastAsia="Arial" w:hAnsi="Arial"/>
          <w:sz w:val="17"/>
          <w:szCs w:val="17"/>
          <w:i w:val="1"/>
          <w:iCs w:val="1"/>
          <w:color w:val="auto"/>
        </w:rPr>
        <w:t xml:space="preserve">, </w:t>
      </w:r>
      <w:r>
        <w:rPr>
          <w:rFonts w:ascii="Arial" w:cs="Arial" w:eastAsia="Arial" w:hAnsi="Arial"/>
          <w:sz w:val="17"/>
          <w:szCs w:val="17"/>
          <w:color w:val="auto"/>
        </w:rPr>
        <w:t>which can be played on the mobile apps and through partnerships with certain internet platforms</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the Company sells advertising in</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complementary out of home venues, including restaurants, convenience stores and college campuses. The Company also has a long-term agreement to exhibit the advertising of the founding members’ beverage suppliers.</w:t>
      </w:r>
    </w:p>
    <w:p>
      <w:pPr>
        <w:spacing w:after="0" w:line="69" w:lineRule="exact"/>
        <w:rPr>
          <w:sz w:val="20"/>
          <w:szCs w:val="20"/>
          <w:color w:val="auto"/>
        </w:rPr>
      </w:pPr>
    </w:p>
    <w:p>
      <w:pPr>
        <w:ind w:right="120" w:firstLine="526"/>
        <w:spacing w:after="0" w:line="275"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or the make-good period expires. The make-good provision is recorded within deferred revenue in the unaudited Condensed Consolidated Balance Sheet.</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 does not have any contracts with customers with terms in excess of one year that are noncancellable as of September 29,</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2022. Agreements with a duration less than one year are not included within this disclosure as the Company elected to use the practical expedient in ASC 606-10-50-14 for those contracts. In addition, the Company’s other contracts longer than one year that are cancellable are not included within this disclosure.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320" w:firstLine="526"/>
        <w:spacing w:after="0" w:line="342" w:lineRule="auto"/>
        <w:rPr>
          <w:sz w:val="20"/>
          <w:szCs w:val="20"/>
          <w:color w:val="auto"/>
        </w:rPr>
      </w:pPr>
      <w:r>
        <w:rPr>
          <w:rFonts w:ascii="Arial" w:cs="Arial" w:eastAsia="Arial" w:hAnsi="Arial"/>
          <w:sz w:val="16"/>
          <w:szCs w:val="16"/>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revenue from contracts with customers for the three months and nine months ended September 29,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6"/>
                <w:szCs w:val="16"/>
                <w:color w:val="auto"/>
              </w:rPr>
            </w:pPr>
          </w:p>
        </w:tc>
      </w:tr>
      <w:tr>
        <w:trPr>
          <w:trHeight w:val="25"/>
        </w:trPr>
        <w:tc>
          <w:tcPr>
            <w:tcW w:w="56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2021</w:t>
            </w:r>
          </w:p>
        </w:tc>
        <w:tc>
          <w:tcPr>
            <w:tcW w:w="100" w:type="dxa"/>
            <w:vAlign w:val="bottom"/>
          </w:tcPr>
          <w:p>
            <w:pPr>
              <w:spacing w:after="0"/>
              <w:rPr>
                <w:sz w:val="16"/>
                <w:szCs w:val="16"/>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29, 2022</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2021</w:t>
            </w:r>
          </w:p>
        </w:tc>
      </w:tr>
      <w:tr>
        <w:trPr>
          <w:trHeight w:val="23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Local and regional advertising revenue</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 beverage</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concessionaire agreements</w:t>
            </w: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58" w:lineRule="exact"/>
        <w:rPr>
          <w:sz w:val="20"/>
          <w:szCs w:val="20"/>
          <w:color w:val="auto"/>
        </w:rPr>
      </w:pPr>
    </w:p>
    <w:p>
      <w:pPr>
        <w:ind w:right="20" w:firstLine="526"/>
        <w:spacing w:after="0" w:line="248" w:lineRule="auto"/>
        <w:rPr>
          <w:sz w:val="20"/>
          <w:szCs w:val="20"/>
          <w:color w:val="auto"/>
        </w:rPr>
      </w:pPr>
      <w:r>
        <w:rPr>
          <w:rFonts w:ascii="Arial" w:cs="Arial" w:eastAsia="Arial" w:hAnsi="Arial"/>
          <w:sz w:val="18"/>
          <w:szCs w:val="18"/>
          <w:color w:val="auto"/>
        </w:rPr>
        <w:t>Revenue recognized in the nine months ended September 29, 2022 that was included within the Deferred Revenue balance as of December 30, 2021 was $12.0 million. As of September 29, 2022 and December 30, 2021, the Company had $6.5 million and $4.4 million in unbilled accounts receivable,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80" w:firstLine="526"/>
        <w:spacing w:after="0" w:line="311" w:lineRule="auto"/>
        <w:rPr>
          <w:sz w:val="20"/>
          <w:szCs w:val="20"/>
          <w:color w:val="auto"/>
        </w:rPr>
      </w:pPr>
      <w:r>
        <w:rPr>
          <w:rFonts w:ascii="Arial" w:cs="Arial" w:eastAsia="Arial" w:hAnsi="Arial"/>
          <w:sz w:val="16"/>
          <w:szCs w:val="16"/>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nine months ended September 29, 2022 and September 30, 2021, respectively, were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4"/>
          </w:tcPr>
          <w:p>
            <w:pPr>
              <w:ind w:left="1340"/>
              <w:spacing w:after="0"/>
              <w:rPr>
                <w:sz w:val="20"/>
                <w:szCs w:val="20"/>
                <w:color w:val="auto"/>
              </w:rPr>
            </w:pPr>
            <w:r>
              <w:rPr>
                <w:rFonts w:ascii="Arial" w:cs="Arial" w:eastAsia="Arial" w:hAnsi="Arial"/>
                <w:sz w:val="14"/>
                <w:szCs w:val="14"/>
                <w:b w:val="1"/>
                <w:bCs w:val="1"/>
                <w:color w:val="auto"/>
              </w:rPr>
              <w:t>Nine Months Ended</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3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3980" w:type="dxa"/>
            <w:vAlign w:val="bottom"/>
            <w:gridSpan w:val="4"/>
          </w:tcPr>
          <w:p>
            <w:pPr>
              <w:ind w:left="1340"/>
              <w:spacing w:after="0"/>
              <w:rPr>
                <w:sz w:val="20"/>
                <w:szCs w:val="20"/>
                <w:color w:val="auto"/>
              </w:rPr>
            </w:pPr>
            <w:r>
              <w:rPr>
                <w:rFonts w:ascii="Arial" w:cs="Arial" w:eastAsia="Arial" w:hAnsi="Arial"/>
                <w:sz w:val="14"/>
                <w:szCs w:val="14"/>
                <w:b w:val="1"/>
                <w:bCs w:val="1"/>
                <w:color w:val="auto"/>
              </w:rPr>
              <w:t>September 29, 2022</w:t>
            </w:r>
          </w:p>
        </w:tc>
        <w:tc>
          <w:tcPr>
            <w:tcW w:w="3880" w:type="dxa"/>
            <w:vAlign w:val="bottom"/>
            <w:gridSpan w:val="3"/>
          </w:tcPr>
          <w:p>
            <w:pPr>
              <w:ind w:left="134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9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Allowance for National</w:t>
            </w:r>
          </w:p>
        </w:tc>
        <w:tc>
          <w:tcPr>
            <w:tcW w:w="19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Allowance for Local/</w:t>
            </w:r>
          </w:p>
        </w:tc>
        <w:tc>
          <w:tcPr>
            <w:tcW w:w="100" w:type="dxa"/>
            <w:vAlign w:val="bottom"/>
          </w:tcPr>
          <w:p>
            <w:pPr>
              <w:spacing w:after="0"/>
              <w:rPr>
                <w:sz w:val="11"/>
                <w:szCs w:val="11"/>
                <w:color w:val="auto"/>
              </w:rPr>
            </w:pPr>
          </w:p>
        </w:tc>
        <w:tc>
          <w:tcPr>
            <w:tcW w:w="19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Allowance for National</w:t>
            </w:r>
          </w:p>
        </w:tc>
        <w:tc>
          <w:tcPr>
            <w:tcW w:w="1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Allowance for Local/ Regional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Regional Customer</w:t>
            </w:r>
          </w:p>
        </w:tc>
        <w:tc>
          <w:tcPr>
            <w:tcW w:w="1980" w:type="dxa"/>
            <w:vAlign w:val="bottom"/>
            <w:gridSpan w:val="2"/>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Customer Receivables</w:t>
            </w: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Receivables</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Customer Receivables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0"/>
              </w:rPr>
              <w:t>Customer Receivables</w:t>
            </w:r>
          </w:p>
        </w:tc>
        <w:tc>
          <w:tcPr>
            <w:tcW w:w="0" w:type="dxa"/>
            <w:vAlign w:val="bottom"/>
          </w:tcPr>
          <w:p>
            <w:pPr>
              <w:spacing w:after="0"/>
              <w:rPr>
                <w:sz w:val="1"/>
                <w:szCs w:val="1"/>
                <w:color w:val="auto"/>
              </w:rPr>
            </w:pPr>
          </w:p>
        </w:tc>
      </w:tr>
      <w:tr>
        <w:trPr>
          <w:trHeight w:val="23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900" w:type="dxa"/>
            <w:vAlign w:val="bottom"/>
            <w:tcBorders>
              <w:top w:val="single" w:sz="8" w:color="auto"/>
            </w:tcBorders>
            <w:shd w:val="clear" w:color="auto" w:fill="CCEEFF"/>
          </w:tcPr>
          <w:p>
            <w:pPr>
              <w:jc w:val="center"/>
              <w:ind w:left="1438"/>
              <w:spacing w:after="0"/>
              <w:rPr>
                <w:sz w:val="20"/>
                <w:szCs w:val="20"/>
                <w:color w:val="auto"/>
              </w:rPr>
            </w:pPr>
            <w:r>
              <w:rPr>
                <w:rFonts w:ascii="Arial" w:cs="Arial" w:eastAsia="Arial" w:hAnsi="Arial"/>
                <w:sz w:val="18"/>
                <w:szCs w:val="18"/>
                <w:color w:val="auto"/>
                <w:w w:val="87"/>
              </w:rPr>
              <w:t>0.3</w:t>
            </w:r>
          </w:p>
        </w:tc>
        <w:tc>
          <w:tcPr>
            <w:tcW w:w="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439"/>
              <w:spacing w:after="0"/>
              <w:rPr>
                <w:sz w:val="20"/>
                <w:szCs w:val="20"/>
                <w:color w:val="auto"/>
              </w:rPr>
            </w:pPr>
            <w:r>
              <w:rPr>
                <w:rFonts w:ascii="Arial" w:cs="Arial" w:eastAsia="Arial" w:hAnsi="Arial"/>
                <w:sz w:val="18"/>
                <w:szCs w:val="18"/>
                <w:color w:val="auto"/>
                <w:w w:val="87"/>
              </w:rPr>
              <w:t>1.4</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436"/>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9"/>
        </w:trPr>
        <w:tc>
          <w:tcPr>
            <w:tcW w:w="3380" w:type="dxa"/>
            <w:vAlign w:val="bottom"/>
          </w:tcPr>
          <w:p>
            <w:pPr>
              <w:ind w:left="220"/>
              <w:spacing w:after="0"/>
              <w:rPr>
                <w:sz w:val="20"/>
                <w:szCs w:val="20"/>
                <w:color w:val="auto"/>
              </w:rPr>
            </w:pPr>
            <w:r>
              <w:rPr>
                <w:rFonts w:ascii="Arial" w:cs="Arial" w:eastAsia="Arial" w:hAnsi="Arial"/>
                <w:sz w:val="18"/>
                <w:szCs w:val="18"/>
                <w:color w:val="auto"/>
              </w:rPr>
              <w:t>Provision for bad debt</w:t>
            </w:r>
          </w:p>
        </w:tc>
        <w:tc>
          <w:tcPr>
            <w:tcW w:w="1900" w:type="dxa"/>
            <w:vAlign w:val="bottom"/>
          </w:tcPr>
          <w:p>
            <w:pPr>
              <w:jc w:val="center"/>
              <w:ind w:left="1438"/>
              <w:spacing w:after="0"/>
              <w:rPr>
                <w:sz w:val="20"/>
                <w:szCs w:val="20"/>
                <w:color w:val="auto"/>
              </w:rPr>
            </w:pPr>
            <w:r>
              <w:rPr>
                <w:rFonts w:ascii="Arial" w:cs="Arial" w:eastAsia="Arial" w:hAnsi="Arial"/>
                <w:sz w:val="18"/>
                <w:szCs w:val="18"/>
                <w:color w:val="auto"/>
                <w:w w:val="87"/>
              </w:rPr>
              <w:t>0.4</w:t>
            </w:r>
          </w:p>
        </w:tc>
        <w:tc>
          <w:tcPr>
            <w:tcW w:w="80" w:type="dxa"/>
            <w:vAlign w:val="bottom"/>
          </w:tcPr>
          <w:p>
            <w:pPr>
              <w:spacing w:after="0"/>
              <w:rPr>
                <w:sz w:val="19"/>
                <w:szCs w:val="19"/>
                <w:color w:val="auto"/>
              </w:rPr>
            </w:pPr>
          </w:p>
        </w:tc>
        <w:tc>
          <w:tcPr>
            <w:tcW w:w="1900" w:type="dxa"/>
            <w:vAlign w:val="bottom"/>
          </w:tcPr>
          <w:p>
            <w:pPr>
              <w:jc w:val="center"/>
              <w:ind w:left="1439"/>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900" w:type="dxa"/>
            <w:vAlign w:val="bottom"/>
          </w:tcPr>
          <w:p>
            <w:pPr>
              <w:jc w:val="center"/>
              <w:ind w:left="1416"/>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 net</w:t>
            </w:r>
          </w:p>
        </w:tc>
        <w:tc>
          <w:tcPr>
            <w:tcW w:w="1900" w:type="dxa"/>
            <w:vAlign w:val="bottom"/>
            <w:shd w:val="clear" w:color="auto" w:fill="CCEEFF"/>
          </w:tcPr>
          <w:p>
            <w:pPr>
              <w:jc w:val="center"/>
              <w:ind w:left="1398"/>
              <w:spacing w:after="0"/>
              <w:rPr>
                <w:sz w:val="20"/>
                <w:szCs w:val="20"/>
                <w:color w:val="auto"/>
              </w:rPr>
            </w:pPr>
            <w:r>
              <w:rPr>
                <w:rFonts w:ascii="Arial" w:cs="Arial" w:eastAsia="Arial" w:hAnsi="Arial"/>
                <w:sz w:val="18"/>
                <w:szCs w:val="18"/>
                <w:color w:val="auto"/>
                <w:w w:val="91"/>
              </w:rPr>
              <w:t>(0.4)</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419"/>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left="1416"/>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900" w:type="dxa"/>
            <w:vAlign w:val="bottom"/>
            <w:tcBorders>
              <w:top w:val="single" w:sz="8" w:color="auto"/>
              <w:bottom w:val="single" w:sz="8" w:color="auto"/>
            </w:tcBorders>
          </w:tcPr>
          <w:p>
            <w:pPr>
              <w:jc w:val="center"/>
              <w:ind w:left="1438"/>
              <w:spacing w:after="0"/>
              <w:rPr>
                <w:sz w:val="20"/>
                <w:szCs w:val="20"/>
                <w:color w:val="auto"/>
              </w:rPr>
            </w:pPr>
            <w:r>
              <w:rPr>
                <w:rFonts w:ascii="Arial" w:cs="Arial" w:eastAsia="Arial" w:hAnsi="Arial"/>
                <w:sz w:val="18"/>
                <w:szCs w:val="18"/>
                <w:color w:val="auto"/>
                <w:w w:val="87"/>
              </w:rPr>
              <w:t>0.3</w:t>
            </w:r>
          </w:p>
        </w:tc>
        <w:tc>
          <w:tcPr>
            <w:tcW w:w="8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center"/>
              <w:ind w:left="1439"/>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center"/>
              <w:ind w:left="1436"/>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121" w:lineRule="exact"/>
        <w:rPr>
          <w:sz w:val="20"/>
          <w:szCs w:val="20"/>
          <w:color w:val="auto"/>
        </w:rPr>
      </w:pPr>
    </w:p>
    <w:p>
      <w:pPr>
        <w:ind w:right="60" w:firstLine="526"/>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400" w:type="dxa"/>
            <w:vAlign w:val="bottom"/>
            <w:gridSpan w:val="3"/>
          </w:tcPr>
          <w:p>
            <w:pPr>
              <w:spacing w:after="0"/>
              <w:rPr>
                <w:sz w:val="2"/>
                <w:szCs w:val="2"/>
                <w:color w:val="auto"/>
              </w:rPr>
            </w:pPr>
          </w:p>
        </w:tc>
        <w:tc>
          <w:tcPr>
            <w:tcW w:w="140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29, 2022</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29, 2022</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 (in millions)</w:t>
            </w: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81,605,806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80,359,723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81,371,370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79,652,152</w:t>
            </w:r>
          </w:p>
        </w:tc>
        <w:tc>
          <w:tcPr>
            <w:tcW w:w="0" w:type="dxa"/>
            <w:vAlign w:val="bottom"/>
          </w:tcPr>
          <w:p>
            <w:pPr>
              <w:spacing w:after="0"/>
              <w:rPr>
                <w:sz w:val="1"/>
                <w:szCs w:val="1"/>
                <w:color w:val="auto"/>
              </w:rPr>
            </w:pPr>
          </w:p>
        </w:tc>
      </w:tr>
      <w:tr>
        <w:trPr>
          <w:trHeight w:val="188"/>
        </w:trPr>
        <w:tc>
          <w:tcPr>
            <w:tcW w:w="5740" w:type="dxa"/>
            <w:vAlign w:val="bottom"/>
          </w:tcPr>
          <w:p>
            <w:pPr>
              <w:ind w:left="220"/>
              <w:spacing w:after="0" w:line="189" w:lineRule="exact"/>
              <w:rPr>
                <w:sz w:val="20"/>
                <w:szCs w:val="20"/>
                <w:color w:val="auto"/>
              </w:rPr>
            </w:pPr>
            <w:r>
              <w:rPr>
                <w:rFonts w:ascii="Arial" w:cs="Arial" w:eastAsia="Arial" w:hAnsi="Arial"/>
                <w:sz w:val="18"/>
                <w:szCs w:val="18"/>
                <w:color w:val="auto"/>
              </w:rPr>
              <w:t>Add: Dilutive effect of stock options, restricted stock and</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exchangeable membership units</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81,605,806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80,359,723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81,371,370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79,652,152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NCM, Inc.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firstLine="526"/>
        <w:spacing w:after="0" w:line="291" w:lineRule="auto"/>
        <w:rPr>
          <w:sz w:val="20"/>
          <w:szCs w:val="20"/>
          <w:color w:val="auto"/>
        </w:rPr>
      </w:pPr>
      <w:r>
        <w:rPr>
          <w:rFonts w:ascii="Arial" w:cs="Arial" w:eastAsia="Arial" w:hAnsi="Arial"/>
          <w:sz w:val="16"/>
          <w:szCs w:val="16"/>
          <w:color w:val="auto"/>
        </w:rPr>
        <w:t>The effect of 90,329,240, 86,188,344, 88,964,109 and 85,601,326 weighted average exchangeable NCM LLC common units held by the founding members for the three months ended September 29, 2022 and September 30, 2021 and nine months ended September 29, 2022 and September 30, 2021, respectively, have been excluded from the calculation of diluted weighted average shares and loss per NCM, Inc. share as they were anti-dilutive. NCM LLC common units do not participate in dividends paid on NCM, Inc.’s common stock. In addition, there were 7,275,326, 4,797,243, 7,275,326 and 4,797,243 stock options and non-vested (restricted) shares for the three months ended September 29, 2022 and September 30, 2021 and nine months ended September 29, 2022 and September 30, 2021, respectively, excluded from the calculation as they were anti-dilutive. The Company’s non-vested (restricted) shares do not meet the definition of a participating security as the dividends will not be paid if the shares do not vest.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08" w:lineRule="exact"/>
        <w:rPr>
          <w:sz w:val="20"/>
          <w:szCs w:val="20"/>
          <w:color w:val="auto"/>
        </w:rPr>
      </w:pPr>
    </w:p>
    <w:p>
      <w:pPr>
        <w:ind w:right="40" w:firstLine="526"/>
        <w:spacing w:after="0" w:line="269" w:lineRule="auto"/>
        <w:rPr>
          <w:sz w:val="20"/>
          <w:szCs w:val="20"/>
          <w:color w:val="auto"/>
        </w:rPr>
      </w:pPr>
      <w:r>
        <w:rPr>
          <w:rFonts w:ascii="Arial" w:cs="Arial" w:eastAsia="Arial" w:hAnsi="Arial"/>
          <w:sz w:val="16"/>
          <w:szCs w:val="16"/>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During the third quarter of 2022, Cineworld Group plc, the parent company of Regal, and certain of its subsidiaries, including Regal, Regal Cinemas, Inc., a party to the ESA, and Regal CineMedia Holdings, LLC, a party to other agreements with NCM LLC and NCM, Inc., filed petitions of reorganization under Chapter 11 of the United States Bankruptcy Code in the Southern District of Texas (the “Cineworld Proceeding”). On October 21, 2022, Regal filed a motion to reject the ESA without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 xml:space="preserve">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 party or bringing any of the services performed by NCM LLC in-house. The Company determined that this announced restructuring and subsequent developments constituted a triggering event for the intangible asset related to Regal under </w:t>
      </w:r>
      <w:r>
        <w:rPr>
          <w:rFonts w:ascii="Arial" w:cs="Arial" w:eastAsia="Arial" w:hAnsi="Arial"/>
          <w:sz w:val="16"/>
          <w:szCs w:val="16"/>
          <w:i w:val="1"/>
          <w:iCs w:val="1"/>
          <w:color w:val="auto"/>
        </w:rPr>
        <w:t>ASC No. 360, Impairment and Disposal of Long-Lived Assets.</w:t>
      </w:r>
      <w:r>
        <w:rPr>
          <w:rFonts w:ascii="Arial" w:cs="Arial" w:eastAsia="Arial" w:hAnsi="Arial"/>
          <w:sz w:val="16"/>
          <w:szCs w:val="16"/>
          <w:color w:val="auto"/>
        </w:rPr>
        <w:t xml:space="preserve"> Management considered possible scenarios in a probability-weighted estimated future undiscounted cash flow analysis, including the potential of further permanent closure of the theaters within the Company's network, renegotiation of the ESA terms and other potential adverse impacts to the Company’s intangible asset resulting from the Cineworld Proceeding. The estimated future cash flows from the ESA calculated within the probability-weighted analysis were in excess of the net book value of the intangible asset and no impairment charge was recorded in the three and nine months ended September 29, 2022. Such analysis required management to make estimates and assumptions based on historical data and consideration of future market conditions. While the Company believes that the rights will survive any attempted rejection in the bankruptcy court by Regal, given the uncertainty inherent in any projection, heightened by the possibility of unforeseen additional effects of the Cineworld Proceeding, actual results may differ from the estimates and assumptions used, or conditions may change, which could result in impairment charges in the future.</w:t>
      </w:r>
    </w:p>
    <w:p>
      <w:pPr>
        <w:spacing w:after="0" w:line="80" w:lineRule="exact"/>
        <w:rPr>
          <w:sz w:val="20"/>
          <w:szCs w:val="20"/>
          <w:color w:val="auto"/>
        </w:rPr>
      </w:pPr>
    </w:p>
    <w:p>
      <w:pPr>
        <w:ind w:firstLine="526"/>
        <w:spacing w:after="0" w:line="272"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23" w:lineRule="exact"/>
        <w:rPr>
          <w:sz w:val="20"/>
          <w:szCs w:val="20"/>
          <w:color w:val="auto"/>
        </w:rPr>
      </w:pPr>
    </w:p>
    <w:p>
      <w:pPr>
        <w:ind w:right="20" w:firstLine="526"/>
        <w:spacing w:after="0" w:line="311" w:lineRule="auto"/>
        <w:rPr>
          <w:sz w:val="20"/>
          <w:szCs w:val="20"/>
          <w:color w:val="auto"/>
        </w:rPr>
      </w:pPr>
      <w:r>
        <w:rPr>
          <w:rFonts w:ascii="Arial" w:cs="Arial" w:eastAsia="Arial" w:hAnsi="Arial"/>
          <w:sz w:val="16"/>
          <w:szCs w:val="16"/>
          <w:color w:val="auto"/>
        </w:rPr>
        <w:t>During the first quarter of 2022, NCM LLC issued 4,140,896 (6,483,893 issued, net of 2,342,997 returned) common membership units to its founding members for the rights to exclusive access to the theater screens and attendees added, net of dispositions, to NCM LLC’s network during the 2021 fiscal year. The net impact as a result of the Common Unit Adjustment to the intangible asset was $10.4 million during the first quarter of 2022.</w:t>
      </w:r>
    </w:p>
    <w:p>
      <w:pPr>
        <w:spacing w:after="0" w:line="95" w:lineRule="exact"/>
        <w:rPr>
          <w:sz w:val="20"/>
          <w:szCs w:val="20"/>
          <w:color w:val="auto"/>
        </w:rPr>
      </w:pPr>
    </w:p>
    <w:p>
      <w:pPr>
        <w:ind w:firstLine="526"/>
        <w:spacing w:after="0" w:line="257" w:lineRule="auto"/>
        <w:rPr>
          <w:sz w:val="20"/>
          <w:szCs w:val="20"/>
          <w:color w:val="auto"/>
        </w:rPr>
      </w:pPr>
      <w:r>
        <w:rPr>
          <w:rFonts w:ascii="Arial" w:cs="Arial" w:eastAsia="Arial" w:hAnsi="Arial"/>
          <w:sz w:val="18"/>
          <w:szCs w:val="18"/>
          <w:color w:val="auto"/>
        </w:rPr>
        <w:t>During the first quarter of 2021, NCM LLC issued 3,047,582 common membership units to two founding members for the rights to exclusive access to the theater screens and attendees added, net of dispositions, to NCM LLC’s network during the 2020 fiscal year and calculated a negative common membership unit adjustment for one founding member resulting in a receivable included within “Other assets and prepaid expenses” on the unaudited Consolidated Balance Sheet. The net impact as a result of the Common Unit Adjustment to the intangible asset was $4.8 million during the first quarter of 2021.</w:t>
      </w:r>
    </w:p>
    <w:p>
      <w:pPr>
        <w:spacing w:after="0" w:line="134" w:lineRule="exact"/>
        <w:rPr>
          <w:sz w:val="20"/>
          <w:szCs w:val="20"/>
          <w:color w:val="auto"/>
        </w:rPr>
      </w:pPr>
    </w:p>
    <w:p>
      <w:pPr>
        <w:ind w:right="20" w:firstLine="526"/>
        <w:spacing w:after="0" w:line="285"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September 29, 2022 and September 30, 2021 and nine months ended September 29, 2022 and September 30, 2021, the Company recorded a reduction to net intangible assets of $0.3 million, $0.2 million, $1.6 million and $0.3 million, respectively, related to other encumbered theater payments. During the three months ended September 29, 2022 and September 30, 2021 and nine months ended September 29, 2022 and September 30, 2021, AMC and Cinemark paid a total of $1.2 million, $0.2 million, $2.6 million and $0.3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80" w:right="262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—In connection with NCM, Inc.’s initial public offering (“IPO”), the Company entered into several agreements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 and regulate the relationships among NCM, Inc., NCM LLC and the founding members which are outlined below. AMC has owned less than 5% of NCM LLC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As of September 29, 2022, AMC’s ownership was 3.5% on an as converted to NCM, Inc.’s common stock basis.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67" w:lineRule="exact"/>
        <w:rPr>
          <w:sz w:val="20"/>
          <w:szCs w:val="20"/>
          <w:color w:val="auto"/>
        </w:rPr>
      </w:pPr>
    </w:p>
    <w:p>
      <w:pPr>
        <w:ind w:left="1100" w:hanging="323"/>
        <w:spacing w:after="0" w:line="269" w:lineRule="auto"/>
        <w:tabs>
          <w:tab w:leader="none" w:pos="109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LEN and rights to sell and display certain lobby promotions. Further, NCM LLC’s founding members have elected to purchase 30 seconds to 60 seconds of advertising, out of the 90 seconds allowed for under the ESA,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21" w:lineRule="exact"/>
        <w:rPr>
          <w:rFonts w:ascii="Arial" w:cs="Arial" w:eastAsia="Arial" w:hAnsi="Arial"/>
          <w:sz w:val="17"/>
          <w:szCs w:val="17"/>
          <w:color w:val="auto"/>
        </w:rPr>
      </w:pPr>
    </w:p>
    <w:p>
      <w:pPr>
        <w:ind w:left="1100" w:hanging="323"/>
        <w:spacing w:after="0" w:line="266" w:lineRule="auto"/>
        <w:tabs>
          <w:tab w:leader="none" w:pos="10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1" w:lineRule="exact"/>
        <w:rPr>
          <w:rFonts w:ascii="Arial" w:cs="Arial" w:eastAsia="Arial" w:hAnsi="Arial"/>
          <w:sz w:val="18"/>
          <w:szCs w:val="18"/>
          <w:color w:val="auto"/>
        </w:rPr>
      </w:pPr>
    </w:p>
    <w:p>
      <w:pPr>
        <w:ind w:left="1100" w:right="40" w:hanging="323"/>
        <w:spacing w:after="0" w:line="314"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7" w:lineRule="exact"/>
        <w:rPr>
          <w:rFonts w:ascii="Arial" w:cs="Arial" w:eastAsia="Arial" w:hAnsi="Arial"/>
          <w:sz w:val="16"/>
          <w:szCs w:val="16"/>
          <w:color w:val="auto"/>
        </w:rPr>
      </w:pPr>
    </w:p>
    <w:p>
      <w:pPr>
        <w:ind w:left="1100" w:right="40" w:hanging="323"/>
        <w:spacing w:after="0" w:line="303"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summaries of the transactions between the Company and the related party founding members (in millions):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gridSpan w:val="4"/>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Income:</w:t>
            </w:r>
          </w:p>
        </w:tc>
        <w:tc>
          <w:tcPr>
            <w:tcW w:w="14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September 29, 2022</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September 29,</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6020" w:type="dxa"/>
            <w:vAlign w:val="bottom"/>
            <w:gridSpan w:val="4"/>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6"/>
        </w:trPr>
        <w:tc>
          <w:tcPr>
            <w:tcW w:w="220" w:type="dxa"/>
            <w:vAlign w:val="bottom"/>
            <w:tcBorders>
              <w:top w:val="single" w:sz="8" w:color="CCEEFF"/>
            </w:tcBorders>
            <w:shd w:val="clear" w:color="auto" w:fill="CCEEFF"/>
          </w:tcPr>
          <w:p>
            <w:pPr>
              <w:spacing w:after="0"/>
              <w:rPr>
                <w:sz w:val="15"/>
                <w:szCs w:val="15"/>
                <w:color w:val="auto"/>
              </w:rPr>
            </w:pPr>
          </w:p>
        </w:tc>
        <w:tc>
          <w:tcPr>
            <w:tcW w:w="580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3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w w:val="98"/>
              </w:rPr>
              <w:t xml:space="preserve">Beverage concessionaire revenue (included in advertising revenue) </w:t>
            </w:r>
            <w:r>
              <w:rPr>
                <w:rFonts w:ascii="Arial" w:cs="Arial" w:eastAsia="Arial" w:hAnsi="Arial"/>
                <w:sz w:val="18"/>
                <w:szCs w:val="18"/>
                <w:i w:val="1"/>
                <w:iCs w:val="1"/>
                <w:color w:val="auto"/>
                <w:w w:val="98"/>
              </w:rPr>
              <w:t>(1)</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4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(3)</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(3)</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left="340" w:right="40" w:hanging="332"/>
        <w:spacing w:after="0" w:line="287" w:lineRule="auto"/>
        <w:tabs>
          <w:tab w:leader="none" w:pos="334"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For the three and nine months ended September 29, 2022 and September 30, 2021, Cinemark and Regal purchased 60 seconds of on-screen advertising time from NCM LLC to satisfy their obligations under their beverage concessionaire agreements at a 30 seconds equivalent cost per thousand impressions (“CPM”) rate specified by the ESA. Beverage revenue was limited for periods of reduced attendance due to the COVID-19 Pandemic.</w:t>
      </w:r>
    </w:p>
    <w:p>
      <w:pPr>
        <w:spacing w:after="0" w:line="2" w:lineRule="exact"/>
        <w:rPr>
          <w:rFonts w:ascii="Arial" w:cs="Arial" w:eastAsia="Arial" w:hAnsi="Arial"/>
          <w:sz w:val="16"/>
          <w:szCs w:val="16"/>
          <w:i w:val="1"/>
          <w:iCs w:val="1"/>
          <w:color w:val="auto"/>
        </w:rPr>
      </w:pPr>
    </w:p>
    <w:p>
      <w:pPr>
        <w:ind w:left="340" w:right="240" w:hanging="332"/>
        <w:spacing w:after="0" w:line="265" w:lineRule="auto"/>
        <w:tabs>
          <w:tab w:leader="none" w:pos="334"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trailer position directly prior to the “attached” trailers preceding the feature film (the “Platinum Spot”). Theater access fees and revenue share expenses were reduced for periods of reduced attendance due to the COVID-19 Pandemic.</w:t>
      </w:r>
    </w:p>
    <w:p>
      <w:pPr>
        <w:ind w:left="340" w:right="240" w:hanging="332"/>
        <w:spacing w:after="0" w:line="252"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29, 2022</w:t>
            </w:r>
          </w:p>
        </w:tc>
        <w:tc>
          <w:tcPr>
            <w:tcW w:w="140" w:type="dxa"/>
            <w:vAlign w:val="bottom"/>
          </w:tcPr>
          <w:p>
            <w:pPr>
              <w:spacing w:after="0"/>
              <w:rPr>
                <w:sz w:val="16"/>
                <w:szCs w:val="16"/>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30, 2021</w:t>
            </w:r>
          </w:p>
        </w:tc>
        <w:tc>
          <w:tcPr>
            <w:tcW w:w="0" w:type="dxa"/>
            <w:vAlign w:val="bottom"/>
          </w:tcPr>
          <w:p>
            <w:pPr>
              <w:spacing w:after="0"/>
              <w:rPr>
                <w:sz w:val="1"/>
                <w:szCs w:val="1"/>
                <w:color w:val="auto"/>
              </w:rPr>
            </w:pPr>
          </w:p>
        </w:tc>
      </w:tr>
      <w:tr>
        <w:trPr>
          <w:trHeight w:val="162"/>
        </w:trPr>
        <w:tc>
          <w:tcPr>
            <w:tcW w:w="8260" w:type="dxa"/>
            <w:vAlign w:val="bottom"/>
            <w:tcBorders>
              <w:top w:val="single" w:sz="8" w:color="CCEEFF"/>
            </w:tcBorders>
            <w:shd w:val="clear" w:color="auto" w:fill="CCEEFF"/>
          </w:tcPr>
          <w:p>
            <w:pPr>
              <w:ind w:left="260"/>
              <w:spacing w:after="0" w:line="162" w:lineRule="exact"/>
              <w:rPr>
                <w:sz w:val="20"/>
                <w:szCs w:val="20"/>
                <w:color w:val="auto"/>
              </w:rPr>
            </w:pPr>
            <w:r>
              <w:rPr>
                <w:rFonts w:ascii="Arial" w:cs="Arial" w:eastAsia="Arial" w:hAnsi="Arial"/>
                <w:sz w:val="18"/>
                <w:szCs w:val="18"/>
                <w:color w:val="auto"/>
                <w:w w:val="91"/>
              </w:rPr>
              <w:t>Common unit adjustments and ESA extension costs, net of amortization and integration payments (included in</w:t>
            </w: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0"/>
          <w:szCs w:val="20"/>
          <w:color w:val="auto"/>
        </w:rPr>
      </w:pPr>
    </w:p>
    <w:p>
      <w:pPr>
        <w:ind w:left="340" w:right="60" w:hanging="332"/>
        <w:spacing w:after="0" w:line="258"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founding members (including AMC).</w:t>
      </w:r>
    </w:p>
    <w:p>
      <w:pPr>
        <w:ind w:left="340" w:right="100" w:hanging="332"/>
        <w:spacing w:after="0" w:line="260"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$0.2 million and $0.4 million during 2021, respectively, in payments pursuant to the TRA which were for the 2019 tax year.</w:t>
      </w:r>
    </w:p>
    <w:p>
      <w:pPr>
        <w:spacing w:after="0" w:line="212" w:lineRule="exact"/>
        <w:rPr>
          <w:sz w:val="20"/>
          <w:szCs w:val="20"/>
          <w:color w:val="auto"/>
        </w:rPr>
      </w:pPr>
    </w:p>
    <w:p>
      <w:pPr>
        <w:ind w:right="60" w:firstLine="526"/>
        <w:spacing w:after="0" w:line="269" w:lineRule="auto"/>
        <w:rPr>
          <w:sz w:val="20"/>
          <w:szCs w:val="20"/>
          <w:color w:val="auto"/>
        </w:rPr>
      </w:pPr>
      <w:r>
        <w:rPr>
          <w:rFonts w:ascii="Arial" w:cs="Arial" w:eastAsia="Arial" w:hAnsi="Arial"/>
          <w:sz w:val="17"/>
          <w:szCs w:val="17"/>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Due to the continued recovery from the COVID-19 Pandemic during the nine months ended September 29, 2022, the mandatory distributions of available cash by NCM LLC to its related party founding members and NCM, Inc. for the three months ended September 29, 2022 were calculated as negative $7.7 million (including negative $2.0 million for Cinemark, negative $1.9 million for Regal and negative $3.8 million for NCM, Inc.). The mandatory distributions of available cash by NCM LLC to its related party founding members and NCM, Inc. for the nine months ended September 29, 2022 were calculated as negative $39.9 million (including negative $10.5 million for Cinemark, negative $9.8 million for Regal and negative $19.6 million for NCM, Inc.). Therefore, there will be no payment made for the third quarter of 2022. Under the terms of the NCM LLC operating agreement, these negative amounts will be netted against future positive available cash distributions for the second quarter each fiscal year after the extended covenant waiver holiday, contingent upon the Company's compliance with the covenants outlined within the Credit Agreement Third Amendment defined within Note 6—</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and in accordance with the NCM LLC operating agreement.</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September 29, 2022 were comprised of the following (in millions):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60" w:right="26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6"/>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6"/>
        </w:trPr>
        <w:tc>
          <w:tcPr>
            <w:tcW w:w="7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Theater access fees and revenue share, net of beverage revenues and other</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
        </w:trPr>
        <w:tc>
          <w:tcPr>
            <w:tcW w:w="7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3"/>
        </w:trPr>
        <w:tc>
          <w:tcPr>
            <w:tcW w:w="9940" w:type="dxa"/>
            <w:vAlign w:val="bottom"/>
            <w:gridSpan w:val="7"/>
          </w:tcPr>
          <w:p>
            <w:pPr>
              <w:ind w:left="540"/>
              <w:spacing w:after="0"/>
              <w:rPr>
                <w:sz w:val="20"/>
                <w:szCs w:val="20"/>
                <w:color w:val="auto"/>
              </w:rPr>
            </w:pPr>
            <w:r>
              <w:rPr>
                <w:rFonts w:ascii="Arial" w:cs="Arial" w:eastAsia="Arial" w:hAnsi="Arial"/>
                <w:sz w:val="18"/>
                <w:szCs w:val="18"/>
                <w:color w:val="auto"/>
                <w:w w:val="95"/>
              </w:rPr>
              <w:t>Amounts due to related party founding members, net as of December 30, 2021 were comprised of the following (in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4"/>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7"/>
                <w:szCs w:val="17"/>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6"/>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8"/>
        </w:trPr>
        <w:tc>
          <w:tcPr>
            <w:tcW w:w="71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Theater access fees and revenue share, net of beverage revenues and other</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0"/>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526"/>
        <w:spacing w:after="0" w:line="269"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$0.7 million and $0.7 million as of September 29, 2022 and December 30, 2021, respectively. During the three months ended September 29, 2022 and September 30, 2021 and nine months ended September 29, 2022 and September 30, 2021, NCM LLC received cash distributions from AC JV, LLC of $0.0 million, $0.0 million, $0.2 million and $0.0 million, respectively. Equity in earnings (losses) from AC JV, LLC of $0.0 million, $0.0 million, $0.2 million and $(0.1) million for the three months and nine months ended September 29, 2022 and September 30, 2021, respectively, are included in “Other non-operating income” in the unaudited Condensed Consolidated Statements of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120" w:firstLine="526"/>
        <w:spacing w:after="0" w:line="277" w:lineRule="auto"/>
        <w:rPr>
          <w:sz w:val="20"/>
          <w:szCs w:val="20"/>
          <w:color w:val="auto"/>
        </w:rPr>
      </w:pPr>
      <w:r>
        <w:rPr>
          <w:rFonts w:ascii="Arial" w:cs="Arial" w:eastAsia="Arial" w:hAnsi="Arial"/>
          <w:sz w:val="18"/>
          <w:szCs w:val="18"/>
          <w:color w:val="auto"/>
        </w:rPr>
        <w:t>The following table summarizes NCM LLC’s total outstanding debt as of September 29, 2022 and December 30, 2021 and the significant terms of its borrowing arrangements (in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Outstanding Balance as of</w:t>
            </w: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19"/>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12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September 29, 2022</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30, 2021</w:t>
            </w: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2018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2023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Revolving credit facility 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2023</w:t>
            </w:r>
          </w:p>
        </w:tc>
        <w:tc>
          <w:tcPr>
            <w:tcW w:w="10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 2025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2024</w:t>
            </w:r>
          </w:p>
        </w:tc>
        <w:tc>
          <w:tcPr>
            <w:tcW w:w="10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15, 2028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5.875%</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August 15, 2026</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5.750%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borrowings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Less: debt issuance costs and debt discounts related to</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term loans and senior notes</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borrowings, net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Less: current portion of debt</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Pr>
          <w:p>
            <w:pPr>
              <w:ind w:left="22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facilities and term loans are described below.</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color w:val="auto"/>
        </w:rPr>
        <w:t>—NCM LLC’s credit agreement, as amended, (the “Credit Agreement”) consists of a term loan facility and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As of September 29, 2022, NCM LLC’s senior secured credit facility consisted of a $175.0 million revolving credit facility,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$259.2 million term loan (first tranche) and a $49.4 million term loan (second tranche). The obligations under the senior secured credit facility are secured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lien on substantially all of the assets of NCM LLC.</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7" w:name="page18"/>
    <w:bookmarkEnd w:id="17"/>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526"/>
        <w:spacing w:after="0" w:line="272" w:lineRule="auto"/>
        <w:rPr>
          <w:sz w:val="20"/>
          <w:szCs w:val="20"/>
          <w:color w:val="auto"/>
        </w:rPr>
      </w:pPr>
      <w:r>
        <w:rPr>
          <w:rFonts w:ascii="Arial" w:cs="Arial" w:eastAsia="Arial" w:hAnsi="Arial"/>
          <w:sz w:val="17"/>
          <w:szCs w:val="17"/>
          <w:color w:val="auto"/>
        </w:rPr>
        <w:t>On March 8, 2021, NCM LLC entered into a second amendment to its Credit Agreement (“Credit Agreement Second Amendment”). Among other things, the Credit Agreement Second Amendment provides for certain modifications to the negative covenants,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Upon execution of the Credit Agreement Second Amendment, the Company recorded $2.3 million as a discount, $3.9 million as debt issuance costs and $0.8 million within “(Gain) loss on modification and retirement of debt, net” within the nine months ended September 30, 2021.</w:t>
      </w:r>
    </w:p>
    <w:p>
      <w:pPr>
        <w:spacing w:after="0" w:line="123" w:lineRule="exact"/>
        <w:rPr>
          <w:sz w:val="20"/>
          <w:szCs w:val="20"/>
          <w:color w:val="auto"/>
        </w:rPr>
      </w:pPr>
    </w:p>
    <w:p>
      <w:pPr>
        <w:ind w:right="220" w:firstLine="526"/>
        <w:spacing w:after="0" w:line="289" w:lineRule="auto"/>
        <w:rPr>
          <w:sz w:val="20"/>
          <w:szCs w:val="20"/>
          <w:color w:val="auto"/>
        </w:rPr>
      </w:pPr>
      <w:r>
        <w:rPr>
          <w:rFonts w:ascii="Arial" w:cs="Arial" w:eastAsia="Arial" w:hAnsi="Arial"/>
          <w:sz w:val="16"/>
          <w:szCs w:val="16"/>
          <w:color w:val="auto"/>
        </w:rPr>
        <w:t>On January 5, 2022, NCM LLC entered into a third amendment to its Credit Agreement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Upon execution of the Credit Agreement Third Amendment, $6.4 million was recorded as debt issuance costs and $0.4 million was recorded within “(Gain) loss on modification and retirement of debt, net” during the year ended December 30, 2021.</w:t>
      </w:r>
    </w:p>
    <w:p>
      <w:pPr>
        <w:spacing w:after="0" w:line="112"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each of which has been modified by the Credit Agreement Third Amendment. Pursuant to the terms of the Credit Agreement Third Amendment, NCM LLC is restricted from making available cash distributions until after NCM LLC delivers a compliance certificate for the quarter ending on or about December 28, 2023, and, thereafter, NCM LLC may only make available cash distributions if: (i) no default or event of default under the Credit Agreement has occurred and is continuing; (ii) the consolidated net senior secured leverage ratio is equal to or less than 4.00 to 1.00; and (iii) the aggregate principal amount of all outstanding revolving loans under the Credit Agreement is $39.0 million or less. As of September 29, 2022, NCM LLC was in compliance with the requirements of the Credit Agreement Third Amendment described above and the noncompliance with the financial covenants was automatically waived.</w:t>
      </w:r>
    </w:p>
    <w:p>
      <w:pPr>
        <w:spacing w:after="0" w:line="140" w:lineRule="exact"/>
        <w:rPr>
          <w:sz w:val="20"/>
          <w:szCs w:val="20"/>
          <w:color w:val="auto"/>
        </w:rPr>
      </w:pPr>
    </w:p>
    <w:p>
      <w:pPr>
        <w:ind w:right="120" w:firstLine="526"/>
        <w:spacing w:after="0" w:line="279"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First Tranche</w:t>
      </w:r>
      <w:r>
        <w:rPr>
          <w:rFonts w:ascii="Arial" w:cs="Arial" w:eastAsia="Arial" w:hAnsi="Arial"/>
          <w:sz w:val="17"/>
          <w:szCs w:val="17"/>
          <w:color w:val="auto"/>
        </w:rPr>
        <w:t>—The interest rate on the initial tranche of term loans was originally a rate chosen at NCM LLC’s option of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LIBOR index plus 3.00% or the base rate plus 2.00%. The rate increased from LIBOR index plus 2.75% or the base rate plus 1.75%. The interest rate on the term loans as of September 29, 2022 was 6.56%. The term loans amortize at a rate equal to 1.00% annually, to be paid in equal quarterly installments. As of September 29, 2022, NCM LLC has paid principal of $10.8 million, reducing the outstanding balance to $259.2 million.</w:t>
      </w:r>
    </w:p>
    <w:p>
      <w:pPr>
        <w:spacing w:after="0" w:line="117" w:lineRule="exact"/>
        <w:rPr>
          <w:sz w:val="20"/>
          <w:szCs w:val="20"/>
          <w:color w:val="auto"/>
        </w:rPr>
      </w:pPr>
    </w:p>
    <w:p>
      <w:pPr>
        <w:ind w:right="120" w:firstLine="526"/>
        <w:spacing w:after="0" w:line="286"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Second Tranche</w:t>
      </w:r>
      <w:r>
        <w:rPr>
          <w:rFonts w:ascii="Arial" w:cs="Arial" w:eastAsia="Arial" w:hAnsi="Arial"/>
          <w:sz w:val="17"/>
          <w:szCs w:val="17"/>
          <w:color w:val="auto"/>
        </w:rPr>
        <w:t>—The interest rate on the second tranche of term loans is the LIBOR index plus 8.00%. The interest rate on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as of September 29, 2022 was 10.56%. The term loans amortize at a rate equal to 1.00% annually, to be paid in equal quarterly installments. As of September 29, 2022, NCM LLC has paid principal of $0.6 million, reducing the outstanding balance to $49.4 million.</w:t>
      </w:r>
    </w:p>
    <w:p>
      <w:pPr>
        <w:spacing w:after="0" w:line="57"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i w:val="1"/>
          <w:iCs w:val="1"/>
          <w:color w:val="auto"/>
        </w:rPr>
        <w:t>Revolving Credit Facility 2018</w:t>
      </w:r>
      <w:r>
        <w:rPr>
          <w:rFonts w:ascii="Arial" w:cs="Arial" w:eastAsia="Arial" w:hAnsi="Arial"/>
          <w:sz w:val="16"/>
          <w:szCs w:val="16"/>
          <w:color w:val="auto"/>
        </w:rPr>
        <w:t>—The revolving credit facility portion of NCM LLC’s total borrowings is available, subject to certain conditions,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due to the COVID-19 Pandemic. As of September 29, 2022, NCM LLC’s total availability under the $175.0 million revolving credit facility was $6.8 million, net of $167.0 million outstanding and $1.2 million in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income before depreciation and amortization expense adjusted to also exclude non-cash share based compensation costs for NCM LLC plus integration payments received). The weighted-average interest rate on the revolving credit facility as of September 29, 2022 was 6.18%.</w:t>
      </w:r>
    </w:p>
    <w:p>
      <w:pPr>
        <w:spacing w:after="0" w:line="38" w:lineRule="exact"/>
        <w:rPr>
          <w:sz w:val="20"/>
          <w:szCs w:val="20"/>
          <w:color w:val="auto"/>
        </w:rPr>
      </w:pPr>
    </w:p>
    <w:p>
      <w:pPr>
        <w:ind w:right="20" w:firstLine="526"/>
        <w:spacing w:after="0" w:line="254" w:lineRule="auto"/>
        <w:rPr>
          <w:sz w:val="20"/>
          <w:szCs w:val="20"/>
          <w:color w:val="auto"/>
        </w:rPr>
      </w:pPr>
      <w:r>
        <w:rPr>
          <w:rFonts w:ascii="Arial" w:cs="Arial" w:eastAsia="Arial" w:hAnsi="Arial"/>
          <w:sz w:val="18"/>
          <w:szCs w:val="18"/>
          <w:b w:val="1"/>
          <w:bCs w:val="1"/>
          <w:i w:val="1"/>
          <w:iCs w:val="1"/>
          <w:color w:val="auto"/>
        </w:rPr>
        <w:t>Revolving Credit Facility 2022</w:t>
      </w:r>
      <w:r>
        <w:rPr>
          <w:rFonts w:ascii="Arial" w:cs="Arial" w:eastAsia="Arial" w:hAnsi="Arial"/>
          <w:sz w:val="18"/>
          <w:szCs w:val="18"/>
          <w:color w:val="auto"/>
        </w:rPr>
        <w:t>—On January 5, 2022, NCM LLC also entered into a new revolving credit agreement (the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2022”). The Revolving Credit Agreement 2022 provides for revolving loan commitments of $50.0 million of secured revolving loans, the entire amount of which was funded on January 5, 2022. The Revolving Credit Agreement 2022 provides for (i) a cash interest rate of term Secured Overnight Financing Rate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As of September 29, 2022, NCM LLC’s total availability under the $50.0 million revolving credit facility was $0.0 million. The weighted-average interest rate on the revolving credit facility as of September 29, 2022 was 10.86%.</w:t>
      </w:r>
    </w:p>
    <w:p>
      <w:pPr>
        <w:spacing w:after="0" w:line="138"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$20.0 million of the Notes due 2026 during 2019 and 2018, reducing the principal amount to $230.0 million as of September 29, 2022.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 In the nine months ended September 29, 2022, NCM Inc. purchased $25.8 million of the Notes due 2028 on the open market, reducing the principal amount owed by NCM LLC to third parties to $374.2 million as of September 29, 2022 and resulting in a $6.0 million gain on extinguishment of debt in the nine months ended September 29,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100" w:firstLine="526"/>
        <w:spacing w:after="0" w:line="275" w:lineRule="auto"/>
        <w:rPr>
          <w:sz w:val="20"/>
          <w:szCs w:val="20"/>
          <w:color w:val="auto"/>
        </w:rPr>
      </w:pPr>
      <w:r>
        <w:rPr>
          <w:rFonts w:ascii="Arial" w:cs="Arial" w:eastAsia="Arial" w:hAnsi="Arial"/>
          <w:sz w:val="17"/>
          <w:szCs w:val="17"/>
          <w:b w:val="1"/>
          <w:bCs w:val="1"/>
          <w:i w:val="1"/>
          <w:iCs w:val="1"/>
          <w:color w:val="auto"/>
        </w:rPr>
        <w:t>Changes in the Company’s Effective Tax Rate</w:t>
      </w:r>
      <w:r>
        <w:rPr>
          <w:rFonts w:ascii="Arial" w:cs="Arial" w:eastAsia="Arial" w:hAnsi="Arial"/>
          <w:sz w:val="17"/>
          <w:szCs w:val="17"/>
          <w:color w:val="auto"/>
        </w:rPr>
        <w:t>—The Company recorded income tax expense of $0.0 million for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29, 2022 and for the nine months ended September 30, 2021 resulting in an effective tax rate of 0.0% for both periods. The Company recorded a full valuation allowance on its net deferred tax assets as of December 30, 2021 following the determination it was more-likely-than-not that the Company will not be able to realize the benefit of those assets. The Company maintained a full valuation allowance as of September 29, 2022, resulting in deferred tax expense of $0.0 million for the nine months ended September 29, 2022 and the Company’s effective tax rate of 0.0%.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60" w:firstLine="52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adverse effect individually or in the aggregate on its financial position, results of operations or cash flows.</w:t>
      </w:r>
    </w:p>
    <w:p>
      <w:pPr>
        <w:spacing w:after="0" w:line="62" w:lineRule="exact"/>
        <w:rPr>
          <w:sz w:val="20"/>
          <w:szCs w:val="20"/>
          <w:color w:val="auto"/>
        </w:rPr>
      </w:pPr>
    </w:p>
    <w:p>
      <w:pPr>
        <w:ind w:right="40" w:firstLine="526"/>
        <w:spacing w:after="0" w:line="270"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$17.4 million and short-term and long-term lease liabilities of $2.2 million and $18.6 million, respectively, on the balance sheet as of September 29, 2022 for all material leases with terms longer than twelve months. These balances are included within “Other assets”, “Other current liabilities” and “Other liabilities”, respectively, on the unaudited Condensed Consolidated Balance Sheets. As of September 29, 2022, the Company had a weighted average remaining lease term of 6.9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September 29, 2022, the Company’s weighted average annual discount rate used to establish the ROU assets and lease liabilities was 7.4%.</w:t>
      </w:r>
    </w:p>
    <w:p>
      <w:pPr>
        <w:spacing w:after="0" w:line="73"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During the three months ended September 29, 2022 and September 30, 2021, the Company recognized the following components of total lease cost (in millions). These costs are presented within “Selling and marketing costs”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and other costs” within the unaudited Condensed Consolidated Statements of Income depending upon the nature of the use of the facility.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4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
        </w:trPr>
        <w:tc>
          <w:tcPr>
            <w:tcW w:w="6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144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September 29, 2022</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September 29,</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firstLine="526"/>
        <w:spacing w:after="0" w:line="263" w:lineRule="auto"/>
        <w:rPr>
          <w:sz w:val="20"/>
          <w:szCs w:val="20"/>
          <w:color w:val="auto"/>
        </w:rPr>
      </w:pPr>
      <w:r>
        <w:rPr>
          <w:rFonts w:ascii="Arial" w:cs="Arial" w:eastAsia="Arial" w:hAnsi="Arial"/>
          <w:sz w:val="18"/>
          <w:szCs w:val="18"/>
          <w:color w:val="auto"/>
        </w:rPr>
        <w:t>The Company made total lease payments of $0.9 million, $0.9 million, $2.9 million and $2.9 million during the three months ended September 29, 2022 and September 30, 2021 and nine months ended September 29, 2022 and September 30, 2021,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64" w:lineRule="exact"/>
        <w:rPr>
          <w:sz w:val="20"/>
          <w:szCs w:val="20"/>
          <w:color w:val="auto"/>
        </w:rPr>
      </w:pPr>
    </w:p>
    <w:p>
      <w:pPr>
        <w:ind w:right="20" w:firstLine="526"/>
        <w:spacing w:after="0" w:line="271"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September 29, 2022 and December 30, 2021, the Company had no liabilities recorded for the minimum payment, as the theater access fee was in excess of the minimum.</w:t>
      </w:r>
    </w:p>
    <w:p>
      <w:pPr>
        <w:spacing w:after="0" w:line="70" w:lineRule="exact"/>
        <w:rPr>
          <w:sz w:val="20"/>
          <w:szCs w:val="20"/>
          <w:color w:val="auto"/>
        </w:rPr>
      </w:pPr>
    </w:p>
    <w:p>
      <w:pPr>
        <w:ind w:right="20" w:firstLine="526"/>
        <w:spacing w:after="0" w:line="286"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did not owe the founding members any theater access fees or any Platinum Spot revenue share when the theaters were not displaying the Company's pre-show or when the Company did not have access to the theaters. As such, the Company did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0" w:firstLine="526"/>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29, 2022, the maximum potential amount of future payments the Company could be required to make pursuant to the minimum revenue guarantees is $122.8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$0.6 million and $0.4 million related to affiliate agreements with guaranteed minimums in excess of the revenue share agreement as of September 29, 2022 and December 30, 2021, respectively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220" w:firstLine="526"/>
        <w:spacing w:after="0" w:line="301" w:lineRule="auto"/>
        <w:rPr>
          <w:sz w:val="20"/>
          <w:szCs w:val="20"/>
          <w:color w:val="auto"/>
        </w:rPr>
      </w:pPr>
      <w:r>
        <w:rPr>
          <w:rFonts w:ascii="Arial" w:cs="Arial" w:eastAsia="Arial" w:hAnsi="Arial"/>
          <w:sz w:val="16"/>
          <w:szCs w:val="16"/>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40" w:firstLine="526"/>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180" w:firstLine="52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6" w:lineRule="exact"/>
        <w:rPr>
          <w:sz w:val="20"/>
          <w:szCs w:val="20"/>
          <w:color w:val="auto"/>
        </w:rPr>
      </w:pPr>
    </w:p>
    <w:p>
      <w:pPr>
        <w:ind w:right="160" w:firstLine="526"/>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60" w:firstLine="526"/>
        <w:spacing w:after="0" w:line="301" w:lineRule="auto"/>
        <w:rPr>
          <w:sz w:val="20"/>
          <w:szCs w:val="20"/>
          <w:color w:val="auto"/>
        </w:rPr>
      </w:pPr>
      <w:r>
        <w:rPr>
          <w:rFonts w:ascii="Arial" w:cs="Arial" w:eastAsia="Arial" w:hAnsi="Arial"/>
          <w:sz w:val="16"/>
          <w:szCs w:val="16"/>
          <w:i w:val="1"/>
          <w:iCs w:val="1"/>
          <w:color w:val="auto"/>
        </w:rPr>
        <w:t>Long-Lived Assets, Intangible Assets and Other Investments</w:t>
      </w:r>
      <w:r>
        <w:rPr>
          <w:rFonts w:ascii="Arial" w:cs="Arial" w:eastAsia="Arial" w:hAnsi="Arial"/>
          <w:sz w:val="16"/>
          <w:szCs w:val="16"/>
          <w:color w:val="auto"/>
        </w:rPr>
        <w:t>—The Company regularly reviews long-lived assets (primarily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29, 2022</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30, 2021</w:t>
            </w:r>
          </w:p>
        </w:tc>
      </w:tr>
      <w:tr>
        <w:trPr>
          <w:trHeight w:val="230"/>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155" w:lineRule="exact"/>
        <w:rPr>
          <w:sz w:val="20"/>
          <w:szCs w:val="20"/>
          <w:color w:val="auto"/>
        </w:rPr>
      </w:pPr>
    </w:p>
    <w:p>
      <w:pPr>
        <w:ind w:right="140" w:firstLine="526"/>
        <w:spacing w:after="0" w:line="263" w:lineRule="auto"/>
        <w:rPr>
          <w:sz w:val="20"/>
          <w:szCs w:val="20"/>
          <w:color w:val="auto"/>
        </w:rPr>
      </w:pPr>
      <w:r>
        <w:rPr>
          <w:rFonts w:ascii="Arial" w:cs="Arial" w:eastAsia="Arial" w:hAnsi="Arial"/>
          <w:sz w:val="18"/>
          <w:szCs w:val="18"/>
          <w:color w:val="auto"/>
        </w:rPr>
        <w:t>During the three months ended September 29, 2022 and September 30, 2021 and nine months ended September 29, 2022 and September 30, 2021, the Company recorded impairment charges of $0.0 million, $0.0 million, $0.1 million and $0.0 million, respectively, on certain of its investments due to new information regarding the fair value of the investee, which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brought the total remaining value of the respective impaired investments to $0.1 million as of September 29, 2022. As of September 29, 2022,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—The carrying amount of the revolving credit facilities are considered a reasonable estimate of fair value due to its floating-rate terms.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where carrying values do not approximate fair value were as follows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29, 2022</w:t>
            </w:r>
          </w:p>
        </w:tc>
        <w:tc>
          <w:tcPr>
            <w:tcW w:w="1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As of December 30, 2021</w:t>
            </w:r>
          </w:p>
        </w:tc>
      </w:tr>
      <w:tr>
        <w:trPr>
          <w:trHeight w:val="26"/>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357.0</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hanging="332"/>
        <w:spacing w:after="0" w:line="258" w:lineRule="auto"/>
        <w:tabs>
          <w:tab w:leader="none" w:pos="334"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3"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29, 2022</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7"/>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30, 2021</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right="20" w:hanging="328"/>
        <w:spacing w:after="0" w:line="302" w:lineRule="auto"/>
        <w:tabs>
          <w:tab w:leader="none" w:pos="65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—The Company’s cash equivalents are carried at estimated fair value following the Company's election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47" w:lineRule="exact"/>
        <w:rPr>
          <w:rFonts w:ascii="Arial" w:cs="Arial" w:eastAsia="Arial" w:hAnsi="Arial"/>
          <w:sz w:val="16"/>
          <w:szCs w:val="16"/>
          <w:i w:val="1"/>
          <w:iCs w:val="1"/>
          <w:color w:val="auto"/>
        </w:rPr>
      </w:pPr>
    </w:p>
    <w:p>
      <w:pPr>
        <w:ind w:left="660" w:right="20" w:hanging="328"/>
        <w:spacing w:after="0" w:line="259" w:lineRule="auto"/>
        <w:tabs>
          <w:tab w:leader="none" w:pos="65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Short-Term and Long-Term Marketable Securities</w:t>
      </w:r>
      <w:r>
        <w:rPr>
          <w:rFonts w:ascii="Arial" w:cs="Arial" w:eastAsia="Arial" w:hAnsi="Arial"/>
          <w:sz w:val="18"/>
          <w:szCs w:val="18"/>
          <w:color w:val="auto"/>
        </w:rPr>
        <w:t>—The carrying amount and fair value of the marketable securities are equivalent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September 29, 2022 and December 30, 2021, there were $1.0 million and $1.0 million, respectively, of available-for-sale debt securities in unrealized loss positions without an allowance for credit losses. The Company has not recorded an allowance for credit losses for the marketable securities balance as of September 29, 2022 or December 30, 2021 given the immaterial difference between the amortized cost basis and the aggregate fair value of the Company's securities.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amortized cost basis, aggregate fair value and maturities of the marketable securities the Company held as of September 29,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2021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 of September 29, 2022</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2"/>
                <w:szCs w:val="12"/>
                <w:color w:val="auto"/>
              </w:rPr>
            </w:pPr>
          </w:p>
        </w:tc>
        <w:tc>
          <w:tcPr>
            <w:tcW w:w="1100" w:type="dxa"/>
            <w:vAlign w:val="bottom"/>
          </w:tcPr>
          <w:p>
            <w:pPr>
              <w:jc w:val="center"/>
              <w:ind w:left="244"/>
              <w:spacing w:after="0" w:line="145"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 of December 30, 2021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2"/>
                <w:szCs w:val="12"/>
                <w:color w:val="auto"/>
              </w:rPr>
            </w:pPr>
          </w:p>
        </w:tc>
        <w:tc>
          <w:tcPr>
            <w:tcW w:w="110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40" w:right="320" w:hanging="322"/>
        <w:spacing w:after="0" w:line="260" w:lineRule="auto"/>
        <w:tabs>
          <w:tab w:leader="none" w:pos="1134"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127"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jc w:val="both"/>
        <w:ind w:firstLine="526"/>
        <w:spacing w:after="0" w:line="311" w:lineRule="auto"/>
        <w:rPr>
          <w:sz w:val="20"/>
          <w:szCs w:val="20"/>
          <w:color w:val="auto"/>
        </w:rPr>
      </w:pPr>
      <w:r>
        <w:rPr>
          <w:rFonts w:ascii="Arial" w:cs="Arial" w:eastAsia="Arial" w:hAnsi="Arial"/>
          <w:sz w:val="16"/>
          <w:szCs w:val="16"/>
          <w:color w:val="auto"/>
        </w:rPr>
        <w:t>On October 17, 2022, NCM LLC elected not to make an interest payment in the amount of $11.8 million, $0.8 million of which relates to notes held by NCM, Inc., due October 17, 2022 under the Senior Secured Notes due 2028, and entered a 30-day grace period under the indenture governing the Senior Secured Notes due 2028. The Company made the payment on November 4, 2022, prior to the end of the applicable grace period.</w:t>
      </w:r>
    </w:p>
    <w:p>
      <w:pPr>
        <w:spacing w:after="0" w:line="41" w:lineRule="exact"/>
        <w:rPr>
          <w:sz w:val="20"/>
          <w:szCs w:val="20"/>
          <w:color w:val="auto"/>
        </w:rPr>
      </w:pPr>
    </w:p>
    <w:p>
      <w:pPr>
        <w:jc w:val="both"/>
        <w:ind w:right="240" w:firstLine="526"/>
        <w:spacing w:after="0" w:line="263" w:lineRule="auto"/>
        <w:rPr>
          <w:sz w:val="20"/>
          <w:szCs w:val="20"/>
          <w:color w:val="auto"/>
        </w:rPr>
      </w:pPr>
      <w:r>
        <w:rPr>
          <w:rFonts w:ascii="Arial" w:cs="Arial" w:eastAsia="Arial" w:hAnsi="Arial"/>
          <w:sz w:val="18"/>
          <w:szCs w:val="18"/>
          <w:color w:val="auto"/>
        </w:rPr>
        <w:t>On November 3, 2022, NCM LLC and NCM, Inc. entered into a Receivable Sales Agreement pursuant to which, NCM, Inc. acquired the right to approximately $4.9 million of NCM LLC’s accounts receivable at a purchase price equal to the book value of the accounts receivable in exchange for a cash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statements related to the impact of the current COVID-19 Pandemic on our business and results of operations, and statements relating to NCM LLC’s current debt facilities and potential amendments or ability to raise additional debt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30, 2021.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30, 2021. In the following discussion and analysis, the term net income refers to net income attributable to NCM,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60" w:firstLine="526"/>
        <w:spacing w:after="0" w:line="278" w:lineRule="auto"/>
        <w:rPr>
          <w:sz w:val="20"/>
          <w:szCs w:val="20"/>
          <w:color w:val="auto"/>
        </w:rPr>
      </w:pPr>
      <w:r>
        <w:rPr>
          <w:rFonts w:ascii="Arial" w:cs="Arial" w:eastAsia="Arial" w:hAnsi="Arial"/>
          <w:sz w:val="17"/>
          <w:szCs w:val="17"/>
          <w:color w:val="auto"/>
        </w:rPr>
        <w:t xml:space="preserve">We are America’s Movie Network. As the largest cinema advertising network in the U.S., we unite brands with young, diverse audiences through the power of movies and popular culture. We currently derive revenue principally from the sale of advertising to national, local and regional businesses in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our cinema advertising and entertainment pre-show seen on movie screens across the U.S.</w:t>
      </w:r>
    </w:p>
    <w:p>
      <w:pPr>
        <w:spacing w:after="0" w:line="50" w:lineRule="exact"/>
        <w:rPr>
          <w:sz w:val="20"/>
          <w:szCs w:val="20"/>
          <w:color w:val="auto"/>
        </w:rPr>
      </w:pPr>
    </w:p>
    <w:p>
      <w:pPr>
        <w:ind w:right="60" w:firstLine="526"/>
        <w:spacing w:after="0" w:line="283" w:lineRule="auto"/>
        <w:rPr>
          <w:sz w:val="20"/>
          <w:szCs w:val="20"/>
          <w:color w:val="auto"/>
        </w:rPr>
      </w:pPr>
      <w:r>
        <w:rPr>
          <w:rFonts w:ascii="Arial" w:cs="Arial" w:eastAsia="Arial" w:hAnsi="Arial"/>
          <w:sz w:val="16"/>
          <w:szCs w:val="16"/>
          <w:color w:val="auto"/>
        </w:rPr>
        <w:t xml:space="preserve">We present two different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depending on the theater circuit in which it runs. In Regal and Cinemark and a portion of our network affiliates’ theaters,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now includes Post-Showtime advertising inventory after the advertised showtime consisting of (1) the lights down segment that runs for five minutes after the advertised showtime with trailer lighting and (2) the 30- or 60-second Platinum Spot. As of September 29, 2022, theaters presenting the new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format with Post-Showtime Inventory made up approximately 59% of our network. All other NCM network theater circuits, which make up the remaining 41% of our network, present the Classic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ends approximately at the advertised movie showtime when the movie trailers begin. The movie trailers that run before the feature film are not part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w:t>
      </w:r>
    </w:p>
    <w:p>
      <w:pPr>
        <w:spacing w:after="0" w:line="48" w:lineRule="exact"/>
        <w:rPr>
          <w:sz w:val="20"/>
          <w:szCs w:val="20"/>
          <w:color w:val="auto"/>
        </w:rPr>
      </w:pPr>
    </w:p>
    <w:p>
      <w:pPr>
        <w:ind w:right="200" w:firstLine="526"/>
        <w:spacing w:after="0" w:line="291" w:lineRule="auto"/>
        <w:rPr>
          <w:sz w:val="20"/>
          <w:szCs w:val="20"/>
          <w:color w:val="auto"/>
        </w:rPr>
      </w:pPr>
      <w:r>
        <w:rPr>
          <w:rFonts w:ascii="Arial" w:cs="Arial" w:eastAsia="Arial" w:hAnsi="Arial"/>
          <w:sz w:val="16"/>
          <w:szCs w:val="16"/>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w:t>
      </w:r>
      <w:r>
        <w:rPr>
          <w:rFonts w:ascii="Arial" w:cs="Arial" w:eastAsia="Arial" w:hAnsi="Arial"/>
          <w:sz w:val="16"/>
          <w:szCs w:val="16"/>
          <w:i w:val="1"/>
          <w:iCs w:val="1"/>
          <w:color w:val="auto"/>
        </w:rPr>
        <w:t>,</w:t>
      </w:r>
      <w:r>
        <w:rPr>
          <w:rFonts w:ascii="Arial" w:cs="Arial" w:eastAsia="Arial" w:hAnsi="Arial"/>
          <w:sz w:val="16"/>
          <w:szCs w:val="16"/>
          <w:color w:val="auto"/>
        </w:rPr>
        <w:t xml:space="preserve"> across our suite</w:t>
      </w:r>
    </w:p>
    <w:p>
      <w:pPr>
        <w:ind w:right="40"/>
        <w:spacing w:after="0" w:line="268" w:lineRule="auto"/>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properties,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Shuffle, and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as well as a variety of complementary out of home venues, including restaurants and convenience stores, in order to reach entertainment audiences beyond the theater. As of September 29, 2022, over 7.2 million moviegoers have downloaded our mobile apps. These downloads and the acquisition of second- and third-party data have resulted in data sets of approximately 346.5 million as of September 29, 2022. We have long-term ESAs (approximately 17.0 weighted average years remaining) with the founding members and multi-year agreements with our network affiliates, which expire at various dates between November 2022 and December 2037. The weighted average remaining term of the ESAs and the network affiliate agreements is 15.1 years as of September 29, 2022.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digital content network (“DCN”).</w:t>
      </w:r>
    </w:p>
    <w:p>
      <w:pPr>
        <w:spacing w:after="0" w:line="75" w:lineRule="exact"/>
        <w:rPr>
          <w:sz w:val="20"/>
          <w:szCs w:val="20"/>
          <w:color w:val="auto"/>
        </w:rPr>
      </w:pPr>
    </w:p>
    <w:p>
      <w:pPr>
        <w:ind w:right="80" w:firstLine="52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theater per week, and national, local,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future dividends declared by our Board of Directors.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right="480" w:firstLine="526"/>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annual report on Form 10-K filed with the SEC on March 3, 2022 for our fiscal year ended December 30,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right="120" w:firstLine="526"/>
        <w:spacing w:after="0" w:line="296" w:lineRule="auto"/>
        <w:rPr>
          <w:sz w:val="20"/>
          <w:szCs w:val="20"/>
          <w:color w:val="auto"/>
        </w:rPr>
      </w:pPr>
      <w:r>
        <w:rPr>
          <w:rFonts w:ascii="Arial" w:cs="Arial" w:eastAsia="Arial" w:hAnsi="Arial"/>
          <w:sz w:val="16"/>
          <w:szCs w:val="16"/>
          <w:color w:val="auto"/>
        </w:rPr>
        <w:t>The impacts from the COVID-19 Pandemic have had and continue to have an effect on the world and our business. The movie slate for 2022 has improved from prior years but continues to be limited by post-production delays and major motion picture release schedule changes. The attendance level has increased from the prior year, but it has not met historical levels and has not been consistent throughout the year due to timing of major motion picture releases. In-theater advertising revenue for the year ended December 30, 2021 and the nine months ended September 29, 2022 also remained below historical levels due in part to a lag between the recovery of attendees and advertisers, as well as current macroeconomic factors.</w:t>
      </w:r>
    </w:p>
    <w:p>
      <w:pPr>
        <w:spacing w:after="0" w:line="5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On September 7, 2022, Cineworld Group plc, the parent company of Regal, and certain of its subsidiaries, including Regal, Regal Cinemas, Inc., a party to the ESA with NCM LLC, and Regal CineMedia Holdings, LLC, a party to other agreements with NCM LLC and NCM, Inc., filed petitions for reorganization under Chapter 11 of the United States Bankruptcy Code in the Southern District of Texas (the “Cineworld Proceeding”). On October 21, 2022, Regal filed a motion to reject the ESA without 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 party or bringing any of the services performed by NCM LLC in-house. Although there can be no assurances that NCM LLC’s request for declaratory relief will be successful, the Company believes these rights will survive any attempted rejection in the bankruptcy court by Regal. In the event that NCM LLC’s or NCM, Inc.’s agreements with Regal and its affiliates are rejected, it could have a materially negative impact on the Company’s operations or financial condition.</w:t>
      </w:r>
    </w:p>
    <w:p>
      <w:pPr>
        <w:spacing w:after="0" w:line="86" w:lineRule="exact"/>
        <w:rPr>
          <w:sz w:val="20"/>
          <w:szCs w:val="20"/>
          <w:color w:val="auto"/>
        </w:rPr>
      </w:pPr>
    </w:p>
    <w:p>
      <w:pPr>
        <w:ind w:right="80" w:firstLine="526"/>
        <w:spacing w:after="0" w:line="271" w:lineRule="auto"/>
        <w:rPr>
          <w:sz w:val="20"/>
          <w:szCs w:val="20"/>
          <w:color w:val="auto"/>
        </w:rPr>
      </w:pPr>
      <w:r>
        <w:rPr>
          <w:rFonts w:ascii="Arial" w:cs="Arial" w:eastAsia="Arial" w:hAnsi="Arial"/>
          <w:sz w:val="17"/>
          <w:szCs w:val="17"/>
          <w:color w:val="auto"/>
        </w:rPr>
        <w:t>To ensure sufficient liquidity during the recovery from the impacts of the COVID-19 Pandemic, we managed our liquidity position through various cost control methods discussed further within the “Financial Condition and Liquidity” section below. Since the beginning of the COVID-19 Pandemic, the Company has significantly reduced payroll related costs through a combination of temporary measures as well as a headcount reduction of approximately 44% as of September 29, 2022,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were still required to pay these screen-based fees when theaters were open, which were reduced for months where screens were in use for only part of the month.</w:t>
      </w:r>
    </w:p>
    <w:p>
      <w:pPr>
        <w:spacing w:after="0" w:line="70" w:lineRule="exact"/>
        <w:rPr>
          <w:sz w:val="20"/>
          <w:szCs w:val="20"/>
          <w:color w:val="auto"/>
        </w:rPr>
      </w:pPr>
    </w:p>
    <w:p>
      <w:pPr>
        <w:ind w:right="80" w:firstLine="526"/>
        <w:spacing w:after="0" w:line="291" w:lineRule="auto"/>
        <w:rPr>
          <w:sz w:val="20"/>
          <w:szCs w:val="20"/>
          <w:color w:val="auto"/>
        </w:rPr>
      </w:pPr>
      <w:r>
        <w:rPr>
          <w:rFonts w:ascii="Arial" w:cs="Arial" w:eastAsia="Arial" w:hAnsi="Arial"/>
          <w:sz w:val="16"/>
          <w:szCs w:val="16"/>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January 5, 2022, NCM LLC also entered into the Revolving Credit Agreement 2022 among NCM LLC, the lenders 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75" w:lineRule="exact"/>
        <w:rPr>
          <w:sz w:val="20"/>
          <w:szCs w:val="20"/>
          <w:color w:val="auto"/>
        </w:rPr>
      </w:pPr>
    </w:p>
    <w:p>
      <w:pPr>
        <w:ind w:right="260" w:firstLine="526"/>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3"/>
          </w:tcPr>
          <w:p>
            <w:pPr>
              <w:jc w:val="right"/>
              <w:ind w:right="8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Q3 2022</w:t>
            </w:r>
          </w:p>
        </w:tc>
        <w:tc>
          <w:tcPr>
            <w:tcW w:w="22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Q3 2021</w:t>
            </w:r>
          </w:p>
        </w:tc>
        <w:tc>
          <w:tcPr>
            <w:tcW w:w="20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YTD 2022</w:t>
            </w:r>
          </w:p>
        </w:tc>
        <w:tc>
          <w:tcPr>
            <w:tcW w:w="200" w:type="dxa"/>
            <w:vAlign w:val="bottom"/>
          </w:tcPr>
          <w:p>
            <w:pPr>
              <w:spacing w:after="0"/>
              <w:rPr>
                <w:sz w:val="11"/>
                <w:szCs w:val="11"/>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YTD 2021</w:t>
            </w:r>
          </w:p>
        </w:tc>
        <w:tc>
          <w:tcPr>
            <w:tcW w:w="100" w:type="dxa"/>
            <w:vAlign w:val="bottom"/>
          </w:tcPr>
          <w:p>
            <w:pPr>
              <w:spacing w:after="0"/>
              <w:rPr>
                <w:sz w:val="11"/>
                <w:szCs w:val="11"/>
                <w:color w:val="auto"/>
              </w:rPr>
            </w:pPr>
          </w:p>
        </w:tc>
        <w:tc>
          <w:tcPr>
            <w:tcW w:w="13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Q3 2021 to Q3</w:t>
            </w:r>
          </w:p>
        </w:tc>
        <w:tc>
          <w:tcPr>
            <w:tcW w:w="11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YTD 2021 to YTD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3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0" w:type="dxa"/>
            <w:vAlign w:val="bottom"/>
          </w:tcPr>
          <w:p>
            <w:pPr>
              <w:spacing w:after="0"/>
              <w:rPr>
                <w:sz w:val="1"/>
                <w:szCs w:val="1"/>
                <w:color w:val="auto"/>
              </w:rPr>
            </w:pPr>
          </w:p>
        </w:tc>
      </w:tr>
      <w:tr>
        <w:trPr>
          <w:trHeight w:val="176"/>
        </w:trPr>
        <w:tc>
          <w:tcPr>
            <w:tcW w:w="3660" w:type="dxa"/>
            <w:vAlign w:val="bottom"/>
          </w:tcPr>
          <w:p>
            <w:pPr>
              <w:ind w:left="220"/>
              <w:spacing w:after="0" w:line="176" w:lineRule="exact"/>
              <w:rPr>
                <w:sz w:val="20"/>
                <w:szCs w:val="20"/>
                <w:color w:val="auto"/>
              </w:rPr>
            </w:pPr>
            <w:r>
              <w:rPr>
                <w:rFonts w:ascii="Arial" w:cs="Arial" w:eastAsia="Arial" w:hAnsi="Arial"/>
                <w:sz w:val="18"/>
                <w:szCs w:val="18"/>
                <w:color w:val="auto"/>
              </w:rPr>
              <w:t>Network, administrative and unallocated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67.3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127.7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(76.6)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noncontrolling</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(65.1)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3"/>
        </w:trPr>
        <w:tc>
          <w:tcPr>
            <w:tcW w:w="3660" w:type="dxa"/>
            <w:vAlign w:val="bottom"/>
          </w:tcPr>
          <w:p>
            <w:pPr>
              <w:ind w:left="220"/>
              <w:spacing w:after="0"/>
              <w:rPr>
                <w:sz w:val="20"/>
                <w:szCs w:val="20"/>
                <w:color w:val="auto"/>
              </w:rPr>
            </w:pPr>
            <w:r>
              <w:rPr>
                <w:rFonts w:ascii="Arial" w:cs="Arial" w:eastAsia="Arial" w:hAnsi="Arial"/>
                <w:sz w:val="18"/>
                <w:szCs w:val="18"/>
                <w:color w:val="auto"/>
              </w:rPr>
              <w:t>Net loss attributable to NCM,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(57.3)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Net loss per NCM, Inc. basic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380"/>
              <w:spacing w:after="0"/>
              <w:rPr>
                <w:sz w:val="20"/>
                <w:szCs w:val="20"/>
                <w:color w:val="auto"/>
              </w:rPr>
            </w:pPr>
            <w:r>
              <w:rPr>
                <w:rFonts w:ascii="Arial" w:cs="Arial" w:eastAsia="Arial" w:hAnsi="Arial"/>
                <w:sz w:val="18"/>
                <w:szCs w:val="18"/>
                <w:color w:val="auto"/>
              </w:rPr>
              <w:t>(0.72)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NCM, Inc. diluted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Adjusted OIBDA margin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w w:val="91"/>
              </w:rPr>
              <w:t>(84.3)%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38.7 %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94.0 %</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_________________________</w:t>
      </w:r>
    </w:p>
    <w:p>
      <w:pPr>
        <w:spacing w:after="0" w:line="171" w:lineRule="exact"/>
        <w:rPr>
          <w:sz w:val="20"/>
          <w:szCs w:val="20"/>
          <w:color w:val="auto"/>
        </w:rPr>
      </w:pPr>
    </w:p>
    <w:p>
      <w:pPr>
        <w:ind w:left="660" w:right="180" w:hanging="328"/>
        <w:spacing w:after="0" w:line="263"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during the periods presented. Refer to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20" w:firstLine="526"/>
        <w:spacing w:after="0" w:line="286" w:lineRule="auto"/>
        <w:rPr>
          <w:sz w:val="20"/>
          <w:szCs w:val="20"/>
          <w:color w:val="auto"/>
        </w:rPr>
      </w:pPr>
      <w:r>
        <w:rPr>
          <w:rFonts w:ascii="Arial" w:cs="Arial" w:eastAsia="Arial" w:hAnsi="Arial"/>
          <w:sz w:val="16"/>
          <w:szCs w:val="16"/>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impairment of long-lived assets, advisor fees related to involvement in the Cineworld Proceeding, executive transition costs and costs related to the reorganization of the sales</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force.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impairment of long-lived assets, costs related to sales force reorganization, advisor fees related to founding member restructuring, executive transition costs,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the impairment of long-lived assets, costs related to sales force reorganization, executive transition costs or advisor fees related to the Cineworld Proceeding.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loss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ind w:left="54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Q3 2022</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2021</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240" w:type="dxa"/>
            <w:vAlign w:val="bottom"/>
          </w:tcPr>
          <w:p>
            <w:pPr>
              <w:spacing w:after="0"/>
              <w:rPr>
                <w:sz w:val="16"/>
                <w:szCs w:val="16"/>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YTD 2021</w:t>
            </w:r>
          </w:p>
        </w:tc>
        <w:tc>
          <w:tcPr>
            <w:tcW w:w="0" w:type="dxa"/>
            <w:vAlign w:val="bottom"/>
          </w:tcPr>
          <w:p>
            <w:pPr>
              <w:spacing w:after="0"/>
              <w:rPr>
                <w:sz w:val="1"/>
                <w:szCs w:val="1"/>
                <w:color w:val="auto"/>
              </w:rPr>
            </w:pPr>
          </w:p>
        </w:tc>
      </w:tr>
      <w:tr>
        <w:trPr>
          <w:trHeight w:val="26"/>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intangibles recorded for network theater screen</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Executive transition costs </w:t>
            </w:r>
            <w:r>
              <w:rPr>
                <w:rFonts w:ascii="Arial" w:cs="Arial" w:eastAsia="Arial" w:hAnsi="Arial"/>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Sales force reorganization costs </w:t>
            </w:r>
            <w:r>
              <w:rPr>
                <w:rFonts w:ascii="Arial" w:cs="Arial" w:eastAsia="Arial" w:hAnsi="Arial"/>
                <w:sz w:val="18"/>
                <w:szCs w:val="18"/>
                <w:i w:val="1"/>
                <w:iCs w:val="1"/>
                <w:color w:val="auto"/>
              </w:rPr>
              <w:t>(4)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Advisor fees related to the Cineworld Proceeding </w:t>
            </w:r>
            <w:r>
              <w:rPr>
                <w:rFonts w:ascii="Arial" w:cs="Arial" w:eastAsia="Arial" w:hAnsi="Arial"/>
                <w:sz w:val="18"/>
                <w:szCs w:val="18"/>
                <w:i w:val="1"/>
                <w:iCs w:val="1"/>
                <w:color w:val="auto"/>
              </w:rPr>
              <w:t>(5)</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8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54.5</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31.7</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157.5</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(84.3)%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660" w:right="520" w:hanging="328"/>
        <w:spacing w:after="0" w:line="258"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Executive transition costs represent costs associated with the search for the Company’s new CFO during the third quarter of 2021.</w:t>
      </w:r>
    </w:p>
    <w:p>
      <w:pPr>
        <w:spacing w:after="0" w:line="9" w:lineRule="exact"/>
        <w:rPr>
          <w:rFonts w:ascii="Arial" w:cs="Arial" w:eastAsia="Arial" w:hAnsi="Arial"/>
          <w:sz w:val="18"/>
          <w:szCs w:val="18"/>
          <w:i w:val="1"/>
          <w:iCs w:val="1"/>
          <w:color w:val="auto"/>
        </w:rPr>
      </w:pPr>
    </w:p>
    <w:p>
      <w:pPr>
        <w:ind w:left="640" w:hanging="308"/>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relates to the write down of certain internally developed software no longer in use.</w:t>
      </w:r>
    </w:p>
    <w:p>
      <w:pPr>
        <w:spacing w:after="0" w:line="9" w:lineRule="exact"/>
        <w:rPr>
          <w:rFonts w:ascii="Arial" w:cs="Arial" w:eastAsia="Arial" w:hAnsi="Arial"/>
          <w:sz w:val="18"/>
          <w:szCs w:val="18"/>
          <w:i w:val="1"/>
          <w:iCs w:val="1"/>
          <w:color w:val="auto"/>
        </w:rPr>
      </w:pPr>
    </w:p>
    <w:p>
      <w:pPr>
        <w:ind w:left="660" w:right="260" w:hanging="328"/>
        <w:spacing w:after="0" w:line="250"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Sales force reorganization costs represents redundancy costs associated with changes to the Company’s sales force implemented during the first quarter of 2022.</w:t>
      </w:r>
    </w:p>
    <w:p>
      <w:pPr>
        <w:ind w:left="640" w:hanging="308"/>
        <w:spacing w:after="0"/>
        <w:tabs>
          <w:tab w:leader="none" w:pos="640"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Advisor and legal fees incurred in connection with the Company’s involvement in the Cineworld Proceeding during the third quarter of 2022.</w:t>
      </w:r>
    </w:p>
    <w:p>
      <w:pPr>
        <w:spacing w:after="0" w:line="249" w:lineRule="exact"/>
        <w:rPr>
          <w:sz w:val="20"/>
          <w:szCs w:val="20"/>
          <w:color w:val="auto"/>
        </w:rPr>
      </w:pPr>
    </w:p>
    <w:p>
      <w:pPr>
        <w:ind w:right="120" w:firstLine="526"/>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screens</w:t>
            </w:r>
          </w:p>
        </w:tc>
        <w:tc>
          <w:tcPr>
            <w:tcW w:w="1500" w:type="dxa"/>
            <w:vAlign w:val="bottom"/>
          </w:tcPr>
          <w:p>
            <w:pPr>
              <w:spacing w:after="0"/>
              <w:rPr>
                <w:sz w:val="16"/>
                <w:szCs w:val="16"/>
                <w:color w:val="auto"/>
              </w:rPr>
            </w:pPr>
          </w:p>
        </w:tc>
      </w:tr>
      <w:tr>
        <w:trPr>
          <w:trHeight w:val="25"/>
        </w:trPr>
        <w:tc>
          <w:tcPr>
            <w:tcW w:w="58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588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Network Affiliates</w:t>
            </w: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Total</w:t>
            </w:r>
          </w:p>
        </w:tc>
      </w:tr>
      <w:tr>
        <w:trPr>
          <w:trHeight w:val="25"/>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30,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20,740</w:t>
            </w: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 xml:space="preserve">Lost affiliates </w:t>
            </w:r>
            <w:r>
              <w:rPr>
                <w:rFonts w:ascii="Arial" w:cs="Arial" w:eastAsia="Arial" w:hAnsi="Arial"/>
                <w:sz w:val="18"/>
                <w:szCs w:val="18"/>
                <w:i w:val="1"/>
                <w:iCs w:val="1"/>
                <w:color w:val="auto"/>
              </w:rPr>
              <w:t>(1)</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Closures, net of openings </w:t>
            </w:r>
            <w:r>
              <w:rPr>
                <w:rFonts w:ascii="Arial" w:cs="Arial" w:eastAsia="Arial" w:hAnsi="Arial"/>
                <w:sz w:val="18"/>
                <w:szCs w:val="18"/>
                <w:i w:val="1"/>
                <w:iCs w:val="1"/>
                <w:color w:val="auto"/>
              </w:rPr>
              <w:t>(2)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Balance as of September 29,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16,155</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20,201</w:t>
            </w:r>
          </w:p>
        </w:tc>
      </w:tr>
      <w:tr>
        <w:trPr>
          <w:trHeight w:val="20"/>
        </w:trPr>
        <w:tc>
          <w:tcPr>
            <w:tcW w:w="58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Represents the loss of three of our affiliates resulting in a reduction of 288 affiliate screens to our network as of September 29, 2022.</w:t>
      </w:r>
    </w:p>
    <w:p>
      <w:pPr>
        <w:spacing w:after="0" w:line="48" w:lineRule="exact"/>
        <w:rPr>
          <w:rFonts w:ascii="Arial" w:cs="Arial" w:eastAsia="Arial" w:hAnsi="Arial"/>
          <w:sz w:val="18"/>
          <w:szCs w:val="18"/>
          <w:i w:val="1"/>
          <w:iCs w:val="1"/>
          <w:color w:val="auto"/>
        </w:rPr>
      </w:pPr>
    </w:p>
    <w:p>
      <w:pPr>
        <w:ind w:left="640" w:hanging="308"/>
        <w:spacing w:after="0"/>
        <w:tabs>
          <w:tab w:leader="none" w:pos="6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Represents the closure of 251 screens, net of new screens added, across our founding members and network affiliates.</w:t>
      </w:r>
    </w:p>
    <w:p>
      <w:pPr>
        <w:spacing w:after="0" w:line="117" w:lineRule="exact"/>
        <w:rPr>
          <w:sz w:val="20"/>
          <w:szCs w:val="20"/>
          <w:color w:val="auto"/>
        </w:rPr>
      </w:pPr>
    </w:p>
    <w:p>
      <w:pPr>
        <w:ind w:right="80" w:firstLine="526"/>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out-of-home video advertising platforms by allowing advertisers the broad reach and national scale that they need to effectively reach their target audiences.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8"/>
          <w:szCs w:val="18"/>
          <w:color w:val="auto"/>
        </w:rPr>
        <w:t>The results of operations data for the three months ended September 29, 2022 (third quarter of 2022) and September 30, 2021 (third quarter of 2021) and the nine months ended September 29, 2022 and September 30, 2021 was derived from the unaudited Condensed Consolidated Financial Statements and accounting records of NCM, Inc. and should be read in conjunction with the accompanying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Third Quarter of 2022 and Third Quarter of 2021</w:t>
      </w:r>
    </w:p>
    <w:p>
      <w:pPr>
        <w:spacing w:after="0" w:line="171" w:lineRule="exact"/>
        <w:rPr>
          <w:sz w:val="20"/>
          <w:szCs w:val="20"/>
          <w:color w:val="auto"/>
        </w:rPr>
      </w:pPr>
    </w:p>
    <w:p>
      <w:pPr>
        <w:ind w:right="62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71.9%, from $31.7 million for the third quarter of 2021 to $54.5 million for the third quarter of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Q3 2022</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Q3 2021</w:t>
            </w: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3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Q3 2021 to Q3 2022</w:t>
            </w:r>
          </w:p>
        </w:tc>
        <w:tc>
          <w:tcPr>
            <w:tcW w:w="120" w:type="dxa"/>
            <w:vAlign w:val="bottom"/>
          </w:tcPr>
          <w:p>
            <w:pPr>
              <w:spacing w:after="0"/>
              <w:rPr>
                <w:sz w:val="16"/>
                <w:szCs w:val="16"/>
                <w:color w:val="auto"/>
              </w:rPr>
            </w:pPr>
          </w:p>
        </w:tc>
        <w:tc>
          <w:tcPr>
            <w:tcW w:w="146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Q3 2021 to Q3 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Local and regional advertising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71.9 %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concessionaire agreements</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71.9 %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0" w:type="dxa"/>
            <w:vAlign w:val="bottom"/>
          </w:tcPr>
          <w:p>
            <w:pPr>
              <w:spacing w:after="0"/>
              <w:rPr>
                <w:sz w:val="24"/>
                <w:szCs w:val="24"/>
                <w:color w:val="auto"/>
              </w:rPr>
            </w:pPr>
          </w:p>
        </w:tc>
        <w:tc>
          <w:tcPr>
            <w:tcW w:w="11180" w:type="dxa"/>
            <w:vAlign w:val="bottom"/>
            <w:gridSpan w:val="16"/>
          </w:tcPr>
          <w:p>
            <w:pPr>
              <w:ind w:left="500"/>
              <w:spacing w:after="0"/>
              <w:rPr>
                <w:sz w:val="20"/>
                <w:szCs w:val="20"/>
                <w:color w:val="auto"/>
              </w:rPr>
            </w:pPr>
            <w:r>
              <w:rPr>
                <w:rFonts w:ascii="Arial" w:cs="Arial" w:eastAsia="Arial" w:hAnsi="Arial"/>
                <w:sz w:val="18"/>
                <w:szCs w:val="18"/>
                <w:color w:val="auto"/>
                <w:w w:val="89"/>
              </w:rPr>
              <w:t>The following table shows data on theater attendance and revenue per attendee for the three months ended September 29, 2022 and September 30,</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2022</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Q3 2021</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Q3 2021 to Q3 2022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advertising revenue per attendee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0.372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0.299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Local and regional advertising revenue per attendee</w:t>
            </w:r>
          </w:p>
        </w:tc>
        <w:tc>
          <w:tcPr>
            <w:tcW w:w="24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3"/>
              </w:rPr>
              <w:t>0.092</w:t>
            </w:r>
          </w:p>
        </w:tc>
        <w:tc>
          <w:tcPr>
            <w:tcW w:w="9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0.075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Total advertising revenue (excluding founding</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0.464</w:t>
            </w:r>
          </w:p>
        </w:tc>
        <w:tc>
          <w:tcPr>
            <w:tcW w:w="94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0.374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Total revenue per attendee</w:t>
            </w:r>
          </w:p>
        </w:tc>
        <w:tc>
          <w:tcPr>
            <w:tcW w:w="240" w:type="dxa"/>
            <w:vAlign w:val="bottom"/>
          </w:tcPr>
          <w:p>
            <w:pPr>
              <w:spacing w:after="0"/>
              <w:rPr>
                <w:sz w:val="19"/>
                <w:szCs w:val="19"/>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8"/>
              </w:rPr>
              <w:t>0.511</w:t>
            </w:r>
          </w:p>
        </w:tc>
        <w:tc>
          <w:tcPr>
            <w:tcW w:w="9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0.419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106.6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66" w:lineRule="exact"/>
        <w:rPr>
          <w:sz w:val="20"/>
          <w:szCs w:val="20"/>
          <w:color w:val="auto"/>
        </w:rPr>
      </w:pPr>
    </w:p>
    <w:p>
      <w:pPr>
        <w:ind w:left="460" w:right="80" w:hanging="331"/>
        <w:spacing w:after="0" w:line="277" w:lineRule="auto"/>
        <w:tabs>
          <w:tab w:leader="none" w:pos="454"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16"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National advertising revenue increased by $17.1 million, or 75.7%, from $22.6 million for the third quarter of 2021 to $39.7 million for the third quarter of 2022. The increase was due to a 49.1% increase in impressions sold and a 34.5% increase in national advertising CPMs (excluding beverage) in the third quarter of 2022, compared to the third quarter of 2021. The increase in impressions sold was primarily due to a 40.8% increase in network attendance for the third quarter of 2022.</w:t>
      </w:r>
    </w:p>
    <w:p>
      <w:pPr>
        <w:spacing w:after="0" w:line="133"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Local and regional advertising revenue increased by $4.1 million, or 71.9%, from $5.7 million for the third quarter of 2021 to $9.8 million for the third quarter of 2022. The increase in local and regional advertising revenue was driven by an increase in revenue from the transportation, travel and public health categories in the third quarter of 2022, compared to the third quarter of 2021 following a significant increase in network attendance.</w:t>
      </w:r>
    </w:p>
    <w:p>
      <w:pPr>
        <w:spacing w:after="0" w:line="133" w:lineRule="exact"/>
        <w:rPr>
          <w:sz w:val="20"/>
          <w:szCs w:val="20"/>
          <w:color w:val="auto"/>
        </w:rPr>
      </w:pPr>
    </w:p>
    <w:p>
      <w:pPr>
        <w:ind w:left="580" w:right="60"/>
        <w:spacing w:after="0" w:line="257"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National advertising revenue from the founding members’ beverage concessionaire agreement increased $1.6 million, or 47.1%, from $3.4 million for the third quarter of 2021 to $5.0 million for the third quarter of 2022. The increase was due to a 42.8% increase in founding member attendance for the third quarter of 2022, compared to the third quarter of 2021 when founding member attendance was negatively impacted by a limited movie slate and COVID-19 related theater closures and restrictions. The increase was also due to contractual increases in the beverage revenue CPMs in 2022, compared to 2021.</w:t>
      </w:r>
    </w:p>
    <w:p>
      <w:pPr>
        <w:spacing w:after="0" w:line="134" w:lineRule="exact"/>
        <w:rPr>
          <w:sz w:val="20"/>
          <w:szCs w:val="20"/>
          <w:color w:val="auto"/>
        </w:rPr>
      </w:pPr>
    </w:p>
    <w:p>
      <w:pPr>
        <w:ind w:right="260" w:firstLine="567"/>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$8.3 million, or 16.5%, from $50.4 million for the third quarter of 2021 to $58.7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third quarter of 2022. The following table shows the changes in operating expense for the third quarter of 2022 (in millions):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8" w:name="page29"/>
    <w:bookmarkEnd w:id="28"/>
    <w:p>
      <w:pPr>
        <w:spacing w:after="0" w:line="200" w:lineRule="exact"/>
        <w:rPr>
          <w:sz w:val="20"/>
          <w:szCs w:val="20"/>
          <w:color w:val="auto"/>
        </w:rPr>
      </w:pPr>
    </w:p>
    <w:p>
      <w:pPr>
        <w:spacing w:after="0" w:line="3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Advertising operating costs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Network costs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Theater access fees and revenue share—founding members</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Selling and marketing costs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Administrative and other costs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of intangibles recorded for</w:t>
      </w:r>
    </w:p>
    <w:p>
      <w:pPr>
        <w:ind w:left="720"/>
        <w:spacing w:after="0"/>
        <w:rPr>
          <w:sz w:val="20"/>
          <w:szCs w:val="20"/>
          <w:color w:val="auto"/>
        </w:rPr>
      </w:pPr>
      <w:r>
        <w:rPr>
          <w:rFonts w:ascii="Arial" w:cs="Arial" w:eastAsia="Arial" w:hAnsi="Arial"/>
          <w:sz w:val="18"/>
          <w:szCs w:val="18"/>
          <w:color w:val="auto"/>
        </w:rPr>
        <w:t>network theater screen leases</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Q3 2022</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Q3 2021</w:t>
            </w:r>
          </w:p>
        </w:tc>
        <w:tc>
          <w:tcPr>
            <w:tcW w:w="100" w:type="dxa"/>
            <w:vAlign w:val="bottom"/>
          </w:tcPr>
          <w:p>
            <w:pPr>
              <w:spacing w:after="0"/>
              <w:rPr>
                <w:sz w:val="11"/>
                <w:szCs w:val="11"/>
                <w:color w:val="auto"/>
              </w:rPr>
            </w:pPr>
          </w:p>
        </w:tc>
        <w:tc>
          <w:tcPr>
            <w:tcW w:w="102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94"/>
              </w:rPr>
              <w:t>Q3 2021 to Q3</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Q3 2021 to Q3 2022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555"/>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87"/>
              </w:rPr>
              <w:t>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87"/>
              </w:rPr>
              <w:t>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87"/>
              </w:rPr>
              <w:t>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87"/>
              </w:rPr>
              <w:t>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left="515"/>
              <w:spacing w:after="0"/>
              <w:rPr>
                <w:sz w:val="20"/>
                <w:szCs w:val="20"/>
                <w:color w:val="auto"/>
              </w:rPr>
            </w:pPr>
            <w:r>
              <w:rPr>
                <w:rFonts w:ascii="Arial" w:cs="Arial" w:eastAsia="Arial" w:hAnsi="Arial"/>
                <w:sz w:val="18"/>
                <w:szCs w:val="18"/>
                <w:color w:val="auto"/>
                <w:w w:val="91"/>
              </w:rPr>
              <w:t>(1.0)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418"/>
        </w:trPr>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7"/>
              </w:rPr>
              <w:t>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90"/>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87"/>
              </w:rPr>
              <w:t>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-1379220</wp:posOffset>
            </wp:positionV>
            <wp:extent cx="665226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-1079500</wp:posOffset>
            </wp:positionV>
            <wp:extent cx="665226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-788035</wp:posOffset>
            </wp:positionV>
            <wp:extent cx="665226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-496570</wp:posOffset>
            </wp:positionV>
            <wp:extent cx="665226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226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40"/>
          </w:cols>
          <w:pgMar w:left="320" w:top="1089" w:right="359" w:bottom="1440" w:gutter="0" w:footer="0" w:header="0"/>
        </w:sectPr>
      </w:pPr>
    </w:p>
    <w:p>
      <w:pPr>
        <w:spacing w:after="0" w:line="29" w:lineRule="exact"/>
        <w:rPr>
          <w:sz w:val="20"/>
          <w:szCs w:val="20"/>
          <w:color w:val="auto"/>
        </w:rPr>
      </w:pPr>
    </w:p>
    <w:p>
      <w:pPr>
        <w:jc w:val="both"/>
        <w:ind w:left="580" w:right="160"/>
        <w:spacing w:after="0" w:line="286"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$1.1 million, or 21.2%, from $5.2 million for the third quarter of 2021 to $6.3 million for the third quarter of 2022. The increase in advertising operating costs was due to $0.9 million of higher advertising affiliate and partner expense, which was driven by higher revenue for the third quarter of 2022, as compared to the third quarter of 2021.</w:t>
      </w:r>
    </w:p>
    <w:p>
      <w:pPr>
        <w:spacing w:after="0" w:line="111"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$0.1 million, or 5.0%, from $2.0 million for the third quarter of 2021 to $2.1 million for the third quarter of 2022.</w:t>
      </w:r>
    </w:p>
    <w:p>
      <w:pPr>
        <w:spacing w:after="0" w:line="116" w:lineRule="exact"/>
        <w:rPr>
          <w:sz w:val="20"/>
          <w:szCs w:val="20"/>
          <w:color w:val="auto"/>
        </w:rPr>
      </w:pPr>
    </w:p>
    <w:p>
      <w:pPr>
        <w:jc w:val="both"/>
        <w:ind w:left="580" w:right="20"/>
        <w:spacing w:after="0" w:line="301"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increased by $4.6 million, or 27.5%, from $16.7 million for the third quarter of 2021 to $21.3 million for the third quarter of 2022. This increase was primarily due to a $4.0 million increase caused by the substantial increase in founding member theater attendance for the third quarter of 2022 as compared to the third quarter of 2021 and a $0.6 million increase in Platinum Spot revenue share in the third quarter of 2022, compared to the third quarter of 2021.</w:t>
      </w:r>
    </w:p>
    <w:p>
      <w:pPr>
        <w:spacing w:after="0" w:line="103" w:lineRule="exact"/>
        <w:rPr>
          <w:sz w:val="20"/>
          <w:szCs w:val="20"/>
          <w:color w:val="auto"/>
        </w:rPr>
      </w:pPr>
    </w:p>
    <w:p>
      <w:pPr>
        <w:ind w:left="580"/>
        <w:spacing w:after="0" w:line="279"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increased $2.2 million, or 26.8%, from $8.2 million for the third quarter of 2021 to $10.4 million for the third quarter of 2022. This increase was primarily due to a $1.3 million increase in commission expense, driven by higher revenue in the third quarter of 2022, compared to the third quarter of 2021. Revenue share expenses increased by $0.5 million driven by increased revenue and a $0.2 million increase in software costs in the third quarter of 2022, compared to the third quarter of 2021.</w:t>
      </w:r>
    </w:p>
    <w:p>
      <w:pPr>
        <w:spacing w:after="0" w:line="117" w:lineRule="exact"/>
        <w:rPr>
          <w:sz w:val="20"/>
          <w:szCs w:val="20"/>
          <w:color w:val="auto"/>
        </w:rPr>
      </w:pPr>
    </w:p>
    <w:p>
      <w:pPr>
        <w:ind w:left="580" w:right="140"/>
        <w:spacing w:after="0" w:line="257"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$1.2 million, or 12.5%, from $9.6 million for the third quarter of 2021 to $10.8 million for the third quarter of 2022. This increase was primarily due to $1.3 million in advisor fees incurred related to the Cineworld Proceeding during the third quarter of 2022 and a $0.2 million increase due to reduced capitalized personnel costs in our technology department during the third quarter of 2022, as compared to the third quarter of 2021. These increases were partially offset by a $0.4 million decrease in other legal and professional fees.</w:t>
      </w:r>
    </w:p>
    <w:p>
      <w:pPr>
        <w:spacing w:after="0" w:line="134"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$1.0 million, or 40.0%, from $2.5 million for the third quarter of 2021 to $1.5 million in the third quarter of 2022, primarily due to the write-off of internally developed software in the first quarter of 2022.</w:t>
      </w:r>
    </w:p>
    <w:p>
      <w:pPr>
        <w:spacing w:after="0" w:line="116" w:lineRule="exact"/>
        <w:rPr>
          <w:sz w:val="20"/>
          <w:szCs w:val="20"/>
          <w:color w:val="auto"/>
        </w:rPr>
      </w:pPr>
    </w:p>
    <w:p>
      <w:pPr>
        <w:ind w:left="580" w:right="180"/>
        <w:spacing w:after="0" w:line="277"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increased $0.1 million, or 1.6%, from $6.2 million for the third quarter of 2021 to $6.3 million for the third quarter of 2022.</w:t>
      </w:r>
    </w:p>
    <w:p>
      <w:pPr>
        <w:spacing w:after="0" w:line="116" w:lineRule="exact"/>
        <w:rPr>
          <w:sz w:val="20"/>
          <w:szCs w:val="20"/>
          <w:color w:val="auto"/>
        </w:rPr>
      </w:pPr>
    </w:p>
    <w:p>
      <w:pPr>
        <w:ind w:right="12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$2.7 million, or 18.2%, from $14.8 million for the third quarter of 2021 to $17.5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third quarter of 2022. The following table shows the changes in non-operating expense for the third quarter of 2022 and the third quarter of 2021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70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2022</w:t>
            </w: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Q3 2021</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Q3 2021 to Q3 2022</w:t>
            </w:r>
          </w:p>
        </w:tc>
        <w:tc>
          <w:tcPr>
            <w:tcW w:w="100" w:type="dxa"/>
            <w:vAlign w:val="bottom"/>
          </w:tcPr>
          <w:p>
            <w:pPr>
              <w:spacing w:after="0"/>
              <w:rPr>
                <w:sz w:val="16"/>
                <w:szCs w:val="16"/>
                <w:color w:val="auto"/>
              </w:rPr>
            </w:pPr>
          </w:p>
        </w:tc>
        <w:tc>
          <w:tcPr>
            <w:tcW w:w="1700" w:type="dxa"/>
            <w:vAlign w:val="bottom"/>
          </w:tcPr>
          <w:p>
            <w:pPr>
              <w:jc w:val="right"/>
              <w:ind w:right="159"/>
              <w:spacing w:after="0"/>
              <w:rPr>
                <w:sz w:val="20"/>
                <w:szCs w:val="20"/>
                <w:color w:val="auto"/>
              </w:rPr>
            </w:pPr>
            <w:r>
              <w:rPr>
                <w:rFonts w:ascii="Arial" w:cs="Arial" w:eastAsia="Arial" w:hAnsi="Arial"/>
                <w:sz w:val="14"/>
                <w:szCs w:val="14"/>
                <w:b w:val="1"/>
                <w:bCs w:val="1"/>
                <w:color w:val="auto"/>
              </w:rPr>
              <w:t>Q3 2021 to Q3 2022</w:t>
            </w: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936"/>
              <w:spacing w:after="0"/>
              <w:rPr>
                <w:sz w:val="20"/>
                <w:szCs w:val="20"/>
                <w:color w:val="auto"/>
              </w:rPr>
            </w:pPr>
            <w:r>
              <w:rPr>
                <w:rFonts w:ascii="Arial" w:cs="Arial" w:eastAsia="Arial" w:hAnsi="Arial"/>
                <w:sz w:val="18"/>
                <w:szCs w:val="18"/>
                <w:color w:val="auto"/>
                <w:w w:val="87"/>
              </w:rPr>
              <w:t>3.2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center"/>
              <w:ind w:left="916"/>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loss on the re-measurement of the payable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8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to founding members under the tax receivable</w:t>
            </w: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1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1"/>
              </w:rPr>
              <w:t>(2.2)</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center"/>
              <w:ind w:left="916"/>
              <w:spacing w:after="0"/>
              <w:rPr>
                <w:sz w:val="20"/>
                <w:szCs w:val="20"/>
                <w:color w:val="auto"/>
              </w:rPr>
            </w:pPr>
            <w:r>
              <w:rPr>
                <w:rFonts w:ascii="Arial" w:cs="Arial" w:eastAsia="Arial" w:hAnsi="Arial"/>
                <w:sz w:val="18"/>
                <w:szCs w:val="18"/>
                <w:color w:val="auto"/>
                <w:w w:val="97"/>
              </w:rPr>
              <w:t>(0.4)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Total non-operating expenses</w:t>
            </w: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w w:val="87"/>
              </w:rPr>
              <w:t>2.7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firstLine="526"/>
        <w:spacing w:after="0" w:line="311" w:lineRule="auto"/>
        <w:rPr>
          <w:sz w:val="20"/>
          <w:szCs w:val="20"/>
          <w:color w:val="auto"/>
        </w:rPr>
      </w:pPr>
      <w:r>
        <w:rPr>
          <w:rFonts w:ascii="Arial" w:cs="Arial" w:eastAsia="Arial" w:hAnsi="Arial"/>
          <w:sz w:val="16"/>
          <w:szCs w:val="16"/>
          <w:color w:val="auto"/>
        </w:rPr>
        <w:t>The increase in non-operating expense was primarily due to a $3.2 million increase in interest on borrowings primarily related to the issuance of the Revolving Credit Agreement 2022 in January of 2022 as well as rising interest rates, partially offset by a $0.4 million increase in the gain on the re-measurement of the payable to founding members under the tax receivable agreement for the third quarter of 2022, compared to the third quarter of 2021.</w:t>
      </w:r>
    </w:p>
    <w:p>
      <w:pPr>
        <w:spacing w:after="0" w:line="41" w:lineRule="exact"/>
        <w:rPr>
          <w:sz w:val="20"/>
          <w:szCs w:val="20"/>
          <w:color w:val="auto"/>
        </w:rPr>
      </w:pPr>
    </w:p>
    <w:p>
      <w:pPr>
        <w:jc w:val="both"/>
        <w:ind w:right="240" w:firstLine="526"/>
        <w:spacing w:after="0" w:line="263"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decreased $6.3 million from net loss of $15.2 million for the third quarter of 2021 to $8.9 million for the third quarter of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net loss was due to a $14.5 million decrease in operating loss, offset by a $5.5 million decrease in net loss attributable to noncontrolling interests and a $2.7 million decrease in non-operating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29, 2022 and September 30, 2021</w:t>
      </w:r>
    </w:p>
    <w:p>
      <w:pPr>
        <w:spacing w:after="0" w:line="171"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208.2%, from $51.1 million for the nine months ended September 30, 2021 to $157.5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29, 2022. The following 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7"/>
          </w:tcPr>
          <w:p>
            <w:pPr>
              <w:ind w:left="52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September 29, 2022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YTD 2021 to YTD</w:t>
            </w:r>
          </w:p>
        </w:tc>
        <w:tc>
          <w:tcPr>
            <w:tcW w:w="12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YTD 2021 to YTD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Pr>
          <w:p>
            <w:pPr>
              <w:spacing w:after="0"/>
              <w:rPr>
                <w:sz w:val="17"/>
                <w:szCs w:val="17"/>
                <w:color w:val="auto"/>
              </w:rPr>
            </w:pPr>
          </w:p>
        </w:tc>
        <w:tc>
          <w:tcPr>
            <w:tcW w:w="15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center"/>
              <w:ind w:right="15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Local and regional advertising revenue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144.4 %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4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concessionaire agreements</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center"/>
              <w:ind w:right="15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208.2 %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0" w:type="dxa"/>
            <w:vAlign w:val="bottom"/>
          </w:tcPr>
          <w:p>
            <w:pPr>
              <w:spacing w:after="0"/>
              <w:rPr>
                <w:sz w:val="24"/>
                <w:szCs w:val="24"/>
                <w:color w:val="auto"/>
              </w:rPr>
            </w:pPr>
          </w:p>
        </w:tc>
        <w:tc>
          <w:tcPr>
            <w:tcW w:w="11180" w:type="dxa"/>
            <w:vAlign w:val="bottom"/>
            <w:gridSpan w:val="16"/>
          </w:tcPr>
          <w:p>
            <w:pPr>
              <w:ind w:left="500"/>
              <w:spacing w:after="0"/>
              <w:rPr>
                <w:sz w:val="20"/>
                <w:szCs w:val="20"/>
                <w:color w:val="auto"/>
              </w:rPr>
            </w:pPr>
            <w:r>
              <w:rPr>
                <w:rFonts w:ascii="Arial" w:cs="Arial" w:eastAsia="Arial" w:hAnsi="Arial"/>
                <w:sz w:val="18"/>
                <w:szCs w:val="18"/>
                <w:color w:val="auto"/>
                <w:w w:val="90"/>
              </w:rPr>
              <w:t>The following table shows data on theater attendance and revenue per attendee for the nine months ended September 29, 2022 and September 30,</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7"/>
          </w:tcPr>
          <w:p>
            <w:pPr>
              <w:ind w:left="980"/>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5"/>
          </w:tcPr>
          <w:p>
            <w:pPr>
              <w:spacing w:after="0"/>
              <w:rPr>
                <w:sz w:val="2"/>
                <w:szCs w:val="2"/>
                <w:color w:val="auto"/>
              </w:rPr>
            </w:pPr>
          </w:p>
        </w:tc>
        <w:tc>
          <w:tcPr>
            <w:tcW w:w="1780" w:type="dxa"/>
            <w:vAlign w:val="bottom"/>
            <w:gridSpan w:val="5"/>
          </w:tcPr>
          <w:p>
            <w:pPr>
              <w:spacing w:after="0"/>
              <w:rPr>
                <w:sz w:val="2"/>
                <w:szCs w:val="2"/>
                <w:color w:val="auto"/>
              </w:rPr>
            </w:pPr>
          </w:p>
        </w:tc>
        <w:tc>
          <w:tcPr>
            <w:tcW w:w="21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Borders>
              <w:top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29, 2022</w:t>
            </w:r>
          </w:p>
        </w:tc>
        <w:tc>
          <w:tcPr>
            <w:tcW w:w="156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YTD 2021 to YTD 2022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advertising revenue per attendee</w:t>
            </w:r>
          </w:p>
        </w:tc>
        <w:tc>
          <w:tcPr>
            <w:tcW w:w="2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0.380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0.247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Local and regional advertising revenue per attendee</w:t>
            </w:r>
          </w:p>
        </w:tc>
        <w:tc>
          <w:tcPr>
            <w:tcW w:w="24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8"/>
              </w:rPr>
              <w:t>0.086</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0.078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advertising revenue (excluding founding</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0.466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0.325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Total revenue per attendee</w:t>
            </w:r>
          </w:p>
        </w:tc>
        <w:tc>
          <w:tcPr>
            <w:tcW w:w="240" w:type="dxa"/>
            <w:vAlign w:val="bottom"/>
          </w:tcPr>
          <w:p>
            <w:pPr>
              <w:spacing w:after="0"/>
              <w:rPr>
                <w:sz w:val="19"/>
                <w:szCs w:val="19"/>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88"/>
              </w:rPr>
              <w:t>0.513</w:t>
            </w:r>
          </w:p>
        </w:tc>
        <w:tc>
          <w:tcPr>
            <w:tcW w:w="100" w:type="dxa"/>
            <w:vAlign w:val="bottom"/>
          </w:tcPr>
          <w:p>
            <w:pPr>
              <w:spacing w:after="0"/>
              <w:rPr>
                <w:sz w:val="19"/>
                <w:szCs w:val="19"/>
                <w:color w:val="auto"/>
              </w:rPr>
            </w:pP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0.369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gridSpan w:val="3"/>
          </w:tcPr>
          <w:p>
            <w:pPr>
              <w:jc w:val="right"/>
              <w:ind w:right="40"/>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121.4 %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52" w:lineRule="exact"/>
        <w:rPr>
          <w:sz w:val="20"/>
          <w:szCs w:val="20"/>
          <w:color w:val="auto"/>
        </w:rPr>
      </w:pPr>
    </w:p>
    <w:p>
      <w:pPr>
        <w:ind w:left="460" w:right="60" w:hanging="331"/>
        <w:spacing w:after="0" w:line="277" w:lineRule="auto"/>
        <w:tabs>
          <w:tab w:leader="none" w:pos="454"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16" w:lineRule="exact"/>
        <w:rPr>
          <w:sz w:val="20"/>
          <w:szCs w:val="20"/>
          <w:color w:val="auto"/>
        </w:rPr>
      </w:pPr>
    </w:p>
    <w:p>
      <w:pPr>
        <w:ind w:left="580" w:right="40"/>
        <w:spacing w:after="0" w:line="293"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National advertising revenue increased by $82.4 million, or 240.2%, from $34.3 million for the nine months ended September 30, 2021 to $116.7 million for the nine months ended September 29, 2022. The increase was due to a significant increase in impressions sold and a 31.6% increase in national advertising CPMs for the nine months ended September 29, 2022, compared to the nine months ended September 30, 2021. The increase in impressions sold was primarily due to a 121.3% increase in network attendance and a 44.0% increase in national advertising utilization due in part to the Company’s ability to participate in the 2022 upfront marketplace, as compared to 2021 when the theaters were closed and the return of advertisers to the network in the nine months ended September 29, 2022.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30" w:name="page31"/>
    <w:bookmarkEnd w:id="30"/>
    <w:p>
      <w:pPr>
        <w:ind w:left="580"/>
        <w:spacing w:after="0" w:line="255"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Local and regional advertising revenue increased by $15.6 million, or 144.4%, from $10.8 million for the nine months ended September 30, 2021 to $26.4 million for the nine months ended September 29, 2022. The increase in local and regional advertising revenue was due primarily to the closure of approximately 40% of our network for three of the nine months ended September 30, 2021. The increase was also driven by an increase in advertiser interest in the nine months ended September 29, 2022, compared to the nine months ended September 30, 2021, following a significant increase in network attendance primarily due to an improved movie slate and the removal of COVID-19 Pandemic related restrictions.</w:t>
      </w:r>
    </w:p>
    <w:p>
      <w:pPr>
        <w:spacing w:after="0" w:line="138" w:lineRule="exact"/>
        <w:rPr>
          <w:sz w:val="20"/>
          <w:szCs w:val="20"/>
          <w:color w:val="auto"/>
        </w:rPr>
      </w:pPr>
    </w:p>
    <w:p>
      <w:pPr>
        <w:ind w:left="580" w:right="60"/>
        <w:spacing w:after="0" w:line="257"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National advertising revenue from the founding members’ beverage concessionaire agreement increased $8.4 million, or 140.0%, from $6.0 million for the nine months ended September 30, 2021 to $14.4 million for the nine months ended September 29, 2022. The increase was due to a 127.0% increase in founding member attendance for the nine months ended September 29, 2022, compared to the nine months ended September 30, 2021. The increase was also due to contractual increases in the beverage revenue CPMs in 2022, compared to 2021.</w:t>
      </w:r>
    </w:p>
    <w:p>
      <w:pPr>
        <w:spacing w:after="0" w:line="134" w:lineRule="exact"/>
        <w:rPr>
          <w:sz w:val="20"/>
          <w:szCs w:val="20"/>
          <w:color w:val="auto"/>
        </w:rPr>
      </w:pPr>
    </w:p>
    <w:p>
      <w:pPr>
        <w:jc w:val="both"/>
        <w:ind w:right="300" w:firstLine="567"/>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$51.0 million, or 39.9%, from $127.7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to $178.7 million for the nine months ended September 29, 2022. The following table shows the changes in operating expense for the nine months ended September 29, 2022 and September 30, 2021 (in millions):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29,</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3"/>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b w:val="1"/>
                <w:bCs w:val="1"/>
                <w:color w:val="auto"/>
                <w:w w:val="97"/>
              </w:rPr>
              <w:t>YTD 2021 to</w:t>
            </w:r>
          </w:p>
        </w:tc>
        <w:tc>
          <w:tcPr>
            <w:tcW w:w="10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9"/>
              </w:rPr>
              <w:t>YTD 2021 to YTD</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YTD 2022</w:t>
            </w:r>
          </w:p>
        </w:tc>
        <w:tc>
          <w:tcPr>
            <w:tcW w:w="13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 operating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Theater access fees and revenue share—founding members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other costs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75"/>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intangibles recorded for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tcPr>
          <w:p>
            <w:pPr>
              <w:jc w:val="right"/>
              <w:ind w:right="3130"/>
              <w:spacing w:after="0"/>
              <w:rPr>
                <w:sz w:val="20"/>
                <w:szCs w:val="20"/>
                <w:color w:val="auto"/>
              </w:rPr>
            </w:pPr>
            <w:r>
              <w:rPr>
                <w:rFonts w:ascii="Arial" w:cs="Arial" w:eastAsia="Arial" w:hAnsi="Arial"/>
                <w:sz w:val="18"/>
                <w:szCs w:val="18"/>
                <w:color w:val="auto"/>
                <w:w w:val="93"/>
              </w:rPr>
              <w:t>network theater screen leases</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jc w:val="right"/>
              <w:ind w:right="3150"/>
              <w:spacing w:after="0"/>
              <w:rPr>
                <w:sz w:val="20"/>
                <w:szCs w:val="20"/>
                <w:color w:val="auto"/>
              </w:rPr>
            </w:pPr>
            <w:r>
              <w:rPr>
                <w:rFonts w:ascii="Arial" w:cs="Arial" w:eastAsia="Arial" w:hAnsi="Arial"/>
                <w:sz w:val="18"/>
                <w:szCs w:val="18"/>
                <w:color w:val="auto"/>
              </w:rPr>
              <w:t>Total operating expenses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107"/>
        </w:trPr>
        <w:tc>
          <w:tcPr>
            <w:tcW w:w="54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$9.4 million, or 94.9%, from $9.9 million for the nine months ended September 30, 2021 to $19.3 million for the nine months ended September 29, 2022. The majority of the increase was due to $8.9 million of higher advertising affiliate and partner expense, which was driven by higher revenue for the nine months ended September 29, 2022, compared to the nine months ended September 30, 2021 and $0.2 million increase in personnel related costs due to the reinstatement of full salaries to all employees in the first quarter of 2022 impacting the nine months ended September 29, 2022, compared to the nine months ended September 30, 2021 when temporary salary and wage reductions were in place.</w:t>
      </w:r>
    </w:p>
    <w:p>
      <w:pPr>
        <w:spacing w:after="0" w:line="138" w:lineRule="exact"/>
        <w:rPr>
          <w:sz w:val="20"/>
          <w:szCs w:val="20"/>
          <w:color w:val="auto"/>
        </w:rPr>
      </w:pPr>
    </w:p>
    <w:p>
      <w:pPr>
        <w:ind w:left="580" w:right="60"/>
        <w:spacing w:after="0" w:line="279"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increased $0.5 million, or 8.8%, from $5.7 million for the nine months ended September 30, 2021 to $6.2 million for the nine months ended September 29, 2022. The increase was primarily related to a $0.5 million increase in personnel related costs due to the reinstatement of full salaries to all employees in the first quarter of 2022 impacting the nine months ended September 29, 2022, compared to the nine months ended September 30, 2021 when temporary salary and wage reductions were in place.</w:t>
      </w:r>
    </w:p>
    <w:p>
      <w:pPr>
        <w:spacing w:after="0" w:line="117" w:lineRule="exact"/>
        <w:rPr>
          <w:sz w:val="20"/>
          <w:szCs w:val="20"/>
          <w:color w:val="auto"/>
        </w:rPr>
      </w:pPr>
    </w:p>
    <w:p>
      <w:pPr>
        <w:ind w:left="580" w:right="60"/>
        <w:spacing w:after="0" w:line="254" w:lineRule="auto"/>
        <w:rPr>
          <w:sz w:val="20"/>
          <w:szCs w:val="20"/>
          <w:color w:val="auto"/>
        </w:rPr>
      </w:pPr>
      <w:r>
        <w:rPr>
          <w:rFonts w:ascii="Arial" w:cs="Arial" w:eastAsia="Arial" w:hAnsi="Arial"/>
          <w:sz w:val="18"/>
          <w:szCs w:val="18"/>
          <w:u w:val="single" w:color="auto"/>
          <w:color w:val="auto"/>
        </w:rPr>
        <w:t>Theater access fees and revenue share—founding members.</w:t>
      </w:r>
      <w:r>
        <w:rPr>
          <w:rFonts w:ascii="Arial" w:cs="Arial" w:eastAsia="Arial" w:hAnsi="Arial"/>
          <w:sz w:val="18"/>
          <w:szCs w:val="18"/>
          <w:color w:val="auto"/>
        </w:rPr>
        <w:t xml:space="preserve"> Theater access fees and revenue share increased by $31.4 million, or 101.3%, from $31.0 million for the nine months ended September 30, 2021 to $62.4 million for the nine months ended September 29, 2022. This increase was primarily caused by an $18.6 million increase due to the substantial increase in founding member theater attendance for the nine months ended September 29, 2022, as compared to the nine months ended September 30, 2021, and an $11.1 million increase due to the 38.8% increase in average active screens for the nine months ended September 29, 2022, as compared to the nine months ended September 30, 2021. This increase was also due to a $1.7 million increase in Platinum Spot revenue share in the nine months ended September 29, 2022, compared to the nine months ended September 30, 2021.</w:t>
      </w:r>
    </w:p>
    <w:p>
      <w:pPr>
        <w:spacing w:after="0" w:line="141" w:lineRule="exact"/>
        <w:rPr>
          <w:sz w:val="20"/>
          <w:szCs w:val="20"/>
          <w:color w:val="auto"/>
        </w:rPr>
      </w:pPr>
    </w:p>
    <w:p>
      <w:pPr>
        <w:ind w:left="580" w:right="820"/>
        <w:spacing w:after="0" w:line="277"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$6.2 million, or 25.0%, from $24.8 million for the nine months ended September 30, 2021 to $31.0 million for the nine months ended September 29, 2022. This increase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 w:name="page32"/>
    <w:bookmarkEnd w:id="31"/>
    <w:p>
      <w:pPr>
        <w:ind w:left="580"/>
        <w:spacing w:after="0"/>
        <w:rPr>
          <w:sz w:val="20"/>
          <w:szCs w:val="20"/>
          <w:color w:val="auto"/>
        </w:rPr>
      </w:pPr>
      <w:r>
        <w:rPr>
          <w:rFonts w:ascii="Arial" w:cs="Arial" w:eastAsia="Arial" w:hAnsi="Arial"/>
          <w:sz w:val="17"/>
          <w:szCs w:val="17"/>
          <w:color w:val="auto"/>
        </w:rPr>
        <w:t>was primarily due to a $3.1 million increase in personnel related expenses following the reinstatement of full salaries to employees in the first</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quarter of 2022 impacting the nine months ended September 29, 2022, compared to the nine months ended September 30, 2021 when temporary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salary and wage reductions were in place. The increase was also due to a $2.3 million increase in selling related expenses due to increased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marketing activity, a $0.8 million increase in bad debt expense driven by the increase in revenue and a $0.4 million increase in software costs for</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nine months ended September 29, 2022, compared to the nine months ended September 30, 2021. These increases were partially offset by a</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$0.7 million decrease in non-cash barter expense for the nine months ended September 29, 2022, compared to the nine months ended September 30,</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2021.</w:t>
      </w:r>
    </w:p>
    <w:p>
      <w:pPr>
        <w:spacing w:after="0" w:line="157" w:lineRule="exact"/>
        <w:rPr>
          <w:sz w:val="20"/>
          <w:szCs w:val="20"/>
          <w:color w:val="auto"/>
        </w:rPr>
      </w:pPr>
    </w:p>
    <w:p>
      <w:pPr>
        <w:ind w:left="580" w:right="120"/>
        <w:spacing w:after="0" w:line="272"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$0.8 million, or 2.7%, from $29.4 million for the nine months ended September 30, 2021 to $30.2 million for the nine months ended September 29, 2022. This increase was primarily due to a $1.3 million increase in advisor and legal fees related to the Cineworld Proceeding during the third quarter of 2022, a $0.4 million increase in cloud computing expense related to our cinema advertising management system and a $0.5 million increase related to corporate expenses. The increase was also partially offset by a $0.3 million decrease in other legal and professional fees and a $1.0 million decrease in personnel related expenses driven by a $1.3 million decrease in share-based compensation expense, partially offset by a $0.7 million decrease in capitalized personnel costs in the nine months ended September 29, 2022, compared to the nine months ended September 30, 2021.</w:t>
      </w:r>
    </w:p>
    <w:p>
      <w:pPr>
        <w:spacing w:after="0" w:line="123" w:lineRule="exact"/>
        <w:rPr>
          <w:sz w:val="20"/>
          <w:szCs w:val="20"/>
          <w:color w:val="auto"/>
        </w:rPr>
      </w:pPr>
    </w:p>
    <w:p>
      <w:pPr>
        <w:ind w:left="580" w:right="12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increased $5.8 million, or 100%, from $0.0 million for the nine months ended September 30, 2021 to $5.8 million for the nine months ended September 29, 2022. This increase in impairment expense consisted of the write-off of certain long-lived assets during the first quarter of 2022.</w:t>
      </w:r>
    </w:p>
    <w:p>
      <w:pPr>
        <w:spacing w:after="0" w:line="130" w:lineRule="exact"/>
        <w:rPr>
          <w:sz w:val="20"/>
          <w:szCs w:val="20"/>
          <w:color w:val="auto"/>
        </w:rPr>
      </w:pPr>
    </w:p>
    <w:p>
      <w:pPr>
        <w:ind w:left="580" w:right="80"/>
        <w:spacing w:after="0" w:line="263"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$3.3 million, or 39.3%, from $8.4 million for the nine months ended September 30, 2021 to $5.1 million for the nine months ended September 29, 2022, primarily due to the write-off of internally developed software in the first quarter of 2022.</w:t>
      </w:r>
    </w:p>
    <w:p>
      <w:pPr>
        <w:spacing w:after="0" w:line="130" w:lineRule="exact"/>
        <w:rPr>
          <w:sz w:val="20"/>
          <w:szCs w:val="20"/>
          <w:color w:val="auto"/>
        </w:rPr>
      </w:pPr>
    </w:p>
    <w:p>
      <w:pPr>
        <w:jc w:val="both"/>
        <w:ind w:left="580" w:right="420"/>
        <w:spacing w:after="0" w:line="263"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increased $0.2 million, or 1.1%, from $18.5 million for the nine months ended September 30, 2021 to $18.7 million for the nine months ended September 29, 2022.</w:t>
      </w:r>
    </w:p>
    <w:p>
      <w:pPr>
        <w:spacing w:after="0" w:line="130" w:lineRule="exact"/>
        <w:rPr>
          <w:sz w:val="20"/>
          <w:szCs w:val="20"/>
          <w:color w:val="auto"/>
        </w:rPr>
      </w:pPr>
    </w:p>
    <w:p>
      <w:pPr>
        <w:ind w:right="16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$9.3 million, or 20.3%, from $45.8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to $55.1 for the nine months ended September 29, 2022. The following table shows the changes in non-operating expense for the nine months ended September 29, 2022 and September 30, 2021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84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Pr>
          <w:p>
            <w:pPr>
              <w:jc w:val="right"/>
              <w:ind w:right="439"/>
              <w:spacing w:after="0"/>
              <w:rPr>
                <w:sz w:val="20"/>
                <w:szCs w:val="20"/>
                <w:color w:val="auto"/>
              </w:rPr>
            </w:pPr>
            <w:r>
              <w:rPr>
                <w:rFonts w:ascii="Arial" w:cs="Arial" w:eastAsia="Arial" w:hAnsi="Arial"/>
                <w:sz w:val="14"/>
                <w:szCs w:val="14"/>
                <w:b w:val="1"/>
                <w:bCs w:val="1"/>
                <w:color w:val="auto"/>
              </w:rPr>
              <w:t>% Change</w:t>
            </w:r>
          </w:p>
        </w:tc>
      </w:tr>
      <w:tr>
        <w:trPr>
          <w:trHeight w:val="25"/>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89"/>
        </w:trPr>
        <w:tc>
          <w:tcPr>
            <w:tcW w:w="4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2022</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2021 to YTD 2022</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YTD 2021 to YTD 2022</w:t>
            </w:r>
          </w:p>
        </w:tc>
      </w:tr>
      <w:tr>
        <w:trPr>
          <w:trHeight w:val="23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modification and retirement of debt,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(837.5)%</w:t>
            </w: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Loss (gain) on the re-measurement of the payable</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8"/>
        </w:trPr>
        <w:tc>
          <w:tcPr>
            <w:tcW w:w="4580" w:type="dxa"/>
            <w:vAlign w:val="bottom"/>
          </w:tcPr>
          <w:p>
            <w:pPr>
              <w:ind w:left="160"/>
              <w:spacing w:after="0" w:line="189" w:lineRule="exact"/>
              <w:rPr>
                <w:sz w:val="20"/>
                <w:szCs w:val="20"/>
                <w:color w:val="auto"/>
              </w:rPr>
            </w:pPr>
            <w:r>
              <w:rPr>
                <w:rFonts w:ascii="Arial" w:cs="Arial" w:eastAsia="Arial" w:hAnsi="Arial"/>
                <w:sz w:val="18"/>
                <w:szCs w:val="18"/>
                <w:color w:val="auto"/>
              </w:rPr>
              <w:t>to founding members under the tax receivable</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0"/>
        </w:trPr>
        <w:tc>
          <w:tcPr>
            <w:tcW w:w="458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(225.0)%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Total non-operating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20.3 %</w:t>
            </w:r>
          </w:p>
        </w:tc>
      </w:tr>
    </w:tbl>
    <w:p>
      <w:pPr>
        <w:spacing w:after="0" w:line="200" w:lineRule="exact"/>
        <w:rPr>
          <w:sz w:val="20"/>
          <w:szCs w:val="20"/>
          <w:color w:val="auto"/>
        </w:rPr>
      </w:pPr>
    </w:p>
    <w:p>
      <w:pPr>
        <w:spacing w:after="0" w:line="258" w:lineRule="exact"/>
        <w:rPr>
          <w:sz w:val="20"/>
          <w:szCs w:val="20"/>
          <w:color w:val="auto"/>
        </w:rPr>
      </w:pPr>
    </w:p>
    <w:p>
      <w:pPr>
        <w:ind w:right="60" w:firstLine="526"/>
        <w:spacing w:after="0" w:line="275" w:lineRule="auto"/>
        <w:rPr>
          <w:sz w:val="20"/>
          <w:szCs w:val="20"/>
          <w:color w:val="auto"/>
        </w:rPr>
      </w:pPr>
      <w:r>
        <w:rPr>
          <w:rFonts w:ascii="Arial" w:cs="Arial" w:eastAsia="Arial" w:hAnsi="Arial"/>
          <w:sz w:val="17"/>
          <w:szCs w:val="17"/>
          <w:color w:val="auto"/>
        </w:rPr>
        <w:t>The increase in non-operating expense was primarily due to a $9.1 million increase in interest on borrowings primarily related to the issuance of the Revolving Credit Agreement 2022 in January of 2022 as well as rising interest rates and a $7.2 million increase in the loss on the re-measurement of the payable to founding members under the tax receivable agreement. These increases were partially offset by a $6.7 million increase in the gain on the modification and retirement of debt driven by NCM Inc.’s purchase of $25.8 million of the Notes due 2028 on the open market in the second quarter of 2022, reducing the principal amount owed by NCM LLC to third parties as of September 29, 2022.</w:t>
      </w:r>
    </w:p>
    <w:p>
      <w:pPr>
        <w:spacing w:after="0" w:line="68" w:lineRule="exact"/>
        <w:rPr>
          <w:sz w:val="20"/>
          <w:szCs w:val="20"/>
          <w:color w:val="auto"/>
        </w:rPr>
      </w:pPr>
    </w:p>
    <w:p>
      <w:pPr>
        <w:ind w:right="220" w:firstLine="526"/>
        <w:spacing w:after="0" w:line="286" w:lineRule="auto"/>
        <w:rPr>
          <w:sz w:val="20"/>
          <w:szCs w:val="20"/>
          <w:color w:val="auto"/>
        </w:rPr>
      </w:pPr>
      <w:r>
        <w:rPr>
          <w:rFonts w:ascii="Arial" w:cs="Arial" w:eastAsia="Arial" w:hAnsi="Arial"/>
          <w:sz w:val="17"/>
          <w:szCs w:val="17"/>
          <w:i w:val="1"/>
          <w:iCs w:val="1"/>
          <w:color w:val="auto"/>
        </w:rPr>
        <w:t>Net Loss</w:t>
      </w:r>
      <w:r>
        <w:rPr>
          <w:rFonts w:ascii="Arial" w:cs="Arial" w:eastAsia="Arial" w:hAnsi="Arial"/>
          <w:sz w:val="17"/>
          <w:szCs w:val="17"/>
          <w:color w:val="auto"/>
        </w:rPr>
        <w:t>. Net loss decreased $22.5 million from net loss of $57.3 million for the nine months ended September 30, 2021 to $34.8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29, 2022. The decrease in net loss was due to a $55.4 million decrease in operating loss, partially offset by a $23.6 million decrease in net loss attributable to noncontrolling interests and a $9.3 million increase in non-operating expense.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60" w:firstLine="526"/>
        <w:spacing w:after="0" w:line="263" w:lineRule="auto"/>
        <w:rPr>
          <w:sz w:val="20"/>
          <w:szCs w:val="20"/>
          <w:color w:val="auto"/>
        </w:rPr>
      </w:pPr>
      <w:r>
        <w:rPr>
          <w:rFonts w:ascii="Arial" w:cs="Arial" w:eastAsia="Arial" w:hAnsi="Arial"/>
          <w:sz w:val="17"/>
          <w:szCs w:val="17"/>
          <w:b w:val="1"/>
          <w:bCs w:val="1"/>
          <w:i w:val="1"/>
          <w:iCs w:val="1"/>
          <w:color w:val="auto"/>
        </w:rPr>
        <w:t>COVID-19 and Other Macroeconomic Factors</w:t>
      </w:r>
      <w:r>
        <w:rPr>
          <w:rFonts w:ascii="Arial" w:cs="Arial" w:eastAsia="Arial" w:hAnsi="Arial"/>
          <w:sz w:val="17"/>
          <w:szCs w:val="17"/>
          <w:color w:val="auto"/>
        </w:rPr>
        <w:t>—As discussed within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section, due to the COVID-19 Pandemic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theaters within the Company’s network were temporarily closed during a portion of 2021. The Company's ability to advertise within theaters once opened in 2021 was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were not incurred when theaters were closed and attendance-based fees were reduced for the period of time that attendance was lower than historical levels.</w:t>
      </w:r>
    </w:p>
    <w:p>
      <w:pPr>
        <w:spacing w:after="0" w:line="65" w:lineRule="exact"/>
        <w:rPr>
          <w:sz w:val="20"/>
          <w:szCs w:val="20"/>
          <w:color w:val="auto"/>
        </w:rPr>
      </w:pPr>
    </w:p>
    <w:p>
      <w:pPr>
        <w:jc w:val="both"/>
        <w:ind w:right="320" w:firstLine="526"/>
        <w:spacing w:after="0" w:line="263" w:lineRule="auto"/>
        <w:rPr>
          <w:sz w:val="20"/>
          <w:szCs w:val="20"/>
          <w:color w:val="auto"/>
        </w:rPr>
      </w:pPr>
      <w:r>
        <w:rPr>
          <w:rFonts w:ascii="Arial" w:cs="Arial" w:eastAsia="Arial" w:hAnsi="Arial"/>
          <w:sz w:val="18"/>
          <w:szCs w:val="18"/>
          <w:color w:val="auto"/>
        </w:rPr>
        <w:t>We are currently unable to fully determine the extent of the impact of the COVID-19 Pandemic and other current macroeconomic factors on our business in future periods due to the lingering impacts on our business environment and related market volatility. However, we continue to monitor the situation and its potential impacts on our financial position, results of operations, liquidity and cash flows.</w:t>
      </w:r>
    </w:p>
    <w:p>
      <w:pPr>
        <w:spacing w:after="0" w:line="76" w:lineRule="exact"/>
        <w:rPr>
          <w:sz w:val="20"/>
          <w:szCs w:val="20"/>
          <w:color w:val="auto"/>
        </w:rPr>
      </w:pPr>
    </w:p>
    <w:p>
      <w:pPr>
        <w:ind w:right="60" w:firstLine="526"/>
        <w:spacing w:after="0" w:line="269" w:lineRule="auto"/>
        <w:rPr>
          <w:sz w:val="20"/>
          <w:szCs w:val="20"/>
          <w:color w:val="auto"/>
        </w:rPr>
      </w:pPr>
      <w:r>
        <w:rPr>
          <w:rFonts w:ascii="Arial" w:cs="Arial" w:eastAsia="Arial" w:hAnsi="Arial"/>
          <w:sz w:val="17"/>
          <w:szCs w:val="17"/>
          <w:b w:val="1"/>
          <w:bCs w:val="1"/>
          <w:i w:val="1"/>
          <w:iCs w:val="1"/>
          <w:color w:val="auto"/>
        </w:rPr>
        <w:t>Cineworld Proceeding</w:t>
      </w:r>
      <w:r>
        <w:rPr>
          <w:rFonts w:ascii="Arial" w:cs="Arial" w:eastAsia="Arial" w:hAnsi="Arial"/>
          <w:sz w:val="17"/>
          <w:szCs w:val="17"/>
          <w:color w:val="auto"/>
        </w:rPr>
        <w:t>—As discussed within the ‘Recent Developments’ section, on September 7, 2022, Cineworld Group plc, the parent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Regal,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 party or bringing any of the services performed by NCM LLC in-house. Although there can be no assurances that NCM LLC’s request for declaratory relief will be successful, the Company believes these rights will survive any attempted rejection in the bankruptcy court by Regal. In the event that NCM LLC’s or NCM, Inc.’s agreements with Regal and its affiliates are rejected, it could have a materially negative impact on the Company’s operations or financial condition.</w:t>
      </w:r>
    </w:p>
    <w:p>
      <w:pPr>
        <w:spacing w:after="0" w:line="77"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first three and nine months of 2022 and 2021,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founding member’s theaters, limited to the highest advertising CPM being then-charged by NCM LLC. Beginning in 2020 and in accordance with the 2019 ESA Amendments, the price for the time sold to Cinemark and Regal’s beverage suppliers now increases at a fixed rate of 2.0% each year.</w:t>
      </w:r>
    </w:p>
    <w:p>
      <w:pPr>
        <w:spacing w:after="0" w:line="131" w:lineRule="exact"/>
        <w:rPr>
          <w:sz w:val="20"/>
          <w:szCs w:val="20"/>
          <w:color w:val="auto"/>
        </w:rPr>
      </w:pPr>
    </w:p>
    <w:p>
      <w:pPr>
        <w:ind w:right="80" w:firstLine="526"/>
        <w:spacing w:after="0" w:line="270"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an increase occurring in the current year and the next increase occurring in 2027.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increasing 8% every five years beginning November 1, 2027.</w:t>
      </w:r>
    </w:p>
    <w:p>
      <w:pPr>
        <w:spacing w:after="0" w:line="127" w:lineRule="exact"/>
        <w:rPr>
          <w:sz w:val="20"/>
          <w:szCs w:val="20"/>
          <w:color w:val="auto"/>
        </w:rPr>
      </w:pPr>
    </w:p>
    <w:p>
      <w:pPr>
        <w:ind w:right="60" w:firstLine="526"/>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a percentage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100" w:firstLine="526"/>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loans and the Notes due 2026 and Notes due 2028, income tax payments, TRA payments to the founding members and amount of dividends to NCM, Inc.’s common stockholders.</w:t>
      </w:r>
    </w:p>
    <w:p>
      <w:pPr>
        <w:spacing w:after="0" w:line="133"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242424"/>
        </w:rPr>
        <w:t>As discussed within the ‘</w:t>
      </w:r>
      <w:r>
        <w:rPr>
          <w:rFonts w:ascii="Arial" w:cs="Arial" w:eastAsia="Arial" w:hAnsi="Arial"/>
          <w:sz w:val="17"/>
          <w:szCs w:val="17"/>
          <w:i w:val="1"/>
          <w:iCs w:val="1"/>
          <w:color w:val="242424"/>
        </w:rPr>
        <w:t>Recent Developments</w:t>
      </w:r>
      <w:r>
        <w:rPr>
          <w:rFonts w:ascii="Arial" w:cs="Arial" w:eastAsia="Arial" w:hAnsi="Arial"/>
          <w:sz w:val="17"/>
          <w:szCs w:val="17"/>
          <w:color w:val="242424"/>
        </w:rPr>
        <w:t>’ section, due to the COVID-19 Pandemic, certain theaters within the Company’s network remained temporarily closed during a portion of 2021 and the Company's ability to advertise within the reopened theaters in 2021 was limited due to lower than historical levels of attendance due in part to reduced movie schedules and patron capacities at many network theaters and the timing and frequency of major motion picture releases as compared to prior years due to the COVID-19 Pandemic. The Company’s attendance levels have continued to improve but still remain below historic levels, which continues to impact cash receipts and advertising revenue. Further, there is a lag between when revenue is generated and when the Company ultimately collects the associated accounts receivable balance. The Company also had reduced cash payments during the period when theaters within the Company's network were closed or attendance levels were low as expenses related to theater attendance (i.e., theater access fees, Platinum Spot revenue share and network affiliate revenue share payments) were either not incurred or incurred at lower levels. As all of the theaters within our network were open during the first nine months of 2022, the screen-based portion of these expenses returned to historical levels and the attendance-based portion of these e</w:t>
      </w:r>
      <w:r>
        <w:rPr>
          <w:rFonts w:ascii="Arial" w:cs="Arial" w:eastAsia="Arial" w:hAnsi="Arial"/>
          <w:sz w:val="17"/>
          <w:szCs w:val="17"/>
          <w:color w:val="000000"/>
        </w:rPr>
        <w:t>xpenses is expected to continue to increase as attendance increases following the continued release of many major motion pictures.</w:t>
      </w:r>
      <w:r>
        <w:rPr>
          <w:rFonts w:ascii="Arial" w:cs="Arial" w:eastAsia="Arial" w:hAnsi="Arial"/>
          <w:sz w:val="17"/>
          <w:szCs w:val="17"/>
          <w:color w:val="242424"/>
        </w:rPr>
        <w:t xml:space="preserve"> </w:t>
      </w:r>
      <w:r>
        <w:rPr>
          <w:rFonts w:ascii="Arial" w:cs="Arial" w:eastAsia="Arial" w:hAnsi="Arial"/>
          <w:sz w:val="17"/>
          <w:szCs w:val="17"/>
          <w:color w:val="000000"/>
        </w:rPr>
        <w:t>The Company also implemented the following cost-saving measures in order to preserve cash at the start of the COVID-19 Pandemic, and those measures remain in place as of the filing date:</w:t>
      </w:r>
    </w:p>
    <w:p>
      <w:pPr>
        <w:spacing w:after="0" w:line="125" w:lineRule="exact"/>
        <w:rPr>
          <w:sz w:val="20"/>
          <w:szCs w:val="20"/>
          <w:color w:val="auto"/>
        </w:rPr>
      </w:pPr>
    </w:p>
    <w:p>
      <w:pPr>
        <w:ind w:left="660" w:right="6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Offered the option for the Board to receive the cash retainers beginning with the first quarter of 2021 in equivalent value of the Company’s common stock in lieu of cash;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Curtailed certain non-essential operating expenditures, including marketing, research, and consulting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Strategically worked with our vendors, and other business partners to manage, defer, and/or abate certain costs during the disruptions caused by the COVID-19 Pandemic;</w:t>
      </w:r>
    </w:p>
    <w:p>
      <w:pPr>
        <w:spacing w:after="0" w:line="8"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our quarterly dividend beginning in the second quarter of 2020 through the second quarter of 2022 and suspended our quarterly dividend in the third quarter of 2023, which results in cash savings of $15.5 million in the third quarter of 2022 and cash savings of $99.9 million for NCM, Inc. since the beginning of the COVID-19 Pandemic;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Introduced an active cash management process, which, among other things, requires CEO or CFO approval of all outgoing payments.</w:t>
      </w:r>
    </w:p>
    <w:p>
      <w:pPr>
        <w:spacing w:after="0" w:line="129" w:lineRule="exact"/>
        <w:rPr>
          <w:sz w:val="20"/>
          <w:szCs w:val="20"/>
          <w:color w:val="auto"/>
        </w:rPr>
      </w:pPr>
    </w:p>
    <w:p>
      <w:pPr>
        <w:ind w:right="180" w:firstLine="526"/>
        <w:spacing w:after="0" w:line="275" w:lineRule="auto"/>
        <w:rPr>
          <w:sz w:val="20"/>
          <w:szCs w:val="20"/>
          <w:color w:val="auto"/>
        </w:rPr>
      </w:pPr>
      <w:r>
        <w:rPr>
          <w:rFonts w:ascii="Arial" w:cs="Arial" w:eastAsia="Arial" w:hAnsi="Arial"/>
          <w:sz w:val="17"/>
          <w:szCs w:val="17"/>
          <w:color w:val="auto"/>
        </w:rPr>
        <w:t>In March 2020, we drew down an additional $110.0 million on our revolving credit facility, in March 2021, we received $43.0 million in proceeds under incremental term loans that mature on December 20, 2024, and in January 2022 we received $43.3 million in proceeds under an incremental revolving credit facility that matures on June 20, 2023. The $60.9 million of cash at NCM LLC as of September 29, 2022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68"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73" w:lineRule="exact"/>
        <w:rPr>
          <w:sz w:val="20"/>
          <w:szCs w:val="20"/>
          <w:color w:val="auto"/>
        </w:rPr>
      </w:pPr>
    </w:p>
    <w:p>
      <w:pPr>
        <w:ind w:right="240" w:firstLine="526"/>
        <w:spacing w:after="0" w:line="263" w:lineRule="auto"/>
        <w:rPr>
          <w:sz w:val="20"/>
          <w:szCs w:val="20"/>
          <w:color w:val="auto"/>
        </w:rPr>
      </w:pPr>
      <w:r>
        <w:rPr>
          <w:rFonts w:ascii="Arial" w:cs="Arial" w:eastAsia="Arial" w:hAnsi="Arial"/>
          <w:sz w:val="18"/>
          <w:szCs w:val="18"/>
          <w:color w:val="auto"/>
        </w:rPr>
        <w:t>Also on January 5, 2022, NCM LLC also entered into the Revolving Credit Agreement 2022 among NCM LLC, the lenders party thereto and Wilmington Savings Fund Society, FSB, as administrative agent and collateral agent. The Revolving Credit Agreement 2022 provides for revolving loan commitments of $50.0 million of secured revolving loans, the entire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p>
      <w:pPr>
        <w:ind w:right="40"/>
        <w:spacing w:after="0" w:line="290" w:lineRule="auto"/>
        <w:rPr>
          <w:sz w:val="20"/>
          <w:szCs w:val="20"/>
          <w:color w:val="auto"/>
        </w:rPr>
      </w:pPr>
      <w:r>
        <w:rPr>
          <w:rFonts w:ascii="Arial" w:cs="Arial" w:eastAsia="Arial" w:hAnsi="Arial"/>
          <w:sz w:val="16"/>
          <w:szCs w:val="16"/>
          <w:color w:val="auto"/>
        </w:rPr>
        <w:t>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In accordance with the Revolving Credit Agreement 2022 and the Credit Agreement Third Amendment, for the period beginning in the second quarter of 2020 through the date that NCM LLC delivers a compliance certificate for the fourth quarter of 2023, NCM LLC must maintain a minimum liquidity balance of $55.0 million consisting of a combination of unrestricted cash on hand and availability under NCM LLC's revolving credit facility (the “Minimum Liquidity Requirement”). As of September 29, 2022, NCM LLC was in compliance with the requirements of the Credit Agreement, as amended, and the Revolving Credit Agreement 2022.</w:t>
      </w:r>
    </w:p>
    <w:p>
      <w:pPr>
        <w:spacing w:after="0" w:line="111" w:lineRule="exact"/>
        <w:rPr>
          <w:sz w:val="20"/>
          <w:szCs w:val="20"/>
          <w:color w:val="auto"/>
        </w:rPr>
      </w:pPr>
    </w:p>
    <w:p>
      <w:pPr>
        <w:ind w:firstLine="526"/>
        <w:spacing w:after="0" w:line="285" w:lineRule="auto"/>
        <w:rPr>
          <w:sz w:val="20"/>
          <w:szCs w:val="20"/>
          <w:color w:val="auto"/>
        </w:rPr>
      </w:pPr>
      <w:r>
        <w:rPr>
          <w:rFonts w:ascii="Arial" w:cs="Arial" w:eastAsia="Arial" w:hAnsi="Arial"/>
          <w:sz w:val="16"/>
          <w:szCs w:val="16"/>
          <w:color w:val="auto"/>
        </w:rPr>
        <w:t>The Company, through NCM LLC, has borrowings under two Revolving Credit Facilities with $217.0 million outstanding as of September 29, 2022, that mature on June 20, 2023 (refer to Note 6—</w:t>
      </w:r>
      <w:r>
        <w:rPr>
          <w:rFonts w:ascii="Arial" w:cs="Arial" w:eastAsia="Arial" w:hAnsi="Arial"/>
          <w:sz w:val="16"/>
          <w:szCs w:val="16"/>
          <w:i w:val="1"/>
          <w:iCs w:val="1"/>
          <w:color w:val="auto"/>
        </w:rPr>
        <w:t>Borrowings</w:t>
      </w:r>
      <w:r>
        <w:rPr>
          <w:rFonts w:ascii="Arial" w:cs="Arial" w:eastAsia="Arial" w:hAnsi="Arial"/>
          <w:sz w:val="16"/>
          <w:szCs w:val="16"/>
          <w:color w:val="auto"/>
        </w:rPr>
        <w:t>). The Company does not have available liquidity to repay the full outstanding balance on the date of maturity. Additionally, based on current projections, the Company does not expect to meet certain financial covenants for the period ending March 30, 2023. Further, if the Company’s independent registered public accounting firm includes a “going concern” or like qualification or exception, other than for debt maturing within one year, in its report on the Company’s financial statements for the year ending December 29, 2022, this would be an event of default under the Company’s Credit Agreement at the time the Company’s financial statements for the year ending December 29, 2022 are filed. Under the Credit Agreement, failure to remain in compliance with these covenants or inability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the senior notes, which would allow the indenture trustee or senior note holders of each tranche of senior notes to accelerate the maturity to become due and payable. Should the Company’s borrowings become due and payable, the Company would not be able to repay the Company’s total outstanding debt balance. These conditions and events raise substantial doubt about the Company’s ability to continue as a going concern. In response to these conditions, management’s plans include amending NCM LLC’s Revolving Credit Facilities to extend the maturity dates, amending its Senior Secured Credit Facility to extend a waiver of these financial covenants or obtaining additional debt financing through a loan from third parties, and/or NCM, Inc. Management expects to conclude one of these alternatives; however, there can be no assurance that the Company will be successful in completing any of these options. As a result, management’s plan cannot be considered probable and thus does not alleviate the substantial doubt about the Company’s ability to continue as a going concern. Based on the Company’s current financial position and liquidity sources, including current cash balances, and forecasted future cash flows, management believes the Company can meet its operating obligations as they become due.</w:t>
      </w:r>
    </w:p>
    <w:p>
      <w:pPr>
        <w:spacing w:after="0" w:line="117"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During October 2022, in order to preserve NCM LLC’s liquidity in light of the Minimum Liquidity Requirement, NCM LLC elected not to make an interest payment in the amount of $11.8 million, $0.8 million of which relates to notes held by NCM, Inc., due October 17, 2022 under the Senior Secured Notes due 2028, and entered a 30-day grace period under the indenture governing the Senior Secured Notes due 2028. The Company made this payment on November 4, 2022, prior to the end of the applicable grace period.</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 Change</w:t>
            </w:r>
          </w:p>
        </w:tc>
      </w:tr>
      <w:tr>
        <w:trPr>
          <w:trHeight w:val="25"/>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3"/>
        </w:trPr>
        <w:tc>
          <w:tcPr>
            <w:tcW w:w="4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30,</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6"/>
              </w:rPr>
              <w:t>YE 2021 to Q3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94"/>
              </w:rPr>
              <w:t>Q3 2021 to Q3</w:t>
            </w:r>
          </w:p>
        </w:tc>
      </w:tr>
      <w:tr>
        <w:trPr>
          <w:trHeight w:val="192"/>
        </w:trPr>
        <w:tc>
          <w:tcPr>
            <w:tcW w:w="4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NCM LLC revolving credit facility availability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340" w:right="380" w:hanging="332"/>
        <w:spacing w:after="0" w:line="255" w:lineRule="auto"/>
        <w:tabs>
          <w:tab w:leader="none" w:pos="334"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September 29, 2022, December 30, 2021 and September 30, 2021, was $74.8 million, $58.6 million and $64.4 million, respectively, of cash held by NCM LLC that is not available to satisfy dividends declared by NCM, Inc., income tax, tax receivable payments to NCM LLC’s founding members and other obligations.</w:t>
      </w:r>
    </w:p>
    <w:p>
      <w:pPr>
        <w:spacing w:after="0" w:line="2" w:lineRule="exact"/>
        <w:rPr>
          <w:rFonts w:ascii="Arial" w:cs="Arial" w:eastAsia="Arial" w:hAnsi="Arial"/>
          <w:sz w:val="18"/>
          <w:szCs w:val="18"/>
          <w:i w:val="1"/>
          <w:iCs w:val="1"/>
          <w:color w:val="auto"/>
        </w:rPr>
      </w:pPr>
    </w:p>
    <w:p>
      <w:pPr>
        <w:jc w:val="both"/>
        <w:ind w:left="340" w:hanging="332"/>
        <w:spacing w:after="0" w:line="281" w:lineRule="auto"/>
        <w:tabs>
          <w:tab w:leader="none" w:pos="334" w:val="left"/>
        </w:tabs>
        <w:numPr>
          <w:ilvl w:val="0"/>
          <w:numId w:val="18"/>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pursuant to the Credit Agreement was $175.0 million as of September 29, 2022, December 30, 2021 and September 30, 2021. As of September 29, 2022, December 30, 2021 and September 30, 2021, the amount available under the</w:t>
      </w:r>
    </w:p>
    <w:p>
      <w:pPr>
        <w:spacing w:after="0" w:line="2" w:lineRule="exact"/>
        <w:rPr>
          <w:rFonts w:ascii="Arial" w:cs="Arial" w:eastAsia="Arial" w:hAnsi="Arial"/>
          <w:sz w:val="16"/>
          <w:szCs w:val="16"/>
          <w:i w:val="1"/>
          <w:iCs w:val="1"/>
          <w:color w:val="auto"/>
        </w:rPr>
      </w:pPr>
    </w:p>
    <w:p>
      <w:pPr>
        <w:ind w:left="340"/>
        <w:spacing w:after="0"/>
        <w:rPr>
          <w:rFonts w:ascii="Arial" w:cs="Arial" w:eastAsia="Arial" w:hAnsi="Arial"/>
          <w:sz w:val="16"/>
          <w:szCs w:val="16"/>
          <w:i w:val="1"/>
          <w:iCs w:val="1"/>
          <w:color w:val="auto"/>
        </w:rPr>
      </w:pPr>
      <w:r>
        <w:rPr>
          <w:rFonts w:ascii="Arial" w:cs="Arial" w:eastAsia="Arial" w:hAnsi="Arial"/>
          <w:sz w:val="18"/>
          <w:szCs w:val="18"/>
          <w:color w:val="auto"/>
        </w:rPr>
        <w:t>NCM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5" w:name="page36"/>
    <w:bookmarkEnd w:id="35"/>
    <w:p>
      <w:pPr>
        <w:jc w:val="both"/>
        <w:ind w:left="340" w:right="60"/>
        <w:spacing w:after="0" w:line="342" w:lineRule="auto"/>
        <w:rPr>
          <w:sz w:val="20"/>
          <w:szCs w:val="20"/>
          <w:color w:val="auto"/>
        </w:rPr>
      </w:pPr>
      <w:r>
        <w:rPr>
          <w:rFonts w:ascii="Arial" w:cs="Arial" w:eastAsia="Arial" w:hAnsi="Arial"/>
          <w:sz w:val="16"/>
          <w:szCs w:val="16"/>
          <w:color w:val="auto"/>
        </w:rPr>
        <w:t>LLC revolving credit facility pursuant to the Credit Agreement in the table above was net of the amount outstanding under the revolving credit facility of $167.0 million, $167.0 million and $167.0 million, respectively, and net letters of credit of $1.2 million, $1.2 million and $1.2 million, respectively.</w:t>
      </w:r>
    </w:p>
    <w:p>
      <w:pPr>
        <w:spacing w:after="0" w:line="70" w:lineRule="exact"/>
        <w:rPr>
          <w:sz w:val="20"/>
          <w:szCs w:val="20"/>
          <w:color w:val="auto"/>
        </w:rPr>
      </w:pPr>
    </w:p>
    <w:p>
      <w:pPr>
        <w:jc w:val="both"/>
        <w:ind w:right="200" w:firstLine="526"/>
        <w:spacing w:after="0" w:line="286" w:lineRule="auto"/>
        <w:rPr>
          <w:sz w:val="20"/>
          <w:szCs w:val="20"/>
          <w:color w:val="auto"/>
        </w:rPr>
      </w:pPr>
      <w:r>
        <w:rPr>
          <w:rFonts w:ascii="Arial" w:cs="Arial" w:eastAsia="Arial" w:hAnsi="Arial"/>
          <w:sz w:val="17"/>
          <w:szCs w:val="17"/>
          <w:color w:val="auto"/>
        </w:rPr>
        <w:t>As of September 29, 2022, the weighted average remaining maturity of our debt was 3.5 years. As of September 29, 2022, approximately 53% of our total borrowings bear interest at fixed rates. The remaining 47% of our borrowings bear interest at variable rates and our net income and earnings per share could fluctuate with market interest rate fluctuations that could increase or decrease the interest paid on our borrowings.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and generated cash as follows (in millions):</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6"/>
                <w:szCs w:val="16"/>
                <w:color w:val="auto"/>
              </w:rPr>
            </w:pPr>
          </w:p>
        </w:tc>
      </w:tr>
      <w:tr>
        <w:trPr>
          <w:trHeight w:val="26"/>
        </w:trPr>
        <w:tc>
          <w:tcPr>
            <w:tcW w:w="7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29, 2022</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r>
      <w:tr>
        <w:trPr>
          <w:trHeight w:val="230"/>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460" w:type="dxa"/>
            <w:vAlign w:val="bottom"/>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bl>
    <w:p>
      <w:pPr>
        <w:spacing w:after="0" w:line="296" w:lineRule="exact"/>
        <w:rPr>
          <w:sz w:val="20"/>
          <w:szCs w:val="20"/>
          <w:color w:val="auto"/>
        </w:rPr>
      </w:pPr>
    </w:p>
    <w:p>
      <w:pPr>
        <w:ind w:left="1060" w:right="60" w:hanging="404"/>
        <w:spacing w:after="0" w:line="269" w:lineRule="auto"/>
        <w:tabs>
          <w:tab w:leader="none" w:pos="1028"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Operating Activitie</w:t>
      </w:r>
      <w:r>
        <w:rPr>
          <w:rFonts w:ascii="Arial" w:cs="Arial" w:eastAsia="Arial" w:hAnsi="Arial"/>
          <w:sz w:val="17"/>
          <w:szCs w:val="17"/>
          <w:color w:val="auto"/>
        </w:rPr>
        <w:t>s. The $55.8 million decrease in cash used in operating activities for the nine months ended September 29, 2022,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nine months ended September 30, 2021, was primarily due to 1) a $46.1 million decrease in consolidated net loss, 2) a $7.2 million increase in the noncash gain on the remeasurement of the payable to founding members under the TRA, 3) a $5.8 million increase in accounts receivable collections during the nine months ended September 29, 2022, as compared to the nine months ended September 30, 2021, 4) a $5.8 million increase in the impairment of long-lived assets related to the write down in the first quarter of 2022 of certain internally developed software no longer in use, 5) a $2.8 million decrease in payments of accounts payable and accrued expenses due in part to the cash preservation actions taken by the Company to mitigate the impact of the COVID-19 Pandemic and 6) a $2.3 million increase in integration and other encumbered theater payments driven by higher revenue. These decreases in cash used were partially offset by a $11.4 million decrease in deferred revenue driven by higher advertising revenue and a $6.7 million increase in the gain on the modification and retirement of debt, net.</w:t>
      </w:r>
    </w:p>
    <w:p>
      <w:pPr>
        <w:spacing w:after="0" w:line="131" w:lineRule="exact"/>
        <w:rPr>
          <w:rFonts w:ascii="Arial" w:cs="Arial" w:eastAsia="Arial" w:hAnsi="Arial"/>
          <w:sz w:val="17"/>
          <w:szCs w:val="17"/>
          <w:color w:val="auto"/>
        </w:rPr>
      </w:pPr>
    </w:p>
    <w:p>
      <w:pPr>
        <w:ind w:left="1100" w:right="140" w:hanging="404"/>
        <w:spacing w:after="0" w:line="286" w:lineRule="auto"/>
        <w:tabs>
          <w:tab w:leader="none" w:pos="1095" w:val="left"/>
        </w:tabs>
        <w:numPr>
          <w:ilvl w:val="1"/>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The $1.6 million decrease in cash used in investing activities for the nine months ended September 29, 2022,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nine months ended September 30, 2021, was due to a $1.9 million decrease in purchases of property and equipment in the nine months ended September 29, 2022, as compared to the nine months ended September 30, 2021.</w:t>
      </w:r>
    </w:p>
    <w:p>
      <w:pPr>
        <w:spacing w:after="0" w:line="111" w:lineRule="exact"/>
        <w:rPr>
          <w:rFonts w:ascii="Arial" w:cs="Arial" w:eastAsia="Arial" w:hAnsi="Arial"/>
          <w:sz w:val="17"/>
          <w:szCs w:val="17"/>
          <w:b w:val="1"/>
          <w:bCs w:val="1"/>
          <w:i w:val="1"/>
          <w:iCs w:val="1"/>
          <w:color w:val="auto"/>
        </w:rPr>
      </w:pPr>
    </w:p>
    <w:p>
      <w:pPr>
        <w:ind w:left="1100" w:hanging="404"/>
        <w:spacing w:after="0" w:line="255" w:lineRule="auto"/>
        <w:tabs>
          <w:tab w:leader="none" w:pos="1068"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$14.9 million decrease in cash provided by financing activities for the nine months ended September 29,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30, 2021 was primarily due to the issuance of the $50.0 million second tranche of term loans that occurred in the first quarter of 2021 and a $19.8 million increase in the purchase of Notes due 2028, partially offset by the issuance of the $50.0 million Revolving Credit Facility 2022 in the first quarter of 2022 and a $3.4 million decrease in dividends paid related to the decrease in the dividend amounts declared from $0.15 per share during the nine months ended September 30, 2021 to $0.11 per share during the nine months ended September 29, 2022.</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NCM, Inc.’s primary source of liquidity and capital resources is the quarterly available cash distributions from NCM LLC as well as its existing cash balances and marketable securities, which as of September 29, 2022 were $74.8 million (including $60.9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decrease in cash provided by operating activities during the period our network theaters were closed. On January 5, 2022, NCM LLC entered in the Revolving Credit Agreement 2022 and drew down upon the new revolving credit facility of $50.0 million. The $60.9 million of cash at NCM LLC will be used to fund operations during the period of expected reduced cash flows. Cash at NCM, Inc. is used to fund income taxes, payments associated with the TRA with the founding members and for future payment of dividends to NCM, Inc. stockholders.</w:t>
      </w:r>
    </w:p>
    <w:p>
      <w:pPr>
        <w:spacing w:after="0" w:line="70" w:lineRule="exact"/>
        <w:rPr>
          <w:sz w:val="20"/>
          <w:szCs w:val="20"/>
          <w:color w:val="auto"/>
        </w:rPr>
      </w:pPr>
    </w:p>
    <w:p>
      <w:pPr>
        <w:jc w:val="both"/>
        <w:ind w:right="300" w:firstLine="526"/>
        <w:spacing w:after="0" w:line="263" w:lineRule="auto"/>
        <w:rPr>
          <w:sz w:val="20"/>
          <w:szCs w:val="20"/>
          <w:color w:val="auto"/>
        </w:rPr>
      </w:pPr>
      <w:r>
        <w:rPr>
          <w:rFonts w:ascii="Arial" w:cs="Arial" w:eastAsia="Arial" w:hAnsi="Arial"/>
          <w:sz w:val="18"/>
          <w:szCs w:val="18"/>
          <w:color w:val="auto"/>
        </w:rPr>
        <w:t>Cash flows generated by NCM LLC’s distributions to NCM, Inc. and the founding members have been affected by the impact of the COVID-19 Pandemic on our operations and may be deferred through the quarter ending December 28, 2023 or longer due to the limitations instituted by the Credit Agreement First Amendment, Credit Agreement Second Amendment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Credit Agreement Third Amendment. NCM LLC is required pursuant to the terms of the NCM LLC operating agreement to distribute its available cash,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defined in the operating agreement, unless prohibited by NCM LLC's Credit Agreement, quarterly to its members (Regal, Cinemark, AMC and NCM,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 The available cash distribution to NCM LLC’s members for the nine months ended September 29, 2022 was calculated as approximately negative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$41.3 million, of which NCM, Inc.'s share is approximately negative $19.6 million. Further there was $93.7 million and $85.2 million of negative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during the years ended December, 30, 2021 and December 31, 2020, respectively. Pursuant to the NCM LLC operating agreement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amendments, there will be no available cash distributions made for the first, second or third quarter of 2022. Negative available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distributions for the years of 2021 and 2020 are expected to be netted in accordance with the NCM LLC operating agreement against future positive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available cash distributions after the extended covenant waiver holiday, contingent upon the Company's compliance with the covenants outlined within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Third Amendment defined within Note 6—</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in accordance with the NCM LLC operating agreement.</w:t>
      </w:r>
    </w:p>
    <w:p>
      <w:pPr>
        <w:spacing w:after="0" w:line="157"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NCM, Inc. expects to use its cash balances and cash received from future available cash distributions (as allowed for under the Credit Agreement) to fund payments associated with the TRA with the founding members and future dividends as declared by the Board of Directors</w:t>
      </w:r>
      <w:r>
        <w:rPr>
          <w:rFonts w:ascii="Arial" w:cs="Arial" w:eastAsia="Arial" w:hAnsi="Arial"/>
          <w:sz w:val="17"/>
          <w:szCs w:val="17"/>
          <w:color w:val="EE2724"/>
        </w:rPr>
        <w:t>.</w:t>
      </w:r>
      <w:r>
        <w:rPr>
          <w:rFonts w:ascii="Arial" w:cs="Arial" w:eastAsia="Arial" w:hAnsi="Arial"/>
          <w:sz w:val="17"/>
          <w:szCs w:val="17"/>
          <w:color w:val="auto"/>
        </w:rPr>
        <w:t xml:space="preserve"> The Company did not make a TRA payment in 2022 for the 2021 tax year. The Company will also consider opportunistically using cash received for partial repayments of NCM LLC's outstanding debt balance. Distributions from NCM LLC and NCM, Inc. cash balances should be sufficient to fund payments associated with the TRA with the founding members, income taxes and any declared dividends for the foreseeable future at the discretion of the Board of Directors. At the discretion of the Board of Directors, it is the Company’s intention to distribute substantially all its free cash flow to stockholders through dividends.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30, 2021 and incorporated by reference herein. As of September 29, 2022, there were no significant changes in those critical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0" w:firstLine="52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120" w:firstLine="526"/>
        <w:spacing w:after="0" w:line="275"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2028 are at fixed rates, and therefore are not subject to market risk. As of September 29, 2022, the only interest rate risk that we are exposed to is related to our $225.0 million revolving credit facilities and our term loans. A 100-basis point fluctuation in market interest rates underlying our term loans and revolving credit facilities would have the effect of increasing or decreasing our cash interest expense by approximately $5.3 million for an annual period on the $217.0 million in revolving credit balances, $49.4 million term loan and $259.2 million incremental term loan outstanding as of September 29, 2022.</w:t>
      </w:r>
    </w:p>
    <w:p>
      <w:pPr>
        <w:spacing w:after="0" w:line="122" w:lineRule="exact"/>
        <w:rPr>
          <w:sz w:val="20"/>
          <w:szCs w:val="20"/>
          <w:color w:val="auto"/>
        </w:rPr>
      </w:pPr>
    </w:p>
    <w:p>
      <w:pPr>
        <w:ind w:right="240" w:firstLine="526"/>
        <w:spacing w:after="0" w:line="259" w:lineRule="auto"/>
        <w:rPr>
          <w:sz w:val="20"/>
          <w:szCs w:val="20"/>
          <w:color w:val="auto"/>
        </w:rPr>
      </w:pPr>
      <w:r>
        <w:rPr>
          <w:rFonts w:ascii="Arial" w:cs="Arial" w:eastAsia="Arial" w:hAnsi="Arial"/>
          <w:sz w:val="18"/>
          <w:szCs w:val="18"/>
          <w:color w:val="auto"/>
        </w:rPr>
        <w:t>In response to the COVID-19 Pandemic, the government lowered the Federal Reserve interest rate leading to historically low interest rates. However, to combat macroeconomic headwinds, the government consistently raised the Federal Reserve interest rate throughout the nine months ended September 29, 2022. These increases have had the effect of increasing the Company's interest rate risk. If interest rates continue to rise, this will increase the Company’s interest rate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60" w:firstLine="526"/>
        <w:spacing w:after="0" w:line="259" w:lineRule="auto"/>
        <w:rPr>
          <w:sz w:val="20"/>
          <w:szCs w:val="20"/>
          <w:color w:val="auto"/>
        </w:rPr>
      </w:pPr>
      <w:r>
        <w:rPr>
          <w:rFonts w:ascii="Arial" w:cs="Arial" w:eastAsia="Arial" w:hAnsi="Arial"/>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7" w:name="page38"/>
    <w:bookmarkEnd w:id="37"/>
    <w:p>
      <w:pPr>
        <w:ind w:right="40"/>
        <w:spacing w:after="0" w:line="277" w:lineRule="auto"/>
        <w:rPr>
          <w:sz w:val="20"/>
          <w:szCs w:val="20"/>
          <w:color w:val="auto"/>
        </w:rPr>
      </w:pPr>
      <w:r>
        <w:rPr>
          <w:rFonts w:ascii="Arial" w:cs="Arial" w:eastAsia="Arial" w:hAnsi="Arial"/>
          <w:sz w:val="18"/>
          <w:szCs w:val="18"/>
          <w:color w:val="auto"/>
        </w:rPr>
        <w:t>management, including the Chief Executive Officer (principal executive officer) and Chief Financial Officer (principal financial and accounting officer), as appropriate, to allow timely decisions regarding required disclosure.</w:t>
      </w:r>
    </w:p>
    <w:p>
      <w:pPr>
        <w:spacing w:after="0" w:line="35" w:lineRule="exact"/>
        <w:rPr>
          <w:sz w:val="20"/>
          <w:szCs w:val="20"/>
          <w:color w:val="auto"/>
        </w:rPr>
      </w:pPr>
    </w:p>
    <w:p>
      <w:pPr>
        <w:ind w:right="140" w:firstLine="526"/>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September 29, 2022, the end of the period covered by this Quarterly Report on Form 10-Q. Based on such evaluation, the Company’s management concluded that the Company’s disclosure controls and procedures as of September 29, 2022 were effective.</w:t>
      </w:r>
    </w:p>
    <w:p>
      <w:pPr>
        <w:spacing w:after="0" w:line="65" w:lineRule="exact"/>
        <w:rPr>
          <w:sz w:val="20"/>
          <w:szCs w:val="20"/>
          <w:color w:val="auto"/>
        </w:rPr>
      </w:pPr>
    </w:p>
    <w:p>
      <w:pPr>
        <w:ind w:right="400" w:firstLine="52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700" w:firstLine="526"/>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29, 2022 that have materially affected, or are reasonably likely to materially affect, our internal control over financial reporting.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20" w:firstLine="526"/>
        <w:spacing w:after="0" w:line="254" w:lineRule="auto"/>
        <w:rPr>
          <w:sz w:val="20"/>
          <w:szCs w:val="20"/>
          <w:color w:val="auto"/>
        </w:rPr>
      </w:pPr>
      <w:r>
        <w:rPr>
          <w:rFonts w:ascii="Arial" w:cs="Arial" w:eastAsia="Arial" w:hAnsi="Arial"/>
          <w:sz w:val="18"/>
          <w:szCs w:val="18"/>
          <w:color w:val="auto"/>
        </w:rPr>
        <w:t>On September 7, 2022, Cineworld Group plc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Cinemas, Inc. filed a motion to reject the ESA without specifying an effective date for the rejection and indicated that Regal Cinemas, Inc. currently plans on negotiating with NCM LLC regarding the ESA. NCM LLC has also filed a complaint against Regal Cinemas, Inc. seeking declaratory relief and an injunction prohibiting Regal Cinemas, Inc. from breaching certain exclusivity, non-compete, non-negotiate and confidentiality provisions in the ESA by entering into a new agreement with a third party or bringing any of the services performed by NCM LLC in-house.</w:t>
      </w:r>
    </w:p>
    <w:p>
      <w:pPr>
        <w:spacing w:after="0" w:line="141" w:lineRule="exact"/>
        <w:rPr>
          <w:sz w:val="20"/>
          <w:szCs w:val="20"/>
          <w:color w:val="auto"/>
        </w:rPr>
      </w:pPr>
    </w:p>
    <w:p>
      <w:pPr>
        <w:ind w:right="580" w:firstLine="52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20" w:firstLine="526"/>
        <w:spacing w:after="0" w:line="277" w:lineRule="auto"/>
        <w:rPr>
          <w:sz w:val="20"/>
          <w:szCs w:val="20"/>
          <w:color w:val="auto"/>
        </w:rPr>
      </w:pPr>
      <w:r>
        <w:rPr>
          <w:rFonts w:ascii="Arial" w:cs="Arial" w:eastAsia="Arial" w:hAnsi="Arial"/>
          <w:sz w:val="18"/>
          <w:szCs w:val="18"/>
          <w:color w:val="auto"/>
        </w:rPr>
        <w:t>Excluding the risk factor outlined below, there have been no material changes from risk factors as previously disclosed in our annual report on Form 10-K filed with the SEC on March 3, 2022 for the fiscal year ended December 30, 2021.</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ESA with a founding member that has declared bankruptcy may be rejected, renegotiated or deemed unenforceable.</w:t>
      </w:r>
    </w:p>
    <w:p>
      <w:pPr>
        <w:spacing w:after="0" w:line="104" w:lineRule="exact"/>
        <w:rPr>
          <w:sz w:val="20"/>
          <w:szCs w:val="20"/>
          <w:color w:val="auto"/>
        </w:rPr>
      </w:pPr>
    </w:p>
    <w:p>
      <w:pPr>
        <w:ind w:firstLine="526"/>
        <w:spacing w:after="0" w:line="285" w:lineRule="auto"/>
        <w:rPr>
          <w:sz w:val="20"/>
          <w:szCs w:val="20"/>
          <w:color w:val="auto"/>
        </w:rPr>
      </w:pPr>
      <w:r>
        <w:rPr>
          <w:rFonts w:ascii="Arial" w:cs="Arial" w:eastAsia="Arial" w:hAnsi="Arial"/>
          <w:sz w:val="16"/>
          <w:szCs w:val="16"/>
          <w:color w:val="auto"/>
        </w:rPr>
        <w:t>On September 7, 2022, Cineworld Group plc, the parent company of Regal,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(the “Cineworld Proceeding”). In addition, each of the other founding members currently has a significant amount of indebtedness. As a result of the COVID-19 Pandemic, each of the founding members temporarily closed all of their theaters in the United States and furloughed the majority of their employees for a portion of 2020 and chose to seek additional financing through various methods. As a result of the Cineworld Proceeding, or if a bankruptcy case were commenced by or against another founding member, it is possible that all or part of the ESA with the applicable founding member could be rejected by a trustee in the bankruptcy case pursuant to Section 365 or Section 1123 of the United States Bankruptcy Code, or by the founding member, and thus not be enforceable. On October 21, 2022, Regal filed a motion to reject the ESA without 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 party or bringing any of the services performed by NCM LLC in-house. Although there can be no assurances that NCM LLC’s request for declaratory relief will be successful, the Company believes these rights will survive any attempted rejection in the bankruptcy court by Regal. While the Cineworld Proceeding is currently in early stages and the potential impact of the Cineworld Proceeding on NCM LLC’s operations is unknown, in the event that NCM LLC’s agreements with Regal and its affiliates is rejected or renegotiated, it could have a materially negative impact on the Company’s operations or financial condition. In addition, as a part of the Cineworld Proceeding, Regal has announced plans to optimize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color w:val="auto"/>
        </w:rPr>
        <w:t>number of theaters it operates and has announced the closures of certain theaters. Should Regal or another founding member liquidate or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52"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b w:val="1"/>
          <w:bCs w:val="1"/>
          <w:i w:val="1"/>
          <w:iCs w:val="1"/>
          <w:color w:val="auto"/>
        </w:rPr>
        <w:t>We may be unsuccessful in extending the maturity dates of NCM LLC’s Revolving Credit Facilities, amending its Senior Secured Credit Facility to extend a waiver of these financial covenants or obtaining additional debt financing from third parties. The failure to obtain such an extension, waiver or obtain additional debt financing could lead to our failure to pay outstanding debt when due and an event of default, which gives rise to substantial doubt about our ability to continue as a going concern.</w:t>
      </w:r>
    </w:p>
    <w:p>
      <w:pPr>
        <w:spacing w:after="0" w:line="65" w:lineRule="exact"/>
        <w:rPr>
          <w:sz w:val="20"/>
          <w:szCs w:val="20"/>
          <w:color w:val="auto"/>
        </w:rPr>
      </w:pPr>
    </w:p>
    <w:p>
      <w:pPr>
        <w:ind w:right="20" w:firstLine="526"/>
        <w:spacing w:after="0" w:line="284" w:lineRule="auto"/>
        <w:rPr>
          <w:sz w:val="20"/>
          <w:szCs w:val="20"/>
          <w:color w:val="auto"/>
        </w:rPr>
      </w:pPr>
      <w:r>
        <w:rPr>
          <w:rFonts w:ascii="Arial" w:cs="Arial" w:eastAsia="Arial" w:hAnsi="Arial"/>
          <w:sz w:val="16"/>
          <w:szCs w:val="16"/>
          <w:color w:val="auto"/>
        </w:rPr>
        <w:t>The Company has borrowings under two Revolving Credit Facilities with $217.0 million outstanding as of September 29, 2022, that mature on June 20, 2023. The Company does not have available liquidity to repay the full outstanding balance on the date of maturity. Under the Credit Agreement, failure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each tranche of the senior notes, which would allow the indenture trustee or senior note holders of each tranche of senior notes to accelerate the maturity to become due and payable. The Company does not have available liquidity to repay any accelerated principal of term loans or tranches of the outstanding senior notes upon an event of default within one year after the date that the financial statements are issued. Additionally, based on current projections, the Company does not expect to meet certain financial covenants for the period ending March 30, 2023. Further, if the Company’s independent registered public accounting firm includes a “going concern” or like qualification or exception, other than for debt maturing within one year, in its report on the Company’s financial statements for the year ending December 29, 2022, this would be an event of default under the Company’s Credit Agreement at the time the Company’s financial statements for the year ending December 29, 2022 are filed. Under the Credit Agreement, failure to remain in compliance with these covenants or inability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the senior notes, which would allow the indenture trustee or senior note holders of each tranche of senior notes to accelerate the maturity to become due and payable. Should the Company’s borrowings become due and payable, the Company would not be able to repay the Company’s total outstanding debt balance. These conditions and events raise substantial doubt about the Company’s ability to continue as a going concern. Management believes it will be able to amend NCM LLC’s Revolving Credit Facilities to extend the maturity dates, amend its Senior Secured Credit Facility to extend a waiver of these financial covenants or obtain additional debt financing through a loan from third parties, and/or NCM, Inc., but there is no assurance that the Company will be successful in completing any of these options in a timely manner, or on acceptable terms, if at all.</w:t>
      </w:r>
    </w:p>
    <w:p>
      <w:pPr>
        <w:spacing w:after="0" w:line="60" w:lineRule="exact"/>
        <w:rPr>
          <w:sz w:val="20"/>
          <w:szCs w:val="20"/>
          <w:color w:val="auto"/>
        </w:rPr>
      </w:pPr>
    </w:p>
    <w:p>
      <w:pPr>
        <w:ind w:right="100" w:firstLine="526"/>
        <w:spacing w:after="0" w:line="277" w:lineRule="auto"/>
        <w:rPr>
          <w:sz w:val="20"/>
          <w:szCs w:val="20"/>
          <w:color w:val="auto"/>
        </w:rPr>
      </w:pPr>
      <w:r>
        <w:rPr>
          <w:rFonts w:ascii="Arial" w:cs="Arial" w:eastAsia="Arial" w:hAnsi="Arial"/>
          <w:sz w:val="18"/>
          <w:szCs w:val="18"/>
          <w:color w:val="auto"/>
        </w:rPr>
        <w:t>Management believes that based on the Company’s current financial position and liquidity sources, including current cash balances, and forecasted future cash flows, the Company can meet its operating obligations as they become due.</w:t>
      </w:r>
    </w:p>
    <w:p>
      <w:pPr>
        <w:spacing w:after="0" w:line="35" w:lineRule="exact"/>
        <w:rPr>
          <w:sz w:val="20"/>
          <w:szCs w:val="20"/>
          <w:color w:val="auto"/>
        </w:rPr>
      </w:pPr>
    </w:p>
    <w:p>
      <w:pPr>
        <w:ind w:firstLine="526"/>
        <w:spacing w:after="0" w:line="275" w:lineRule="auto"/>
        <w:rPr>
          <w:sz w:val="20"/>
          <w:szCs w:val="20"/>
          <w:color w:val="auto"/>
        </w:rPr>
      </w:pPr>
      <w:r>
        <w:rPr>
          <w:rFonts w:ascii="Arial" w:cs="Arial" w:eastAsia="Arial" w:hAnsi="Arial"/>
          <w:sz w:val="17"/>
          <w:szCs w:val="17"/>
          <w:color w:val="auto"/>
        </w:rPr>
        <w:t>During October 2022, in order to preserve NCM LLC’s liquidity in light of the Minimum Liquidity Requirement, NCM LLC delayed paying certain invoices and did not make an interest payment in the amount of $11.8 million, $0.8 million of which relates to notes held by NCM, Inc., due October 17, 2022 under the Senior Secured Notes due 2028, and entered a 30-day grace period under the indenture governing the Senior Secured Notes due 2028. The Company made this payment on November 4, 2022, prior to the end of the applicable grace period. NCM LLC expects to continue to preserve liquidity in order to maintain compliance with the Minimum Liquidity Requirement throughout the fourth quarter of 2022.</w:t>
      </w:r>
    </w:p>
    <w:p>
      <w:pPr>
        <w:spacing w:after="0" w:line="55"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color w:val="auto"/>
        </w:rPr>
        <w:t>However, the failure to amend the Revolving Credit Facilities to extend the maturity dates, amend its Senior Secured Credit Facility to extend a waiver of these financial covenants or obtain additional debt financing through a loan from third parties and any associated events of default under the Credit Agreement or NCM LLC’s senior notes would have a material adverse effect on our financial condition, which gives rise to substantial doubt about our ability to continue as a going concern. If we are unable to continue as a going concern, we may have to liquidate our assets and may receive less than the value at which those assets are carried on our financial statements, and it is likely that investors will lose all or a part of their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20" w:firstLine="526"/>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Shares Purchased as</w:t>
            </w: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restart"/>
          </w:tcPr>
          <w:p>
            <w:pPr>
              <w:jc w:val="center"/>
              <w:ind w:left="157"/>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Average Price Paid</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 that may yet</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320" w:type="dxa"/>
            <w:vAlign w:val="bottom"/>
            <w:gridSpan w:val="4"/>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320" w:type="dxa"/>
            <w:vAlign w:val="bottom"/>
            <w:gridSpan w:val="4"/>
            <w:vMerge w:val="continue"/>
          </w:tcPr>
          <w:p>
            <w:pPr>
              <w:spacing w:after="0"/>
              <w:rPr>
                <w:sz w:val="17"/>
                <w:szCs w:val="17"/>
                <w:color w:val="auto"/>
              </w:rPr>
            </w:pPr>
          </w:p>
        </w:tc>
        <w:tc>
          <w:tcPr>
            <w:tcW w:w="18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color w:val="auto"/>
              </w:rPr>
              <w:t>July 1, 2022 through July 28, 2022</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960" w:type="dxa"/>
            <w:vAlign w:val="bottom"/>
            <w:gridSpan w:val="5"/>
          </w:tcPr>
          <w:p>
            <w:pPr>
              <w:ind w:left="20"/>
              <w:spacing w:after="0"/>
              <w:rPr>
                <w:sz w:val="20"/>
                <w:szCs w:val="20"/>
                <w:color w:val="auto"/>
              </w:rPr>
            </w:pPr>
            <w:r>
              <w:rPr>
                <w:rFonts w:ascii="Arial" w:cs="Arial" w:eastAsia="Arial" w:hAnsi="Arial"/>
                <w:sz w:val="18"/>
                <w:szCs w:val="18"/>
                <w:color w:val="auto"/>
              </w:rPr>
              <w:t>July 29, 2022 through September 1, 2022</w:t>
            </w:r>
          </w:p>
        </w:tc>
        <w:tc>
          <w:tcPr>
            <w:tcW w:w="176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340" w:type="dxa"/>
            <w:vAlign w:val="bottom"/>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9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September 2, 2022 through September 29, 2022</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18"/>
        </w:trPr>
        <w:tc>
          <w:tcPr>
            <w:tcW w:w="3960" w:type="dxa"/>
            <w:vAlign w:val="bottom"/>
            <w:gridSpan w:val="5"/>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60" w:type="dxa"/>
            <w:vAlign w:val="bottom"/>
            <w:gridSpan w:val="5"/>
          </w:tcPr>
          <w:p>
            <w:pPr>
              <w:ind w:left="540"/>
              <w:spacing w:after="0"/>
              <w:rPr>
                <w:sz w:val="20"/>
                <w:szCs w:val="20"/>
                <w:color w:val="auto"/>
              </w:rPr>
            </w:pPr>
            <w:r>
              <w:rPr>
                <w:rFonts w:ascii="Arial" w:cs="Arial" w:eastAsia="Arial" w:hAnsi="Arial"/>
                <w:sz w:val="18"/>
                <w:szCs w:val="18"/>
                <w:color w:val="auto"/>
              </w:rPr>
              <w:t>None.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960" w:type="dxa"/>
            <w:vAlign w:val="bottom"/>
            <w:gridSpan w:val="5"/>
          </w:tcPr>
          <w:p>
            <w:pPr>
              <w:spacing w:after="0"/>
              <w:rPr>
                <w:sz w:val="20"/>
                <w:szCs w:val="20"/>
                <w:color w:val="auto"/>
              </w:rPr>
            </w:pPr>
            <w:r>
              <w:rPr>
                <w:rFonts w:ascii="Arial" w:cs="Arial" w:eastAsia="Arial" w:hAnsi="Arial"/>
                <w:sz w:val="18"/>
                <w:szCs w:val="18"/>
                <w:b w:val="1"/>
                <w:bCs w:val="1"/>
                <w:color w:val="auto"/>
              </w:rPr>
              <w:t>Item 4. Mine Safety Disclosures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60" w:type="dxa"/>
            <w:vAlign w:val="bottom"/>
            <w:gridSpan w:val="5"/>
          </w:tcPr>
          <w:p>
            <w:pPr>
              <w:ind w:left="540"/>
              <w:spacing w:after="0"/>
              <w:rPr>
                <w:sz w:val="20"/>
                <w:szCs w:val="20"/>
                <w:color w:val="auto"/>
              </w:rPr>
            </w:pPr>
            <w:r>
              <w:rPr>
                <w:rFonts w:ascii="Arial" w:cs="Arial" w:eastAsia="Arial" w:hAnsi="Arial"/>
                <w:sz w:val="18"/>
                <w:szCs w:val="18"/>
                <w:color w:val="auto"/>
              </w:rPr>
              <w:t>Not Applicable.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960" w:type="dxa"/>
            <w:vAlign w:val="bottom"/>
            <w:gridSpan w:val="5"/>
          </w:tcPr>
          <w:p>
            <w:pPr>
              <w:spacing w:after="0"/>
              <w:rPr>
                <w:sz w:val="20"/>
                <w:szCs w:val="20"/>
                <w:color w:val="auto"/>
              </w:rPr>
            </w:pPr>
            <w:r>
              <w:rPr>
                <w:rFonts w:ascii="Arial" w:cs="Arial" w:eastAsia="Arial" w:hAnsi="Arial"/>
                <w:sz w:val="18"/>
                <w:szCs w:val="18"/>
                <w:b w:val="1"/>
                <w:bCs w:val="1"/>
                <w:color w:val="auto"/>
              </w:rPr>
              <w:t>Item 5. Other Information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60" w:firstLine="526"/>
        <w:spacing w:after="0" w:line="279" w:lineRule="auto"/>
        <w:rPr>
          <w:sz w:val="20"/>
          <w:szCs w:val="20"/>
          <w:color w:val="auto"/>
        </w:rPr>
      </w:pPr>
      <w:r>
        <w:rPr>
          <w:rFonts w:ascii="Arial" w:cs="Arial" w:eastAsia="Arial" w:hAnsi="Arial"/>
          <w:sz w:val="17"/>
          <w:szCs w:val="17"/>
          <w:color w:val="auto"/>
        </w:rPr>
        <w:t>On November 3, 2022, NCM LLC and NCM, Inc. entered into a Receivable Sales Agreement pursuant to which, NCM, Inc. acquired the right to approximately $4.9 million of NCM LLC’s accounts receivable at a purchase price equal to the book value of the accounts receivable in exchange for a cash payment. The foregoing description of the Receivables Sales Agreement is qualified in its entirety by reference to the complete copy of a form of Receivables Sales Agreement filed as Exhibit 10.2 to the Quarterly Report and incorporated by reference herein.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Reference</w:t>
            </w:r>
          </w:p>
        </w:tc>
        <w:tc>
          <w:tcPr>
            <w:tcW w:w="818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w w:val="90"/>
              </w:rPr>
              <w:t>(1)</w:t>
            </w:r>
          </w:p>
        </w:tc>
        <w:tc>
          <w:tcPr>
            <w:tcW w:w="300" w:type="dxa"/>
            <w:vAlign w:val="bottom"/>
          </w:tcPr>
          <w:p>
            <w:pPr>
              <w:spacing w:after="0"/>
              <w:rPr>
                <w:sz w:val="24"/>
                <w:szCs w:val="24"/>
                <w:color w:val="auto"/>
              </w:rPr>
            </w:pPr>
          </w:p>
        </w:tc>
        <w:tc>
          <w:tcPr>
            <w:tcW w:w="7680" w:type="dxa"/>
            <w:vAlign w:val="bottom"/>
            <w:tcBorders>
              <w:bottom w:val="single" w:sz="8" w:color="0000FF"/>
            </w:tcBorders>
            <w:gridSpan w:val="7"/>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Employment Agreement dated August 1, 2022 between National CineMedia, Inc. and Thomas F. Lesinski.</w:t>
              </w:r>
            </w:hyperlink>
          </w:p>
        </w:tc>
        <w:tc>
          <w:tcPr>
            <w:tcW w:w="500" w:type="dxa"/>
            <w:vAlign w:val="bottom"/>
            <w:gridSpan w:val="2"/>
          </w:tcPr>
          <w:p>
            <w:pPr>
              <w:spacing w:after="0"/>
              <w:rPr>
                <w:sz w:val="24"/>
                <w:szCs w:val="24"/>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0000FF"/>
                <w:w w:val="91"/>
              </w:rPr>
              <w:t>Form of Receivable Sales Agreement, dated November 3, 2022, between National CineMedia, LLC and National</w:t>
            </w:r>
          </w:p>
        </w:tc>
      </w:tr>
      <w:tr>
        <w:trPr>
          <w:trHeight w:val="169"/>
        </w:trPr>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CineMedia, Inc.</w:t>
            </w:r>
          </w:p>
        </w:tc>
        <w:tc>
          <w:tcPr>
            <w:tcW w:w="20" w:type="dxa"/>
            <w:vAlign w:val="bottom"/>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Rule 13a-14(a) Certification of Chief Executive Officer.</w:t>
            </w:r>
          </w:p>
        </w:tc>
        <w:tc>
          <w:tcPr>
            <w:tcW w:w="4140" w:type="dxa"/>
            <w:vAlign w:val="bottom"/>
            <w:gridSpan w:val="5"/>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0000FF"/>
              </w:rPr>
              <w:t>Rule 13a-14(a) Certification of Chief Financial Officer.</w:t>
            </w: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w:t>
            </w:r>
          </w:p>
        </w:tc>
        <w:tc>
          <w:tcPr>
            <w:tcW w:w="2660" w:type="dxa"/>
            <w:vAlign w:val="bottom"/>
            <w:gridSpan w:val="3"/>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0000FF"/>
              </w:rPr>
              <w:t>Certification of Chief Financial Officer Pursuant to 18 U.S.C. Section 1350.</w:t>
            </w:r>
          </w:p>
        </w:tc>
      </w:tr>
      <w:tr>
        <w:trPr>
          <w:trHeight w:val="249"/>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4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720" w:type="dxa"/>
            <w:vAlign w:val="bottom"/>
            <w:gridSpan w:val="4"/>
          </w:tcPr>
          <w:p>
            <w:pPr>
              <w:spacing w:after="0"/>
              <w:rPr>
                <w:sz w:val="21"/>
                <w:szCs w:val="21"/>
                <w:color w:val="auto"/>
              </w:rPr>
            </w:pP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1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400" w:hanging="374"/>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74"/>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00" w:right="1020" w:hanging="374"/>
        <w:spacing w:after="0" w:line="234"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Exhibit 10.3 from the Registrant’s Quarterly Report on Form 10-Q (File No. 001-33296) filed on August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Date:    November 7, 2022</w:t>
            </w:r>
          </w:p>
        </w:tc>
        <w:tc>
          <w:tcPr>
            <w:tcW w:w="492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5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Date:</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November 7, 2022</w:t>
            </w:r>
          </w:p>
        </w:tc>
        <w:tc>
          <w:tcPr>
            <w:tcW w:w="4920" w:type="dxa"/>
            <w:vAlign w:val="bottom"/>
          </w:tcPr>
          <w:p>
            <w:pPr>
              <w:ind w:left="20"/>
              <w:spacing w:after="0"/>
              <w:rPr>
                <w:sz w:val="20"/>
                <w:szCs w:val="20"/>
                <w:color w:val="auto"/>
              </w:rPr>
            </w:pPr>
            <w:r>
              <w:rPr>
                <w:rFonts w:ascii="Arial" w:cs="Arial" w:eastAsia="Arial" w:hAnsi="Arial"/>
                <w:sz w:val="18"/>
                <w:szCs w:val="18"/>
                <w:color w:val="auto"/>
              </w:rPr>
              <w:t>/s/ Ronnie Y. Ng</w:t>
            </w:r>
          </w:p>
        </w:tc>
      </w:tr>
      <w:tr>
        <w:trPr>
          <w:trHeight w:val="222"/>
        </w:trPr>
        <w:tc>
          <w:tcPr>
            <w:tcW w:w="58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RECEIVABLES SALES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RECEIVABLES SALES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_____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is by and</w:t>
      </w:r>
    </w:p>
    <w:p>
      <w:pPr>
        <w:jc w:val="both"/>
        <w:spacing w:after="0" w:line="217" w:lineRule="auto"/>
        <w:rPr>
          <w:sz w:val="20"/>
          <w:szCs w:val="20"/>
          <w:color w:val="auto"/>
        </w:rPr>
      </w:pPr>
      <w:r>
        <w:rPr>
          <w:rFonts w:ascii="Arial" w:cs="Arial" w:eastAsia="Arial" w:hAnsi="Arial"/>
          <w:sz w:val="22"/>
          <w:szCs w:val="22"/>
          <w:color w:val="auto"/>
        </w:rPr>
        <w:t>between National CineMedia, LLC, a Delaware limited liability company (“</w:t>
      </w:r>
      <w:r>
        <w:rPr>
          <w:rFonts w:ascii="Arial" w:cs="Arial" w:eastAsia="Arial" w:hAnsi="Arial"/>
          <w:sz w:val="22"/>
          <w:szCs w:val="22"/>
          <w:u w:val="single" w:color="auto"/>
          <w:color w:val="auto"/>
        </w:rPr>
        <w:t>LLC</w:t>
      </w:r>
      <w:r>
        <w:rPr>
          <w:rFonts w:ascii="Arial" w:cs="Arial" w:eastAsia="Arial" w:hAnsi="Arial"/>
          <w:sz w:val="22"/>
          <w:szCs w:val="22"/>
          <w:color w:val="auto"/>
        </w:rPr>
        <w:t xml:space="preserve"> ”), as the seller (the “</w:t>
      </w:r>
      <w:r>
        <w:rPr>
          <w:rFonts w:ascii="Arial" w:cs="Arial" w:eastAsia="Arial" w:hAnsi="Arial"/>
          <w:sz w:val="22"/>
          <w:szCs w:val="22"/>
          <w:u w:val="single" w:color="auto"/>
          <w:color w:val="auto"/>
        </w:rPr>
        <w:t>Seller</w:t>
      </w:r>
      <w:r>
        <w:rPr>
          <w:rFonts w:ascii="Arial" w:cs="Arial" w:eastAsia="Arial" w:hAnsi="Arial"/>
          <w:sz w:val="22"/>
          <w:szCs w:val="22"/>
          <w:color w:val="auto"/>
        </w:rPr>
        <w:t>”) and National CineMedia, Inc., a Delaware corporation, as the purchaser (in such capacity, the “</w:t>
      </w:r>
      <w:r>
        <w:rPr>
          <w:rFonts w:ascii="Arial" w:cs="Arial" w:eastAsia="Arial" w:hAnsi="Arial"/>
          <w:sz w:val="22"/>
          <w:szCs w:val="22"/>
          <w:u w:val="single" w:color="auto"/>
          <w:color w:val="auto"/>
        </w:rPr>
        <w:t>Purchaser</w:t>
      </w:r>
      <w:r>
        <w:rPr>
          <w:rFonts w:ascii="Arial" w:cs="Arial" w:eastAsia="Arial" w:hAnsi="Arial"/>
          <w:sz w:val="22"/>
          <w:szCs w:val="22"/>
          <w:color w:val="auto"/>
        </w:rPr>
        <w:t xml:space="preserve">”). Capitalized terms used and not otherwise defined shall have the meanings set forth on of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this Agreement.</w:t>
      </w:r>
    </w:p>
    <w:p>
      <w:pPr>
        <w:spacing w:after="0" w:line="154" w:lineRule="exact"/>
        <w:rPr>
          <w:sz w:val="20"/>
          <w:szCs w:val="20"/>
          <w:color w:val="auto"/>
        </w:rPr>
      </w:pPr>
    </w:p>
    <w:p>
      <w:pPr>
        <w:ind w:left="2660"/>
        <w:spacing w:after="0"/>
        <w:tabs>
          <w:tab w:leader="none" w:pos="3980" w:val="left"/>
        </w:tabs>
        <w:rPr>
          <w:sz w:val="20"/>
          <w:szCs w:val="20"/>
          <w:color w:val="auto"/>
        </w:rPr>
      </w:pPr>
      <w:r>
        <w:rPr>
          <w:rFonts w:ascii="Arial" w:cs="Arial" w:eastAsia="Arial" w:hAnsi="Arial"/>
          <w:sz w:val="22"/>
          <w:szCs w:val="22"/>
          <w:b w:val="1"/>
          <w:bCs w:val="1"/>
          <w:color w:val="auto"/>
        </w:rPr>
        <w:t>Article I</w:t>
      </w:r>
      <w:r>
        <w:rPr>
          <w:sz w:val="20"/>
          <w:szCs w:val="20"/>
          <w:color w:val="auto"/>
        </w:rPr>
        <w:tab/>
      </w:r>
      <w:r>
        <w:rPr>
          <w:rFonts w:ascii="Arial" w:cs="Arial" w:eastAsia="Arial" w:hAnsi="Arial"/>
          <w:sz w:val="21"/>
          <w:szCs w:val="21"/>
          <w:b w:val="1"/>
          <w:bCs w:val="1"/>
          <w:color w:val="auto"/>
        </w:rPr>
        <w:t>-SALES AND PURCHASES OF RECEIVABLES</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Sales of Receivables; Payment of Purchase Price</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3" w:lineRule="auto"/>
        <w:tabs>
          <w:tab w:leader="none" w:pos="1941"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On the terms and conditions of this Agreement, Seller agrees to sell, and Purchaser agrees to purchase, the accounts receivables identified on </w:t>
      </w:r>
      <w:r>
        <w:rPr>
          <w:rFonts w:ascii="Arial" w:cs="Arial" w:eastAsia="Arial" w:hAnsi="Arial"/>
          <w:sz w:val="22"/>
          <w:szCs w:val="22"/>
          <w:u w:val="single" w:color="auto"/>
          <w:color w:val="auto"/>
        </w:rPr>
        <w:t>Appendix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Accounts Receivable</w:t>
      </w:r>
      <w:r>
        <w:rPr>
          <w:rFonts w:ascii="Arial" w:cs="Arial" w:eastAsia="Arial" w:hAnsi="Arial"/>
          <w:sz w:val="22"/>
          <w:szCs w:val="22"/>
          <w:color w:val="auto"/>
        </w:rPr>
        <w:t xml:space="preserve">”) from Seller as mutually agreed and in accordance with </w:t>
      </w:r>
      <w:r>
        <w:rPr>
          <w:rFonts w:ascii="Arial" w:cs="Arial" w:eastAsia="Arial" w:hAnsi="Arial"/>
          <w:sz w:val="22"/>
          <w:szCs w:val="22"/>
          <w:u w:val="single" w:color="auto"/>
          <w:color w:val="auto"/>
        </w:rPr>
        <w:t>Section 1.2(b)</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purchase price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for each Accounts Receivable shall be equal to </w:t>
      </w:r>
      <w:r>
        <w:rPr>
          <w:rFonts w:ascii="Arial" w:cs="Arial" w:eastAsia="Arial" w:hAnsi="Arial"/>
          <w:sz w:val="19"/>
          <w:szCs w:val="19"/>
          <w:color w:val="auto"/>
        </w:rPr>
        <w:t>[ ]</w:t>
      </w:r>
      <w:r>
        <w:rPr>
          <w:rFonts w:ascii="Arial" w:cs="Arial" w:eastAsia="Arial" w:hAnsi="Arial"/>
          <w:sz w:val="22"/>
          <w:szCs w:val="22"/>
          <w:color w:val="auto"/>
        </w:rPr>
        <w:t xml:space="preserve"> of such Accounts Receivable as agreed by the Seller and the Purchaser at the time of purchase.</w:t>
      </w:r>
    </w:p>
    <w:p>
      <w:pPr>
        <w:spacing w:after="0" w:line="158" w:lineRule="exact"/>
        <w:rPr>
          <w:rFonts w:ascii="Arial" w:cs="Arial" w:eastAsia="Arial" w:hAnsi="Arial"/>
          <w:sz w:val="22"/>
          <w:szCs w:val="22"/>
          <w:color w:val="auto"/>
        </w:rPr>
      </w:pPr>
    </w:p>
    <w:p>
      <w:pPr>
        <w:ind w:right="20" w:firstLine="1304"/>
        <w:spacing w:after="0" w:line="232" w:lineRule="auto"/>
        <w:tabs>
          <w:tab w:leader="none" w:pos="1941"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Purchaser shall pay to the Seller the Purchase Price with respect to each Accounts Receivable on the Purchase Date by transfer of immediately available funds.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8"/>
          <w:szCs w:val="18"/>
          <w:b w:val="1"/>
          <w:bCs w:val="1"/>
          <w:u w:val="single" w:color="auto"/>
          <w:color w:val="auto"/>
        </w:rPr>
        <w:t>Assignment of Assets</w:t>
      </w:r>
      <w:r>
        <w:rPr>
          <w:rFonts w:ascii="Arial" w:cs="Arial" w:eastAsia="Arial" w:hAnsi="Arial"/>
          <w:sz w:val="18"/>
          <w:szCs w:val="18"/>
          <w:color w:val="auto"/>
        </w:rPr>
        <w:t>.</w:t>
      </w:r>
    </w:p>
    <w:p>
      <w:pPr>
        <w:spacing w:after="0" w:line="185" w:lineRule="exact"/>
        <w:rPr>
          <w:sz w:val="20"/>
          <w:szCs w:val="20"/>
          <w:color w:val="auto"/>
        </w:rPr>
      </w:pPr>
    </w:p>
    <w:p>
      <w:pPr>
        <w:jc w:val="both"/>
        <w:ind w:firstLine="1304"/>
        <w:spacing w:after="0" w:line="244" w:lineRule="auto"/>
        <w:tabs>
          <w:tab w:leader="none" w:pos="1939"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In consideration of the payment of the Purchase Price on behalf of the Purchaser, with respect to each Accounts Receivable identified on </w:t>
      </w:r>
      <w:r>
        <w:rPr>
          <w:rFonts w:ascii="Arial" w:cs="Arial" w:eastAsia="Arial" w:hAnsi="Arial"/>
          <w:sz w:val="19"/>
          <w:szCs w:val="19"/>
          <w:u w:val="single" w:color="auto"/>
          <w:color w:val="auto"/>
        </w:rPr>
        <w:t>Appendix B</w:t>
      </w:r>
      <w:r>
        <w:rPr>
          <w:rFonts w:ascii="Arial" w:cs="Arial" w:eastAsia="Arial" w:hAnsi="Arial"/>
          <w:sz w:val="19"/>
          <w:szCs w:val="19"/>
          <w:color w:val="auto"/>
        </w:rPr>
        <w:t>, and immediately upon receipt by the Seller of the applicable Purchase Price on the applicable Purchase Date, the Seller hereby, irrevocably and absolutely, sells, transfers, and assigns to the Purchaser, without recourse except as expressly provided in this Agreement, all of its right, title and interest, whether now owned or hereafter acquired, in and to and under the following: (1) the Accounts Receivable; (2) all payments received or receivable and all other amounts due or to become due under the Accounts Receivable; (3) all other rights, interests (whether whole, fractional or otherwise), benefits, proceeds, remedies and claims arising from or relating to the Accounts Receivable; (4) all Proceeds related to each Accounts Receivable received; (5) all present and future claims, demands, causes of action and choses in action in respect of any of all of the foregoing and all payments on or under and all proceeds of every kind and nature whatsoever in respect of any or all of the foregoing (collectively, the “</w:t>
      </w:r>
      <w:r>
        <w:rPr>
          <w:rFonts w:ascii="Arial" w:cs="Arial" w:eastAsia="Arial" w:hAnsi="Arial"/>
          <w:sz w:val="19"/>
          <w:szCs w:val="19"/>
          <w:u w:val="single" w:color="auto"/>
          <w:color w:val="auto"/>
        </w:rPr>
        <w:t>Purchased Receivables</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1304"/>
        <w:spacing w:after="0" w:line="246" w:lineRule="auto"/>
        <w:tabs>
          <w:tab w:leader="none" w:pos="1941"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As of each Purchase Date, upon the payment of the Purchase Price, the Purchaser shall be the sole legal and beneficial owner for all purposes of each Accounts Receivable identified on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and all related Purchased Receivables, and subject to the terms and conditions of this Agreement, the Purchaser shall be entitled to all of the rights, privileges and remedies applicable to such ownership interest, including the right to pledge, transfer, sell, assign, service, exchange or collect and receive payments under the Purchased Receivables. The Seller will hold in trust any payment received and immediately turn over any such payment to the Purchaser. To the extent of any contractual restriction on the sale of any Receivable, the parties agree that they will treat Buyer as the owner of the Receivable and that Seller will be irrevocably sell and transfer to Buyer all economic benefits of the Receivable and the maximum legal right rights permitted by such contract.</w:t>
      </w:r>
    </w:p>
    <w:p>
      <w:pPr>
        <w:spacing w:after="0" w:line="146" w:lineRule="exact"/>
        <w:rPr>
          <w:sz w:val="20"/>
          <w:szCs w:val="20"/>
          <w:color w:val="auto"/>
        </w:rPr>
      </w:pPr>
    </w:p>
    <w:p>
      <w:pPr>
        <w:jc w:val="both"/>
        <w:ind w:right="20" w:firstLine="648"/>
        <w:spacing w:after="0" w:line="225" w:lineRule="auto"/>
        <w:rPr>
          <w:sz w:val="20"/>
          <w:szCs w:val="20"/>
          <w:color w:val="auto"/>
        </w:rPr>
      </w:pPr>
      <w:r>
        <w:rPr>
          <w:rFonts w:ascii="Arial" w:cs="Arial" w:eastAsia="Arial" w:hAnsi="Arial"/>
          <w:sz w:val="22"/>
          <w:szCs w:val="22"/>
          <w:b w:val="1"/>
          <w:bCs w:val="1"/>
          <w:color w:val="auto"/>
        </w:rPr>
        <w:t xml:space="preserve">Section 1.3 </w:t>
      </w:r>
      <w:r>
        <w:rPr>
          <w:rFonts w:ascii="Arial" w:cs="Arial" w:eastAsia="Arial" w:hAnsi="Arial"/>
          <w:sz w:val="22"/>
          <w:szCs w:val="22"/>
          <w:b w:val="1"/>
          <w:bCs w:val="1"/>
          <w:u w:val="single" w:color="auto"/>
          <w:color w:val="auto"/>
        </w:rPr>
        <w:t>Books and Records</w:t>
      </w:r>
      <w:r>
        <w:rPr>
          <w:rFonts w:ascii="Arial" w:cs="Arial" w:eastAsia="Arial" w:hAnsi="Arial"/>
          <w:sz w:val="22"/>
          <w:szCs w:val="22"/>
          <w:color w:val="auto"/>
        </w:rPr>
        <w:t>. Upon the receipt by the Seller of the Purchase Price for each Purchased Receivable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Purchase Date title to the Purchased Receivable shall be vested in the name of the Purchaser. In connection with the sale of the Purchased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08" w:right="339" w:bottom="1440" w:gutter="0" w:footer="0" w:header="0"/>
        </w:sectPr>
      </w:pPr>
    </w:p>
    <w:bookmarkStart w:id="42" w:name="page43"/>
    <w:bookmarkEnd w:id="42"/>
    <w:p>
      <w:pPr>
        <w:jc w:val="both"/>
        <w:spacing w:after="0" w:line="298" w:lineRule="auto"/>
        <w:rPr>
          <w:sz w:val="20"/>
          <w:szCs w:val="20"/>
          <w:color w:val="auto"/>
        </w:rPr>
      </w:pPr>
      <w:r>
        <w:rPr>
          <w:rFonts w:ascii="Arial" w:cs="Arial" w:eastAsia="Arial" w:hAnsi="Arial"/>
          <w:sz w:val="19"/>
          <w:szCs w:val="19"/>
          <w:color w:val="auto"/>
        </w:rPr>
        <w:t>under this Agreement, the Seller agrees on or prior to each Purchase Date, to indicate or cause to be indicated clearly and unambiguously in its books and records (including computer files) that Purchased Receivables have been sold to the Purchaser.</w:t>
      </w:r>
    </w:p>
    <w:p>
      <w:pPr>
        <w:spacing w:after="0" w:line="8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ind w:left="3920"/>
        <w:spacing w:after="0"/>
        <w:rPr>
          <w:sz w:val="20"/>
          <w:szCs w:val="20"/>
          <w:color w:val="auto"/>
        </w:rPr>
      </w:pPr>
      <w:r>
        <w:rPr>
          <w:rFonts w:ascii="Arial" w:cs="Arial" w:eastAsia="Arial" w:hAnsi="Arial"/>
          <w:sz w:val="22"/>
          <w:szCs w:val="22"/>
          <w:b w:val="1"/>
          <w:bCs w:val="1"/>
          <w:color w:val="auto"/>
        </w:rPr>
        <w:t>True Sale; Grant of Security Interest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True Sale</w:t>
      </w:r>
      <w:r>
        <w:rPr>
          <w:rFonts w:ascii="Arial" w:cs="Arial" w:eastAsia="Arial" w:hAnsi="Arial"/>
          <w:sz w:val="22"/>
          <w:szCs w:val="22"/>
          <w:color w:val="auto"/>
        </w:rPr>
        <w:t>. Both the Seller and the Purchaser intend each transfer of Purchased Receivables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an absolute sale of such Purchased Receivables conveying good title, free and clear of any liens, from the Seller to the Purchaser that is absolute and irrevocable, and not a financing or contract to the Seller secured by the Purchased Receivables. At any time and from time to time, the Seller shall promptly and duly execute and deliver, or shall promptly cause to be executed and delivered, such further instruments and documents and take such further actions as are reasonably requested by the Purchaser to confirm the sales of Purchased Receivables or for the purpose of obtaining or preserving the full benefit of this Agreement.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u w:val="single" w:color="auto"/>
          <w:color w:val="auto"/>
        </w:rPr>
        <w:t>Grant of Security Interest</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4" w:lineRule="auto"/>
        <w:tabs>
          <w:tab w:leader="none" w:pos="1944"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Notwithstanding the intent of the Parties, if a court of competent jurisdiction holds that the transactions evidenced hereby do not constitute purchases and sales, it is the intention of the Parties that (i) this Agreement shall also be deemed to be a security agreement under Applicable Laws, and (ii) the conveyances by the Seller provided for in this Agreement shall be deemed to be a first priority security interest in and to all of Seller’s right, title and interest, whether now existing or hereafter acquired, in, to and under all of the Purchased Receivables to secure all obligations now or hereafter arising from the Seller to the Purchaser.</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Purchaser is hereby authorized to take all reasonably necessary or appropriate actions to perfect its potential security interest in the Purchased Receivables, including authorization to (i) file UCC financing statements (and amendments to and continuations of such financing statements where applicable) with respect to any or all of the Purchased Receivables naming the Purchaser (and its assigns) as secured party/buyer and the Seller as debtor/seller, and identifying any or all of the Purchased Receivables as potential collateral therein.</w:t>
      </w:r>
    </w:p>
    <w:p>
      <w:pPr>
        <w:spacing w:after="0" w:line="13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III</w:t>
      </w:r>
    </w:p>
    <w:p>
      <w:pPr>
        <w:ind w:left="4140"/>
        <w:spacing w:after="0"/>
        <w:rPr>
          <w:sz w:val="20"/>
          <w:szCs w:val="20"/>
          <w:color w:val="auto"/>
        </w:rPr>
      </w:pPr>
      <w:r>
        <w:rPr>
          <w:rFonts w:ascii="Arial" w:cs="Arial" w:eastAsia="Arial" w:hAnsi="Arial"/>
          <w:sz w:val="22"/>
          <w:szCs w:val="22"/>
          <w:b w:val="1"/>
          <w:bCs w:val="1"/>
          <w:color w:val="auto"/>
        </w:rPr>
        <w:t>Representations and Warranties</w:t>
      </w:r>
    </w:p>
    <w:p>
      <w:pPr>
        <w:spacing w:after="0" w:line="14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Seller’s Representations and Warranties</w:t>
      </w:r>
      <w:r>
        <w:rPr>
          <w:rFonts w:ascii="Arial" w:cs="Arial" w:eastAsia="Arial" w:hAnsi="Arial"/>
          <w:sz w:val="19"/>
          <w:szCs w:val="19"/>
          <w:color w:val="auto"/>
        </w:rPr>
        <w:t>. As of the Effective Date and as of each Purchase Date, the</w:t>
      </w:r>
    </w:p>
    <w:p>
      <w:pPr>
        <w:spacing w:after="0"/>
        <w:rPr>
          <w:sz w:val="20"/>
          <w:szCs w:val="20"/>
          <w:color w:val="auto"/>
        </w:rPr>
      </w:pPr>
      <w:r>
        <w:rPr>
          <w:rFonts w:ascii="Arial" w:cs="Arial" w:eastAsia="Arial" w:hAnsi="Arial"/>
          <w:sz w:val="22"/>
          <w:szCs w:val="22"/>
          <w:color w:val="auto"/>
        </w:rPr>
        <w:t>Seller represents and warrants to the Purchaser, as to itself, that:</w:t>
      </w:r>
    </w:p>
    <w:p>
      <w:pPr>
        <w:spacing w:after="0" w:line="161" w:lineRule="exact"/>
        <w:rPr>
          <w:sz w:val="20"/>
          <w:szCs w:val="20"/>
          <w:color w:val="auto"/>
        </w:rPr>
      </w:pPr>
    </w:p>
    <w:p>
      <w:pPr>
        <w:jc w:val="both"/>
        <w:ind w:firstLine="1304"/>
        <w:spacing w:after="0" w:line="268" w:lineRule="auto"/>
        <w:tabs>
          <w:tab w:leader="none" w:pos="194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Due Organization.</w:t>
      </w:r>
      <w:r>
        <w:rPr>
          <w:rFonts w:ascii="Arial" w:cs="Arial" w:eastAsia="Arial" w:hAnsi="Arial"/>
          <w:sz w:val="19"/>
          <w:szCs w:val="19"/>
          <w:color w:val="auto"/>
        </w:rPr>
        <w:t xml:space="preserve"> The Seller is a limited liability company duly organized and validly existing under the laws of the State of Delaware. The Seller has full power and authority to own and operate its assets and properties, conduct the business in which it is now engaged and to execute and deliver and perform its obligations under this Agreement.</w:t>
      </w:r>
    </w:p>
    <w:p>
      <w:pPr>
        <w:spacing w:after="0" w:line="132" w:lineRule="exact"/>
        <w:rPr>
          <w:rFonts w:ascii="Arial" w:cs="Arial" w:eastAsia="Arial" w:hAnsi="Arial"/>
          <w:sz w:val="19"/>
          <w:szCs w:val="19"/>
          <w:color w:val="auto"/>
        </w:rPr>
      </w:pPr>
    </w:p>
    <w:p>
      <w:pPr>
        <w:jc w:val="both"/>
        <w:ind w:firstLine="1304"/>
        <w:spacing w:after="0" w:line="218" w:lineRule="auto"/>
        <w:tabs>
          <w:tab w:leader="none" w:pos="1939"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Due Qualification and Good Standing.</w:t>
      </w:r>
      <w:r>
        <w:rPr>
          <w:rFonts w:ascii="Arial" w:cs="Arial" w:eastAsia="Arial" w:hAnsi="Arial"/>
          <w:sz w:val="22"/>
          <w:szCs w:val="22"/>
          <w:color w:val="auto"/>
        </w:rPr>
        <w:t xml:space="preserve"> The Seller is (i) in good standing in the State of </w:t>
      </w:r>
      <w:r>
        <w:rPr>
          <w:rFonts w:ascii="Arial" w:cs="Arial" w:eastAsia="Arial" w:hAnsi="Arial"/>
          <w:sz w:val="19"/>
          <w:szCs w:val="19"/>
          <w:color w:val="auto"/>
        </w:rPr>
        <w:t>Delaware</w:t>
      </w:r>
      <w:r>
        <w:rPr>
          <w:rFonts w:ascii="Arial" w:cs="Arial" w:eastAsia="Arial" w:hAnsi="Arial"/>
          <w:sz w:val="22"/>
          <w:szCs w:val="22"/>
          <w:color w:val="auto"/>
        </w:rPr>
        <w:t xml:space="preserve"> and (ii) duly qualified to do business and, to the extent applicable, in good standing in each other jurisdiction in which the nature of its business, assets and properties, including the performance of its obligations under this Agreement, and its Constituent Documents, requires such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43" w:name="page44"/>
    <w:bookmarkEnd w:id="43"/>
    <w:p>
      <w:pPr>
        <w:jc w:val="both"/>
        <w:ind w:firstLine="1304"/>
        <w:spacing w:after="0" w:line="224" w:lineRule="auto"/>
        <w:tabs>
          <w:tab w:leader="none" w:pos="1941"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Due Authorization; Execution and Delivery; Legal, Valid and Binding; Enforceability</w:t>
      </w:r>
      <w:r>
        <w:rPr>
          <w:rFonts w:ascii="Arial" w:cs="Arial" w:eastAsia="Arial" w:hAnsi="Arial"/>
          <w:sz w:val="21"/>
          <w:szCs w:val="21"/>
          <w:color w:val="auto"/>
        </w:rPr>
        <w:t>. The execution and delivery by it of, and the performance of its obligations under, this Agreement are within its powers and have been duly authorized by all requisite action by it and have been duly executed and delivered by it and constitute its legal, valid and binding obligations enforceable against it in accordance with its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w:t>
      </w:r>
    </w:p>
    <w:p>
      <w:pPr>
        <w:spacing w:after="0" w:line="173" w:lineRule="exact"/>
        <w:rPr>
          <w:sz w:val="20"/>
          <w:szCs w:val="20"/>
          <w:color w:val="auto"/>
        </w:rPr>
      </w:pPr>
    </w:p>
    <w:p>
      <w:pPr>
        <w:ind w:firstLine="648"/>
        <w:spacing w:after="0" w:line="305" w:lineRule="auto"/>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b w:val="1"/>
          <w:bCs w:val="1"/>
          <w:u w:val="single" w:color="auto"/>
          <w:color w:val="auto"/>
        </w:rPr>
        <w:t>Purchased Receivables Representations and Warranties</w:t>
      </w:r>
      <w:r>
        <w:rPr>
          <w:rFonts w:ascii="Arial" w:cs="Arial" w:eastAsia="Arial" w:hAnsi="Arial"/>
          <w:sz w:val="19"/>
          <w:szCs w:val="19"/>
          <w:color w:val="auto"/>
        </w:rPr>
        <w:t>. The Seller hereby represents and warrants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Purchaser as of the related Purchase Date with respect to each Accounts Receivable purchased on such Purchase Date that:</w:t>
      </w:r>
    </w:p>
    <w:p>
      <w:pPr>
        <w:spacing w:after="0" w:line="99" w:lineRule="exact"/>
        <w:rPr>
          <w:sz w:val="20"/>
          <w:szCs w:val="20"/>
          <w:color w:val="auto"/>
        </w:rPr>
      </w:pPr>
    </w:p>
    <w:p>
      <w:pPr>
        <w:jc w:val="both"/>
        <w:ind w:firstLine="1304"/>
        <w:spacing w:after="0" w:line="218" w:lineRule="auto"/>
        <w:tabs>
          <w:tab w:leader="none" w:pos="194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Ownership</w:t>
      </w:r>
      <w:r>
        <w:rPr>
          <w:rFonts w:ascii="Arial" w:cs="Arial" w:eastAsia="Arial" w:hAnsi="Arial"/>
          <w:sz w:val="22"/>
          <w:szCs w:val="22"/>
          <w:color w:val="auto"/>
        </w:rPr>
        <w:t>. Immediately prior to the transfer and assignment to the Purchaser, the Seller is the absolute owner of such Accounts Receivable and had the full right, power and authority to sell and transfer its interest in such Accounts Receivable, and, immediately upon the transfer thereof to the Purchaser, the Purchaser shall be the sole equitable and legal owner thereof.</w:t>
      </w:r>
    </w:p>
    <w:p>
      <w:pPr>
        <w:spacing w:after="0" w:line="160" w:lineRule="exact"/>
        <w:rPr>
          <w:rFonts w:ascii="Arial" w:cs="Arial" w:eastAsia="Arial" w:hAnsi="Arial"/>
          <w:sz w:val="22"/>
          <w:szCs w:val="22"/>
          <w:color w:val="auto"/>
        </w:rPr>
      </w:pPr>
    </w:p>
    <w:p>
      <w:pPr>
        <w:jc w:val="both"/>
        <w:ind w:firstLine="1304"/>
        <w:spacing w:after="0" w:line="268" w:lineRule="auto"/>
        <w:tabs>
          <w:tab w:leader="none" w:pos="194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Receivable in Force</w:t>
      </w:r>
      <w:r>
        <w:rPr>
          <w:rFonts w:ascii="Arial" w:cs="Arial" w:eastAsia="Arial" w:hAnsi="Arial"/>
          <w:sz w:val="19"/>
          <w:szCs w:val="19"/>
          <w:color w:val="auto"/>
        </w:rPr>
        <w:t>. The Accounts Receivable have not been satisfied, subordinated or rescinded and, since the date of transfer to the Seller, the Seller has not taken any action to prevent or impair the Accounts Receivable from being valid, binding and enforceable against the related advertiser or agency to which the Accounts Receivable relates.</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Purchaser Representations and Warranties</w:t>
      </w:r>
      <w:r>
        <w:rPr>
          <w:rFonts w:ascii="Arial" w:cs="Arial" w:eastAsia="Arial" w:hAnsi="Arial"/>
          <w:sz w:val="19"/>
          <w:szCs w:val="19"/>
          <w:color w:val="auto"/>
        </w:rPr>
        <w:t>. As of the Effective Date and as of each Purchase Date, the</w:t>
      </w:r>
    </w:p>
    <w:p>
      <w:pPr>
        <w:spacing w:after="0"/>
        <w:rPr>
          <w:sz w:val="20"/>
          <w:szCs w:val="20"/>
          <w:color w:val="auto"/>
        </w:rPr>
      </w:pPr>
      <w:r>
        <w:rPr>
          <w:rFonts w:ascii="Arial" w:cs="Arial" w:eastAsia="Arial" w:hAnsi="Arial"/>
          <w:sz w:val="22"/>
          <w:szCs w:val="22"/>
          <w:color w:val="auto"/>
        </w:rPr>
        <w:t>Purchaser hereby represents and warrants that:</w:t>
      </w:r>
    </w:p>
    <w:p>
      <w:pPr>
        <w:spacing w:after="0" w:line="161" w:lineRule="exact"/>
        <w:rPr>
          <w:sz w:val="20"/>
          <w:szCs w:val="20"/>
          <w:color w:val="auto"/>
        </w:rPr>
      </w:pPr>
    </w:p>
    <w:p>
      <w:pPr>
        <w:jc w:val="both"/>
        <w:ind w:firstLine="1304"/>
        <w:spacing w:after="0" w:line="268" w:lineRule="auto"/>
        <w:tabs>
          <w:tab w:leader="none" w:pos="193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Due Organization.</w:t>
      </w:r>
      <w:r>
        <w:rPr>
          <w:rFonts w:ascii="Arial" w:cs="Arial" w:eastAsia="Arial" w:hAnsi="Arial"/>
          <w:sz w:val="19"/>
          <w:szCs w:val="19"/>
          <w:color w:val="auto"/>
        </w:rPr>
        <w:t xml:space="preserve"> The Purchaser is a corporation duly organized and validly existing under the laws of the State of Delaware. The Purchaser has full power and authority to own and operate its assets and properties, conduct the business in which it is now engaged and to execute and deliver and perform its obligations under this Agreement.</w:t>
      </w:r>
    </w:p>
    <w:p>
      <w:pPr>
        <w:spacing w:after="0" w:line="132" w:lineRule="exact"/>
        <w:rPr>
          <w:rFonts w:ascii="Arial" w:cs="Arial" w:eastAsia="Arial" w:hAnsi="Arial"/>
          <w:sz w:val="19"/>
          <w:szCs w:val="19"/>
          <w:color w:val="auto"/>
        </w:rPr>
      </w:pPr>
    </w:p>
    <w:p>
      <w:pPr>
        <w:jc w:val="both"/>
        <w:ind w:firstLine="1304"/>
        <w:spacing w:after="0" w:line="218" w:lineRule="auto"/>
        <w:tabs>
          <w:tab w:leader="none" w:pos="1939"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Due Qualification and Good Standing.</w:t>
      </w:r>
      <w:r>
        <w:rPr>
          <w:rFonts w:ascii="Arial" w:cs="Arial" w:eastAsia="Arial" w:hAnsi="Arial"/>
          <w:sz w:val="22"/>
          <w:szCs w:val="22"/>
          <w:color w:val="auto"/>
        </w:rPr>
        <w:t xml:space="preserve"> It is (i) in good standing in the State of </w:t>
      </w:r>
      <w:r>
        <w:rPr>
          <w:rFonts w:ascii="Arial" w:cs="Arial" w:eastAsia="Arial" w:hAnsi="Arial"/>
          <w:sz w:val="19"/>
          <w:szCs w:val="19"/>
          <w:color w:val="auto"/>
        </w:rPr>
        <w:t>Delaware</w:t>
      </w:r>
      <w:r>
        <w:rPr>
          <w:rFonts w:ascii="Arial" w:cs="Arial" w:eastAsia="Arial" w:hAnsi="Arial"/>
          <w:sz w:val="22"/>
          <w:szCs w:val="22"/>
          <w:color w:val="auto"/>
        </w:rPr>
        <w:t xml:space="preserve"> and (ii) duly qualified to do business and, to the extent applicable, in good standing in each other jurisdiction in which the nature of its business, assets and properties, including the performance of its obligations under this Agreement, and its Constituent Documents, requires such qualification.</w:t>
      </w:r>
    </w:p>
    <w:p>
      <w:pPr>
        <w:spacing w:after="0" w:line="160" w:lineRule="exact"/>
        <w:rPr>
          <w:rFonts w:ascii="Arial" w:cs="Arial" w:eastAsia="Arial" w:hAnsi="Arial"/>
          <w:sz w:val="22"/>
          <w:szCs w:val="22"/>
          <w:color w:val="auto"/>
        </w:rPr>
      </w:pPr>
    </w:p>
    <w:p>
      <w:pPr>
        <w:jc w:val="both"/>
        <w:ind w:firstLine="1304"/>
        <w:spacing w:after="0" w:line="224" w:lineRule="auto"/>
        <w:tabs>
          <w:tab w:leader="none" w:pos="1932"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Due Authorization; Execution and Delivery; Legal, Valid and Binding; Enforceability</w:t>
      </w:r>
      <w:r>
        <w:rPr>
          <w:rFonts w:ascii="Arial" w:cs="Arial" w:eastAsia="Arial" w:hAnsi="Arial"/>
          <w:sz w:val="21"/>
          <w:szCs w:val="21"/>
          <w:color w:val="auto"/>
        </w:rPr>
        <w:t>. The execution and delivery by it of, and the performance of its obligations under, this Agreement are within its powers and have been duly authorized by all requisite action by it and have been duly executed and delivered by it and constitute its legal, valid and binding obligations enforceable against it in accordance with its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IV</w:t>
      </w:r>
    </w:p>
    <w:p>
      <w:pPr>
        <w:ind w:left="5140"/>
        <w:spacing w:after="0"/>
        <w:rPr>
          <w:sz w:val="20"/>
          <w:szCs w:val="20"/>
          <w:color w:val="auto"/>
        </w:rPr>
      </w:pPr>
      <w:r>
        <w:rPr>
          <w:rFonts w:ascii="Arial" w:cs="Arial" w:eastAsia="Arial" w:hAnsi="Arial"/>
          <w:sz w:val="22"/>
          <w:szCs w:val="22"/>
          <w:b w:val="1"/>
          <w:bCs w:val="1"/>
          <w:color w:val="auto"/>
        </w:rPr>
        <w:t>Covenants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Seller Covenants</w:t>
      </w:r>
      <w:r>
        <w:rPr>
          <w:rFonts w:ascii="Arial" w:cs="Arial" w:eastAsia="Arial" w:hAnsi="Arial"/>
          <w:sz w:val="19"/>
          <w:szCs w:val="19"/>
          <w:color w:val="auto"/>
        </w:rPr>
        <w:t>. The Seller hereby covenants and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44" w:name="page45"/>
    <w:bookmarkEnd w:id="44"/>
    <w:p>
      <w:pPr>
        <w:ind w:firstLine="1304"/>
        <w:spacing w:after="0" w:line="298" w:lineRule="auto"/>
        <w:tabs>
          <w:tab w:leader="none" w:pos="1941"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The Seller shall take all action necessary (including any such action that the Purchaser may reasonably request) to effect and maintain the Purchaser’s ownership interest in any and all Purchased Receivables.</w:t>
      </w:r>
    </w:p>
    <w:p>
      <w:pPr>
        <w:spacing w:after="0" w:line="105" w:lineRule="exact"/>
        <w:rPr>
          <w:rFonts w:ascii="Arial" w:cs="Arial" w:eastAsia="Arial" w:hAnsi="Arial"/>
          <w:sz w:val="19"/>
          <w:szCs w:val="19"/>
          <w:color w:val="auto"/>
        </w:rPr>
      </w:pPr>
    </w:p>
    <w:p>
      <w:pPr>
        <w:jc w:val="both"/>
        <w:ind w:firstLine="1304"/>
        <w:spacing w:after="0" w:line="268" w:lineRule="auto"/>
        <w:tabs>
          <w:tab w:leader="none" w:pos="193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 Transfer of Accounts Receivable.</w:t>
      </w:r>
      <w:r>
        <w:rPr>
          <w:rFonts w:ascii="Arial" w:cs="Arial" w:eastAsia="Arial" w:hAnsi="Arial"/>
          <w:sz w:val="19"/>
          <w:szCs w:val="19"/>
          <w:color w:val="auto"/>
        </w:rPr>
        <w:t xml:space="preserve"> The Seller shall not sell, assign or otherwise dispose of, or grant any option with respect to, any of the Purchased Receivables to a third party. The Seller shall defend the right, title and interest of the Purchaser in, to and under any and all of the Purchased Receivables against all claims of third parties.</w:t>
      </w:r>
    </w:p>
    <w:p>
      <w:pPr>
        <w:spacing w:after="0" w:line="132" w:lineRule="exact"/>
        <w:rPr>
          <w:rFonts w:ascii="Arial" w:cs="Arial" w:eastAsia="Arial" w:hAnsi="Arial"/>
          <w:sz w:val="19"/>
          <w:szCs w:val="19"/>
          <w:color w:val="auto"/>
        </w:rPr>
      </w:pPr>
    </w:p>
    <w:p>
      <w:pPr>
        <w:jc w:val="both"/>
        <w:ind w:firstLine="1304"/>
        <w:spacing w:after="0" w:line="216" w:lineRule="auto"/>
        <w:tabs>
          <w:tab w:leader="none" w:pos="1941" w:val="left"/>
        </w:tabs>
        <w:numPr>
          <w:ilvl w:val="0"/>
          <w:numId w:val="30"/>
        </w:numPr>
        <w:rPr>
          <w:rFonts w:ascii="Arial" w:cs="Arial" w:eastAsia="Arial" w:hAnsi="Arial"/>
          <w:sz w:val="22"/>
          <w:szCs w:val="22"/>
          <w:color w:val="auto"/>
        </w:rPr>
      </w:pPr>
      <w:r>
        <w:rPr>
          <w:rFonts w:ascii="Arial" w:cs="Arial" w:eastAsia="Arial" w:hAnsi="Arial"/>
          <w:sz w:val="22"/>
          <w:szCs w:val="22"/>
          <w:color w:val="auto"/>
        </w:rPr>
        <w:t>Name Change, Offices and Records. Until the date on which this Agreement terminates in accordance with its terms, in the event that the Seller changes its (i) jurisdiction of organization, (ii) name or (iii) type of organization, the Seller shall give the Purchaser written notice thereof within ten (10) Business Days after such occurrence and authorizes the Purchaser, to file all financing statements, instruments and other documents reasonably requested by the Purchaser in connection with such change or relocation</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b w:val="1"/>
          <w:bCs w:val="1"/>
          <w:u w:val="single" w:color="auto"/>
          <w:color w:val="auto"/>
        </w:rPr>
        <w:t>Return of Misapplied Payments</w:t>
      </w:r>
      <w:r>
        <w:rPr>
          <w:rFonts w:ascii="Arial" w:cs="Arial" w:eastAsia="Arial" w:hAnsi="Arial"/>
          <w:sz w:val="19"/>
          <w:szCs w:val="19"/>
          <w:color w:val="auto"/>
        </w:rPr>
        <w:t>. To the extent that any payment related to an Accounts Receivable of</w:t>
      </w:r>
      <w:r>
        <w:rPr>
          <w:rFonts w:ascii="Arial" w:cs="Arial" w:eastAsia="Arial" w:hAnsi="Arial"/>
          <w:sz w:val="19"/>
          <w:szCs w:val="19"/>
          <w:b w:val="1"/>
          <w:bCs w:val="1"/>
          <w:color w:val="auto"/>
        </w:rPr>
        <w:t xml:space="preserve"> </w:t>
      </w:r>
      <w:r>
        <w:rPr>
          <w:rFonts w:ascii="Arial" w:cs="Arial" w:eastAsia="Arial" w:hAnsi="Arial"/>
          <w:sz w:val="19"/>
          <w:szCs w:val="19"/>
          <w:color w:val="auto"/>
        </w:rPr>
        <w:t>Seller that is not a Purchased Accounts Receivable is received by the Purchaser, the Purchaser shall hold such payment in trust for the Seller and promptly turn over such amount to or at the direction of the Seller as promptly as practicable.</w:t>
      </w:r>
    </w:p>
    <w:p>
      <w:pPr>
        <w:spacing w:after="0" w:line="11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w:t>
      </w:r>
    </w:p>
    <w:p>
      <w:pPr>
        <w:ind w:left="4640"/>
        <w:spacing w:after="0"/>
        <w:rPr>
          <w:sz w:val="20"/>
          <w:szCs w:val="20"/>
          <w:color w:val="auto"/>
        </w:rPr>
      </w:pPr>
      <w:r>
        <w:rPr>
          <w:rFonts w:ascii="Arial" w:cs="Arial" w:eastAsia="Arial" w:hAnsi="Arial"/>
          <w:sz w:val="22"/>
          <w:szCs w:val="22"/>
          <w:b w:val="1"/>
          <w:bCs w:val="1"/>
          <w:color w:val="auto"/>
        </w:rPr>
        <w:t>Indemnity; Remedies</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Section 1.3 </w:t>
      </w:r>
      <w:r>
        <w:rPr>
          <w:rFonts w:ascii="Arial" w:cs="Arial" w:eastAsia="Arial" w:hAnsi="Arial"/>
          <w:sz w:val="19"/>
          <w:szCs w:val="19"/>
          <w:b w:val="1"/>
          <w:bCs w:val="1"/>
          <w:u w:val="single" w:color="auto"/>
          <w:color w:val="auto"/>
        </w:rPr>
        <w:t>Indemnification</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(i) the Seller and (ii) the Purchaser (in each case,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agrees to indemnify the Purchaser (in the case of the Seller acting as Indemnifying Party) or the Seller (in the case of the Purchaser acting as Indemnifying Party) and, in each case, their respective Affiliates, trustees, directors, officers, employees, agents and representatives (hereinafter referred to as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from and against any loss, liability, expense (including reasonable and documented out of pocket external attorneys’ fees and costs) or damage suffered or sustained by reason of third party claims which may be asserted against or incurred by the Indemnifying Party or any of the permitted assignees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as a result of breach of the Indemnified Party’s representations and warranties contained herein, and if Seller is the Indemnifying Party, any failure by the Seller to comply with its obligations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4.1</w:t>
      </w:r>
      <w:r>
        <w:rPr>
          <w:rFonts w:ascii="Arial" w:cs="Arial" w:eastAsia="Arial" w:hAnsi="Arial"/>
          <w:sz w:val="19"/>
          <w:szCs w:val="19"/>
          <w:color w:val="auto"/>
        </w:rPr>
        <w:t>. Notwithstanding the foregoing, such indemnity shall not be available to an Indemnified Party to the extent that such Losses (A) have resulted from the gross negligence, bad faith, fraud or willful misconduct of such Indemnified Party or (B) arise primarily due to the deterioration in the credit quality or market value of the Accounts Receivable or otherwise constituting credit recourse for the failure of a counterparty to the Accounts Receivable to pay any amount owing with respect to any Accounts Receivable; provided that if the failure to pay by a counterparty is caused by the Seller’s subsequent action with respect to advertising between the Seller and the counterparty, then this indemnity will be available to the Indemnified Party.</w:t>
      </w:r>
    </w:p>
    <w:p>
      <w:pPr>
        <w:spacing w:after="0" w:line="15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Section 1.4 </w:t>
      </w:r>
      <w:r>
        <w:rPr>
          <w:rFonts w:ascii="Arial" w:cs="Arial" w:eastAsia="Arial" w:hAnsi="Arial"/>
          <w:sz w:val="21"/>
          <w:szCs w:val="21"/>
          <w:b w:val="1"/>
          <w:bCs w:val="1"/>
          <w:u w:val="single" w:color="auto"/>
          <w:color w:val="auto"/>
        </w:rPr>
        <w:t>Notice of Claims</w:t>
      </w:r>
      <w:r>
        <w:rPr>
          <w:rFonts w:ascii="Arial" w:cs="Arial" w:eastAsia="Arial" w:hAnsi="Arial"/>
          <w:sz w:val="21"/>
          <w:szCs w:val="21"/>
          <w:color w:val="auto"/>
        </w:rPr>
        <w:t>. An Indemnified Party seeking indemnification under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V</w:t>
      </w:r>
      <w:r>
        <w:rPr>
          <w:rFonts w:ascii="Arial" w:cs="Arial" w:eastAsia="Arial" w:hAnsi="Arial"/>
          <w:sz w:val="21"/>
          <w:szCs w:val="21"/>
          <w:b w:val="1"/>
          <w:bCs w:val="1"/>
          <w:color w:val="auto"/>
        </w:rPr>
        <w:t xml:space="preserve"> </w:t>
      </w:r>
      <w:r>
        <w:rPr>
          <w:rFonts w:ascii="Arial" w:cs="Arial" w:eastAsia="Arial" w:hAnsi="Arial"/>
          <w:sz w:val="21"/>
          <w:szCs w:val="21"/>
          <w:color w:val="auto"/>
        </w:rPr>
        <w:t>shall give prompt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written notice to the Indemnifying Party of any claim for which it may seek indemnity. Knowledge by the Indemnified Party of any breach or non-compliance hereunder shall not constitute a waiver of the Indemnified Party’s rights and remedies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Indemnified Party has notified the Indemnifying Party of such breach or non-compliance in a timely manner or the failure to give such notice in a timely manner does not prejudice the Indemnifying Party. No express or implied waiver by the Indemnified Party of any default hereunder shall in any way be, or be construed to be, a waiver of any other default. The failure or delay of the Indemnified Party to exercise any of its rights granted hereunder regarding any default shall not constitute a waiver of such right as to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45" w:name="page46"/>
    <w:bookmarkEnd w:id="45"/>
    <w:p>
      <w:pPr>
        <w:jc w:val="both"/>
        <w:spacing w:after="0" w:line="232" w:lineRule="auto"/>
        <w:rPr>
          <w:sz w:val="20"/>
          <w:szCs w:val="20"/>
          <w:color w:val="auto"/>
        </w:rPr>
      </w:pPr>
      <w:r>
        <w:rPr>
          <w:rFonts w:ascii="Arial" w:cs="Arial" w:eastAsia="Arial" w:hAnsi="Arial"/>
          <w:sz w:val="22"/>
          <w:szCs w:val="22"/>
          <w:color w:val="auto"/>
        </w:rPr>
        <w:t>default and any single or partial exercise of any particular right granted the Indemnified Party hereunder shall not exhaust the same or constitute a waiver of any other right provided herein.</w:t>
      </w:r>
    </w:p>
    <w:p>
      <w:pPr>
        <w:spacing w:after="0" w:line="14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VI</w:t>
      </w:r>
    </w:p>
    <w:p>
      <w:pPr>
        <w:ind w:left="4980"/>
        <w:spacing w:after="0"/>
        <w:rPr>
          <w:sz w:val="20"/>
          <w:szCs w:val="20"/>
          <w:color w:val="auto"/>
        </w:rPr>
      </w:pPr>
      <w:r>
        <w:rPr>
          <w:rFonts w:ascii="Arial" w:cs="Arial" w:eastAsia="Arial" w:hAnsi="Arial"/>
          <w:sz w:val="22"/>
          <w:szCs w:val="22"/>
          <w:b w:val="1"/>
          <w:bCs w:val="1"/>
          <w:color w:val="auto"/>
        </w:rPr>
        <w:t>Miscellaneous</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auto"/>
        </w:rPr>
        <w:t xml:space="preserve">Section 1.5 </w:t>
      </w:r>
      <w:r>
        <w:rPr>
          <w:rFonts w:ascii="Arial" w:cs="Arial" w:eastAsia="Arial" w:hAnsi="Arial"/>
          <w:sz w:val="21"/>
          <w:szCs w:val="21"/>
          <w:b w:val="1"/>
          <w:bCs w:val="1"/>
          <w:u w:val="single" w:color="auto"/>
          <w:color w:val="auto"/>
        </w:rPr>
        <w:t>Amendment; Waiver</w:t>
      </w:r>
      <w:r>
        <w:rPr>
          <w:rFonts w:ascii="Arial" w:cs="Arial" w:eastAsia="Arial" w:hAnsi="Arial"/>
          <w:sz w:val="21"/>
          <w:szCs w:val="21"/>
          <w:color w:val="auto"/>
        </w:rPr>
        <w:t>. Except as otherwise expressly provided herein, the Parties may amend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from time to time, in a writing signed by duly authorized officers of each of the Parties. No waiver of any provision of this Agreement, nor consent to any departure by any Party shall in any event be effective unless the same shall be in writing and signed by a duly authorized officer of the Party to be charged with the waiver or consent, and then such waiver or consent shall be effective only in the specific instance and for the specific purpose for which given.</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Section 1.6 </w:t>
      </w:r>
      <w:r>
        <w:rPr>
          <w:rFonts w:ascii="Arial" w:cs="Arial" w:eastAsia="Arial" w:hAnsi="Arial"/>
          <w:sz w:val="22"/>
          <w:szCs w:val="22"/>
          <w:b w:val="1"/>
          <w:bCs w:val="1"/>
          <w:u w:val="single" w:color="auto"/>
          <w:color w:val="auto"/>
        </w:rPr>
        <w:t>Cumulative Rights</w:t>
      </w:r>
      <w:r>
        <w:rPr>
          <w:rFonts w:ascii="Arial" w:cs="Arial" w:eastAsia="Arial" w:hAnsi="Arial"/>
          <w:sz w:val="22"/>
          <w:szCs w:val="22"/>
          <w:color w:val="auto"/>
        </w:rPr>
        <w:t>. All rights and remedies of the Parties under this Agreement shall, except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provided herein, be cumulative and non- exclusive of any rights or remedies which they may have under any other agreement or instrument, by operation of law or otherwise.</w:t>
      </w:r>
    </w:p>
    <w:p>
      <w:pPr>
        <w:spacing w:after="0" w:line="15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 xml:space="preserve">Section 1.7 </w:t>
      </w:r>
      <w:r>
        <w:rPr>
          <w:rFonts w:ascii="Arial" w:cs="Arial" w:eastAsia="Arial" w:hAnsi="Arial"/>
          <w:sz w:val="21"/>
          <w:szCs w:val="21"/>
          <w:b w:val="1"/>
          <w:bCs w:val="1"/>
          <w:u w:val="single" w:color="auto"/>
          <w:color w:val="auto"/>
        </w:rPr>
        <w:t>Governing Law; Submission to Jurisdiction; Waiver of Jury Trial</w:t>
      </w:r>
      <w:r>
        <w:rPr>
          <w:rFonts w:ascii="Arial" w:cs="Arial" w:eastAsia="Arial" w:hAnsi="Arial"/>
          <w:sz w:val="21"/>
          <w:szCs w:val="21"/>
          <w:color w:val="auto"/>
        </w:rPr>
        <w:t>.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EXCLUSIVELY BY THE INTERNAL LAWS OF THE STATE OF DELAWARE, WITHOUT REGARD TO ITS CONFLICT OF LAW PROVISIONS, AND THE OBLIGATIONS, RIGHTS AND REMEDIES OF THE PARTIES HEREUNDER AND THEREUNDER SHALL BE DETERMINED IN ACCORDANCE WITH SUCH LAWS.</w:t>
      </w:r>
    </w:p>
    <w:p>
      <w:pPr>
        <w:spacing w:after="0" w:line="16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EACH PARTY EXPRESSLY AND IRREVOCABLY SUBMITS FOR ITSELF AND ITS PROPERTY TO THE NONEXCLUSIVE JURISDICTION OF THE UNITED STATES DISTRICT COURT OF DELAWARE AND OF ANY DELAWARE STATE COURT FOR PURPOSES OF ALL LEGAL PROCEEDINGS ARISING OUT OF OR RELATING TO THIS AGREEMENT OR THE TRANSACTIONS CONTEMPLATED HEREBY. EACH PARTY HEREBY IRREVOCABLY WAIVES, TO THE FULLEST EXTENT IT MAY EFFECTIVELY DO SO, ANY OBJECTION WHICH IT MAY NOW OR HEREAFTER HAVE TO THE LAYING OF THE VENUE OF ANY SUCH PROCEEDING BROUGHT IN SUCH A COURT AND ANY CLAIM THAT ANY SUCH PROCEEDING BROUGHT IN SUCH A COURT HAS BEEN BROUGHT IN AN INCONVENIENT FORUM.</w:t>
      </w:r>
    </w:p>
    <w:p>
      <w:pPr>
        <w:spacing w:after="0" w:line="16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EACH PARTY KNOWINGLY, VOLUNTARILY AND INTENTIONALLY, WAIVES (TO THE EXTENT THAT IT MAY LAWFULLY DO SO) ANY RIGHT TO HAVE A JURY PARTICIPATE IN RESOLVING ANY DISPUTE, WHETHER SOUNDING IN CONTRACT, TORT, OR OTHERWISE ARISING OUT OF, CONNECTED WITH, RELATED TO, OR IN CONNECTION WITH THIS AGREEMENT OR THE TRANSACTIONS CONTEMPLATED HEREBY. INSTEAD, ANY DISPUTE RESOLVED IN COURT SHALL BE RESOLVED IN A BENCH TRIAL WITHOUT A JURY.</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1.8 </w:t>
      </w:r>
      <w:r>
        <w:rPr>
          <w:rFonts w:ascii="Arial" w:cs="Arial" w:eastAsia="Arial" w:hAnsi="Arial"/>
          <w:sz w:val="19"/>
          <w:szCs w:val="19"/>
          <w:b w:val="1"/>
          <w:bCs w:val="1"/>
          <w:u w:val="single" w:color="auto"/>
          <w:color w:val="auto"/>
        </w:rPr>
        <w:t>Limitation of Liability</w:t>
      </w:r>
      <w:r>
        <w:rPr>
          <w:rFonts w:ascii="Arial" w:cs="Arial" w:eastAsia="Arial" w:hAnsi="Arial"/>
          <w:sz w:val="19"/>
          <w:szCs w:val="19"/>
          <w:color w:val="auto"/>
        </w:rPr>
        <w:t>. Except for the obligations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 above, in no event shall any</w:t>
      </w:r>
      <w:r>
        <w:rPr>
          <w:rFonts w:ascii="Arial" w:cs="Arial" w:eastAsia="Arial" w:hAnsi="Arial"/>
          <w:sz w:val="19"/>
          <w:szCs w:val="19"/>
          <w:b w:val="1"/>
          <w:bCs w:val="1"/>
          <w:color w:val="auto"/>
        </w:rPr>
        <w:t xml:space="preserve"> </w:t>
      </w:r>
      <w:r>
        <w:rPr>
          <w:rFonts w:ascii="Arial" w:cs="Arial" w:eastAsia="Arial" w:hAnsi="Arial"/>
          <w:sz w:val="19"/>
          <w:szCs w:val="19"/>
          <w:color w:val="auto"/>
        </w:rPr>
        <w:t>Party be liable to the other Party for any lost profits, costs of cover or other special, consequential, incidental or indirect damages, however caused, on any theory of liability except in the case of acts or omissions that constitute fraud or willful misconduct.</w:t>
      </w:r>
    </w:p>
    <w:p>
      <w:pPr>
        <w:spacing w:after="0" w:line="12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Section 1.9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Any provision of this Agreement that is prohibited or not fully 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will be ineffective only to the extent of such prohibition or unenforceability without otherwise invalidating or diminishing any Party’s rights hereunder or under the remaining provisions of this Agreement in such jurisdiction, and any such prohibition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46" w:name="page47"/>
    <w:bookmarkEnd w:id="46"/>
    <w:p>
      <w:pPr>
        <w:jc w:val="both"/>
        <w:spacing w:after="0" w:line="232" w:lineRule="auto"/>
        <w:rPr>
          <w:sz w:val="20"/>
          <w:szCs w:val="20"/>
          <w:color w:val="auto"/>
        </w:rPr>
      </w:pPr>
      <w:r>
        <w:rPr>
          <w:rFonts w:ascii="Arial" w:cs="Arial" w:eastAsia="Arial" w:hAnsi="Arial"/>
          <w:sz w:val="22"/>
          <w:szCs w:val="22"/>
          <w:color w:val="auto"/>
        </w:rPr>
        <w:t>or unenforceability in any jurisdiction shall not invalidate or render unenforceable in any respect any such provision in any other jurisdiction.</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Section 1.10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As of the date hereof, each of the Seller and the Purchaser hereby acknowledge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this Agreement, together with the exhibits hereto, represent the complete and entire agreement between the Parties, and shall supersede all prior written or oral statements, agreements or understandings between the Parties relating to the subject matter of this Agreement.</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Section 1.11 </w:t>
      </w:r>
      <w:r>
        <w:rPr>
          <w:rFonts w:ascii="Arial" w:cs="Arial" w:eastAsia="Arial" w:hAnsi="Arial"/>
          <w:sz w:val="19"/>
          <w:szCs w:val="19"/>
          <w:b w:val="1"/>
          <w:bCs w:val="1"/>
          <w:u w:val="single" w:color="auto"/>
          <w:color w:val="auto"/>
        </w:rPr>
        <w:t>Waiver of Defaults</w:t>
      </w:r>
      <w:r>
        <w:rPr>
          <w:rFonts w:ascii="Arial" w:cs="Arial" w:eastAsia="Arial" w:hAnsi="Arial"/>
          <w:sz w:val="19"/>
          <w:szCs w:val="19"/>
          <w:color w:val="auto"/>
        </w:rPr>
        <w:t>. Any default by the Seller in the performance of its obligations hereunder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consequences may be waived by the Purchaser. Upon any such waiver of a default, such default shall cease to exist, and any default arising therefrom shall be deemed to have been remedied for every purpose of this Agreement. No such waiver shall extend to any subsequent or other default or impair any right consequent thereon except to the extent expressly so waived.</w:t>
      </w:r>
    </w:p>
    <w:p>
      <w:pPr>
        <w:spacing w:after="0" w:line="13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 xml:space="preserve">Section 1.12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two or more counterparts (and by different parties on</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counterparts), each of which shall be an original, but all of which shall constitute one and the same instrument. Each of the Parties agrees that this Agreement may be electronically signed, that any digital or electronic signatures (including pdf, facsimile or electronically imaged signatures provided by DocuSign) appearing on this Agreement are the same as handwritten signatures for the purposes of validity, enforceability and admissibility, and that delivery of any such electronic signature to, or a signed copy of, this Agreement may be made by facsimile, email or other electronic transmission.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Section 1.13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This Agreement shall inure to the benefit of the respective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assigns of the Seller and the Purchaser and their respective successors and permitted assigns and the obligations and liabilities assumed in this Agreement by the Parties shall be binding upon their respective successors and permitted assigns. This Agreement shall not be assigned, pledged or hypothecated by any Party without the prior written consent of the other Party.</w:t>
      </w:r>
    </w:p>
    <w:p>
      <w:pPr>
        <w:spacing w:after="0" w:line="13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IV</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b w:val="1"/>
          <w:bCs w:val="1"/>
          <w:color w:val="auto"/>
        </w:rPr>
        <w:t xml:space="preserve"> </w:t>
      </w:r>
      <w:r>
        <w:rPr>
          <w:rFonts w:ascii="Arial" w:cs="Arial" w:eastAsia="Arial" w:hAnsi="Arial"/>
          <w:sz w:val="22"/>
          <w:szCs w:val="22"/>
          <w:color w:val="auto"/>
        </w:rPr>
        <w:t>and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VI</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the termination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of the commitment of the Seller or the commitment of the Purchaser hereunder.</w:t>
      </w:r>
    </w:p>
    <w:p>
      <w:pPr>
        <w:spacing w:after="0" w:line="159" w:lineRule="exact"/>
        <w:rPr>
          <w:sz w:val="20"/>
          <w:szCs w:val="20"/>
          <w:color w:val="auto"/>
        </w:rPr>
      </w:pPr>
    </w:p>
    <w:p>
      <w:pPr>
        <w:ind w:left="4760"/>
        <w:spacing w:after="0"/>
        <w:rPr>
          <w:sz w:val="20"/>
          <w:szCs w:val="20"/>
          <w:color w:val="auto"/>
        </w:rPr>
      </w:pPr>
      <w:r>
        <w:rPr>
          <w:rFonts w:ascii="Arial" w:cs="Arial" w:eastAsia="Arial" w:hAnsi="Arial"/>
          <w:sz w:val="22"/>
          <w:szCs w:val="22"/>
          <w:i w:val="1"/>
          <w:iCs w:val="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47" w:name="page48"/>
    <w:bookmarkEnd w:id="47"/>
    <w:p>
      <w:pPr>
        <w:ind w:firstLine="648"/>
        <w:spacing w:after="0" w:line="232" w:lineRule="auto"/>
        <w:rPr>
          <w:sz w:val="20"/>
          <w:szCs w:val="20"/>
          <w:color w:val="auto"/>
        </w:rPr>
      </w:pPr>
      <w:r>
        <w:rPr>
          <w:rFonts w:ascii="Arial" w:cs="Arial" w:eastAsia="Arial" w:hAnsi="Arial"/>
          <w:sz w:val="22"/>
          <w:szCs w:val="22"/>
          <w:color w:val="auto"/>
        </w:rPr>
        <w:t>IN WITNESS WHEREOF, the Parties have caused to be duly authorized, executed and delivered, as of the date first above written, this Receivables Purchase Agreement.</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Purchaser:</w:t>
      </w:r>
    </w:p>
    <w:p>
      <w:pPr>
        <w:ind w:left="5700"/>
        <w:spacing w:after="0"/>
        <w:rPr>
          <w:sz w:val="20"/>
          <w:szCs w:val="20"/>
          <w:color w:val="auto"/>
        </w:rPr>
      </w:pPr>
      <w:r>
        <w:rPr>
          <w:rFonts w:ascii="Arial" w:cs="Arial" w:eastAsia="Arial" w:hAnsi="Arial"/>
          <w:sz w:val="22"/>
          <w:szCs w:val="22"/>
          <w:b w:val="1"/>
          <w:bCs w:val="1"/>
          <w:color w:val="auto"/>
        </w:rPr>
        <w:t>National CineMedia, Inc,</w:t>
      </w:r>
    </w:p>
    <w:p>
      <w:pPr>
        <w:spacing w:after="0" w:line="200" w:lineRule="exact"/>
        <w:rPr>
          <w:sz w:val="20"/>
          <w:szCs w:val="20"/>
          <w:color w:val="auto"/>
        </w:rPr>
      </w:pP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-5715</wp:posOffset>
            </wp:positionV>
            <wp:extent cx="274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5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w:t>
      </w:r>
    </w:p>
    <w:p>
      <w:pPr>
        <w:spacing w:after="0" w:line="237"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auto"/>
        </w:rPr>
        <w:t>Seller:</w:t>
      </w:r>
    </w:p>
    <w:p>
      <w:pPr>
        <w:ind w:left="5700"/>
        <w:spacing w:after="0" w:line="204" w:lineRule="auto"/>
        <w:rPr>
          <w:sz w:val="20"/>
          <w:szCs w:val="20"/>
          <w:color w:val="auto"/>
        </w:rPr>
      </w:pPr>
      <w:r>
        <w:rPr>
          <w:rFonts w:ascii="Arial" w:cs="Arial" w:eastAsia="Arial" w:hAnsi="Arial"/>
          <w:sz w:val="22"/>
          <w:szCs w:val="22"/>
          <w:b w:val="1"/>
          <w:bCs w:val="1"/>
          <w:color w:val="auto"/>
        </w:rPr>
        <w:t>National CineMedia, LLC,</w:t>
      </w:r>
    </w:p>
    <w:p>
      <w:pPr>
        <w:ind w:left="5700"/>
        <w:spacing w:after="0" w:line="205" w:lineRule="auto"/>
        <w:rPr>
          <w:sz w:val="20"/>
          <w:szCs w:val="20"/>
          <w:color w:val="auto"/>
        </w:rPr>
      </w:pPr>
      <w:r>
        <w:rPr>
          <w:rFonts w:ascii="Arial" w:cs="Arial" w:eastAsia="Arial" w:hAnsi="Arial"/>
          <w:sz w:val="22"/>
          <w:szCs w:val="22"/>
          <w:color w:val="auto"/>
        </w:rPr>
        <w:t>By: National CineMedia, Inc.,</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as Manager</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-5715</wp:posOffset>
            </wp:positionV>
            <wp:extent cx="274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586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 DEFINITIONS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All terms defined in this Appendix shall have the defined meanings when used in this Agreement, unless otherwise defined therein.</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specified Person, a Person that directly, or indirectly through one or more intermediaries, Controls, or is Controlled by, or is under common Control with, such specified Person.</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all federal, state and local laws, statutes, rules, regulations and orders (in the applicable jurisdiction) applicable to the Seller, the Purchaser or any Accounts Receivable (including the execution, underwriting, origination, servicing, ownership, holding, acquisition, and sale of such Accounts Receivable), and all requirements of any Regulatory Authority having jurisdiction over any of the foregoing.</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Constituent Documents</w:t>
      </w:r>
      <w:r>
        <w:rPr>
          <w:rFonts w:ascii="Arial" w:cs="Arial" w:eastAsia="Arial" w:hAnsi="Arial"/>
          <w:sz w:val="19"/>
          <w:szCs w:val="19"/>
          <w:color w:val="auto"/>
        </w:rPr>
        <w:t>” means in respect of any Person, the trust agreement, the limited liability company agreement, operating agreement, partnership agreement, joint venture agreement or other applicable agreement of formation or organization (or equivalent or comparable constituent documents) and other organizational documents and by-laws and any certificate of trust, certificate of incorporation, certificate or articles of formation or organization, certificate of limited partnership and other agreement, similar instrument filed or made in connection with its formation or organization.</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direct possession of more than 50% of both the direct voting and beneficial interests of such Person, and the terms “Controlling” and “Controlled” have meanings correlative to the foregoing.</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municipal, national, or foreign or government or other governmental authority, department, court, commission, board, bureau, agency or instrumentality or political subdivision thereof, including any agency related thereto, or any entity exercising executive, legislative or judicial, regulatory or administrative functions of or pertaining to any government or any court, arbitrator, or similar authority.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shall mean either the Seller or the Purchaser, and “Parties” shall mean the Seller and the Purchaser collectively.</w:t>
      </w:r>
    </w:p>
    <w:p>
      <w:pPr>
        <w:spacing w:after="0" w:line="21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association, limited liability company, joint-stock company, trust, unincorporated organization or other entity, including any government agency, commission, board, department, bureau or instrumentality.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suit in equity, action at law or other judicial, arbitral or administrative proceeding or formal investigation (excluding any routine actions or examinations on the part of a Governmental Authority).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has, with reference to any asset or property, the meaning assigned to it under the UCC and, in any event, shall include, but not be limited to, any and all amounts from time to time paid or payable under or in connection with such asset or property.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Date</w:t>
      </w:r>
      <w:r>
        <w:rPr>
          <w:rFonts w:ascii="Arial" w:cs="Arial" w:eastAsia="Arial" w:hAnsi="Arial"/>
          <w:sz w:val="21"/>
          <w:szCs w:val="21"/>
          <w:color w:val="auto"/>
        </w:rPr>
        <w:t>” shall mean each date on which Accounts Receivables are purchased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Exh. A-1</w:t>
      </w: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395" w:right="339" w:bottom="1440" w:gutter="0" w:footer="0" w:header="0"/>
        </w:sectPr>
      </w:pPr>
    </w:p>
    <w:bookmarkStart w:id="49" w:name="page50"/>
    <w:bookmarkEnd w:id="49"/>
    <w:p>
      <w:pPr>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shall mean the Uniform Commercial Code (or similar or equivalent legislation) as in effect from time to time in the applicable jurisdiction.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shall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01" w:right="339" w:bottom="1440" w:gutter="0" w:footer="0" w:header="0"/>
        </w:sectPr>
      </w:pPr>
    </w:p>
    <w:bookmarkStart w:id="50" w:name="page51"/>
    <w:bookmarkEnd w:id="50"/>
    <w:p>
      <w:pPr>
        <w:jc w:val="center"/>
        <w:ind w:left="640"/>
        <w:spacing w:after="0"/>
        <w:rPr>
          <w:sz w:val="20"/>
          <w:szCs w:val="20"/>
          <w:color w:val="auto"/>
        </w:rPr>
      </w:pPr>
      <w:r>
        <w:rPr>
          <w:rFonts w:ascii="Arial" w:cs="Arial" w:eastAsia="Arial" w:hAnsi="Arial"/>
          <w:sz w:val="22"/>
          <w:szCs w:val="22"/>
          <w:b w:val="1"/>
          <w:bCs w:val="1"/>
          <w:color w:val="auto"/>
        </w:rPr>
        <w:t>APPENDIX B</w:t>
      </w:r>
    </w:p>
    <w:p>
      <w:pPr>
        <w:spacing w:after="0" w:line="17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Accounts Receivable to be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0139"/>
          </w:cols>
          <w:pgMar w:left="320" w:top="1395"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4200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F. Lesinski</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 and Director</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Ronnie Y. Ng, certify that:</w:t>
      </w:r>
    </w:p>
    <w:p>
      <w:pPr>
        <w:spacing w:after="0" w:line="171" w:lineRule="exact"/>
        <w:rPr>
          <w:sz w:val="20"/>
          <w:szCs w:val="20"/>
          <w:color w:val="auto"/>
        </w:rPr>
      </w:pPr>
    </w:p>
    <w:p>
      <w:pPr>
        <w:ind w:left="680" w:hanging="186"/>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4200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Ronnie Y. Ng</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September 29, 2022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31750</wp:posOffset>
            </wp:positionV>
            <wp:extent cx="4380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Thomas F. Lesinski</w:t>
      </w:r>
    </w:p>
    <w:p>
      <w:pPr>
        <w:spacing w:after="0" w:line="3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Executive Officer and Director</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Executive Officer)</w:t>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September 29, 2022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31750</wp:posOffset>
            </wp:positionV>
            <wp:extent cx="4380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Ronnie Y. Ng</w:t>
      </w:r>
    </w:p>
    <w:p>
      <w:pPr>
        <w:spacing w:after="0" w:line="3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lvl w:ilvl="1">
      <w:lvlJc w:val="left"/>
      <w:lvlText w:val="(%2)"/>
      <w:numFmt w:val="decimal"/>
      <w:start w:val="1"/>
    </w:lvl>
  </w:abstractNum>
  <w:abstractNum w:abstractNumId="10">
    <w:nsid w:val="2443A858"/>
    <w:multiLevelType w:val="hybridMultilevel"/>
    <w:lvl w:ilvl="0">
      <w:lvlJc w:val="left"/>
      <w:lvlText w:val="%1."/>
      <w:numFmt w:val="decimal"/>
      <w:start w:val="10"/>
    </w:lvl>
    <w:lvl w:ilvl="1">
      <w:lvlJc w:val="left"/>
      <w:lvlText w:val="%2"/>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lvl w:ilvl="1">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4"/>
    </w:lvl>
  </w:abstractNum>
  <w:abstractNum w:abstractNumId="24">
    <w:nsid w:val="3A95F874"/>
    <w:multiLevelType w:val="hybridMultilevel"/>
    <w:lvl w:ilvl="0">
      <w:lvlJc w:val="left"/>
      <w:lvlText w:val="(%1)"/>
      <w:numFmt w:val="lowerLetter"/>
      <w:start w:val="6"/>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lowerLetter"/>
      <w:start w:val="5"/>
    </w:lvl>
  </w:abstractNum>
  <w:abstractNum w:abstractNumId="28">
    <w:nsid w:val="737B8DDC"/>
    <w:multiLevelType w:val="hybridMultilevel"/>
    <w:lvl w:ilvl="0">
      <w:lvlJc w:val="left"/>
      <w:lvlText w:val="(%1)"/>
      <w:numFmt w:val="lowerLetter"/>
      <w:start w:val="7"/>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1" Type="http://schemas.openxmlformats.org/officeDocument/2006/relationships/hyperlink" Target="http://www.sec.gov/Archives/edgar/data/1377630/000137763022000119/arncmceoemploy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2022-11-07T15:42:48Z</dcterms:created>
  <dcterms:modified xsi:type="dcterms:W3CDTF">2022-11-07T15:42:48Z</dcterms:modified>
</cp:coreProperties>
</file>