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28,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NATIONAL CINEMEDIA,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3060"/>
        <w:spacing w:after="0" w:line="207" w:lineRule="exact"/>
        <w:tabs>
          <w:tab w:leader="none" w:pos="5020" w:val="left"/>
          <w:tab w:leader="none" w:pos="6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August 8, 2007, 42,000,000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30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00" w:type="dxa"/>
            <w:vAlign w:val="bottom"/>
            <w:gridSpan w:val="16"/>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30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9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56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30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Unaudited Pro Forma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30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4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5"/>
          </w:tcPr>
          <w:p>
            <w:pPr>
              <w:spacing w:after="0"/>
              <w:rPr>
                <w:sz w:val="24"/>
                <w:szCs w:val="24"/>
                <w:color w:val="auto"/>
              </w:rPr>
            </w:pPr>
          </w:p>
        </w:tc>
        <w:tc>
          <w:tcPr>
            <w:tcW w:w="61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30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90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30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60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Submission of Matters to a Vote of Security Holders</w:t>
              </w:r>
            </w:hyperlink>
          </w:p>
        </w:tc>
        <w:tc>
          <w:tcPr>
            <w:tcW w:w="66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30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90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Signatures</w:t>
              </w:r>
            </w:hyperlink>
          </w:p>
        </w:tc>
        <w:tc>
          <w:tcPr>
            <w:tcW w:w="6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15"/>
          </w:tcPr>
          <w:p>
            <w:pPr>
              <w:ind w:left="4720"/>
              <w:spacing w:after="0"/>
              <w:rPr>
                <w:sz w:val="20"/>
                <w:szCs w:val="20"/>
                <w:color w:val="auto"/>
              </w:rPr>
            </w:pPr>
            <w:r>
              <w:rPr>
                <w:rFonts w:ascii="Arial" w:cs="Arial" w:eastAsia="Arial" w:hAnsi="Arial"/>
                <w:sz w:val="18"/>
                <w:szCs w:val="18"/>
                <w:color w:val="auto"/>
              </w:rPr>
              <w:t>- 1 -</w:t>
            </w: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28,</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$14.9 million in 2007 and $12.7 million in 2006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Debt issuance costs,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Interest rate swap agreements and other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non-consolidated affiliate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345.1</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founding members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option plan payable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 to founding members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1,004.9</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STOCKHOLDERS’ EQUITY/(DEFICIT):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$0.01 par value; 120,000,000 shares authorized, 42,000,000 issued and outstanding at June 28, 2007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1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Distributions in excess of additional paid in capital</w:t>
            </w:r>
          </w:p>
        </w:tc>
        <w:tc>
          <w:tcPr>
            <w:tcW w:w="10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(572.2)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stockholders equity/(deficit)</w:t>
            </w:r>
          </w:p>
        </w:tc>
        <w:tc>
          <w:tcPr>
            <w:tcW w:w="100" w:type="dxa"/>
            <w:vAlign w:val="bottom"/>
          </w:tcPr>
          <w:p>
            <w:pPr>
              <w:spacing w:after="0"/>
              <w:rPr>
                <w:sz w:val="20"/>
                <w:szCs w:val="20"/>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(559.2)</w:t>
            </w:r>
          </w:p>
        </w:tc>
        <w:tc>
          <w:tcPr>
            <w:tcW w:w="1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445.7</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8"/>
              </w:rPr>
              <w:t>Period February 13,</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Period December 29,</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5"/>
              </w:rPr>
              <w:t>June 28,</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June 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Advertising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105.8</w:t>
            </w:r>
          </w:p>
        </w:tc>
        <w:tc>
          <w:tcPr>
            <w:tcW w:w="460" w:type="dxa"/>
            <w:vAlign w:val="bottom"/>
            <w:tcBorders>
              <w:right w:val="single" w:sz="8" w:color="auto"/>
            </w:tcBorders>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Administrative fees—founding members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Meetings and events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w:t>
            </w:r>
          </w:p>
        </w:tc>
        <w:tc>
          <w:tcPr>
            <w:tcW w:w="4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Advertising operating costs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Meetings and events operating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Theatre access fees/circuit share costs—founding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members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6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Selling and marketing costs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Administrative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Severance plan costs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Other costs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4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color w:val="auto"/>
              </w:rPr>
              <w:t>INCOME (LOSS) BEFORE INCOME TAXES AND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4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MINORITY INTEREST,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42,000,000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42,000,000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42,143,091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42,132,782</w:t>
            </w:r>
          </w:p>
        </w:tc>
        <w:tc>
          <w:tcPr>
            <w:tcW w:w="4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Period February 13,</w:t>
            </w:r>
          </w:p>
        </w:tc>
        <w:tc>
          <w:tcPr>
            <w:tcW w:w="58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Period December 29,</w:t>
            </w:r>
          </w:p>
        </w:tc>
        <w:tc>
          <w:tcPr>
            <w:tcW w:w="3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June 28,</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February 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June 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2007</w:t>
            </w: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720" w:type="dxa"/>
            <w:vAlign w:val="bottom"/>
            <w:tcBorders>
              <w:right w:val="single" w:sz="8" w:color="auto"/>
            </w:tcBorders>
          </w:tcPr>
          <w:p>
            <w:pPr>
              <w:spacing w:after="0"/>
              <w:rPr>
                <w:sz w:val="18"/>
                <w:szCs w:val="18"/>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 operating activities: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Arial" w:cs="Arial" w:eastAsia="Arial" w:hAnsi="Arial"/>
                <w:sz w:val="18"/>
                <w:szCs w:val="18"/>
                <w:color w:val="auto"/>
              </w:rPr>
              <w:t>Non-cash severance plan and share-based compensation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Accretion of income taxes payable to founding members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Arial" w:cs="Arial" w:eastAsia="Arial" w:hAnsi="Arial"/>
                <w:sz w:val="18"/>
                <w:szCs w:val="18"/>
                <w:color w:val="auto"/>
              </w:rPr>
              <w:t>Debt issuance costs and loss on repayment of debt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(Increase) decrease in receivables—net</w:t>
            </w:r>
          </w:p>
        </w:tc>
        <w:tc>
          <w:tcPr>
            <w:tcW w:w="16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(19.4)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accounts payable and 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(Decrease) increase in amounts due to founding members</w:t>
            </w:r>
          </w:p>
        </w:tc>
        <w:tc>
          <w:tcPr>
            <w:tcW w:w="16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(50.5)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severance plan costs</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Increase in income taxes and other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7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Increase in investment in non-consolidated affiliate</w:t>
            </w:r>
          </w:p>
        </w:tc>
        <w:tc>
          <w:tcPr>
            <w:tcW w:w="16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common stock</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Payment of offering costs and fees</w:t>
            </w:r>
          </w:p>
        </w:tc>
        <w:tc>
          <w:tcPr>
            <w:tcW w:w="16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(52.7)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of short-term borrowings from founding members</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Repayments of short-term borrowings to founding members</w:t>
            </w:r>
          </w:p>
        </w:tc>
        <w:tc>
          <w:tcPr>
            <w:tcW w:w="16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Repayments of borrowings</w:t>
            </w:r>
          </w:p>
        </w:tc>
        <w:tc>
          <w:tcPr>
            <w:tcW w:w="16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(60.0)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Proceeds from founding member contributions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to founding members</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(1,539.8)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7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2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720" w:type="dxa"/>
            <w:vAlign w:val="bottom"/>
            <w:tcBorders>
              <w:right w:val="single" w:sz="8" w:color="auto"/>
            </w:tcBorders>
          </w:tcPr>
          <w:p>
            <w:pPr>
              <w:spacing w:after="0"/>
              <w:rPr>
                <w:sz w:val="19"/>
                <w:szCs w:val="19"/>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9"/>
                <w:szCs w:val="19"/>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4"/>
          </w:tcPr>
          <w:p>
            <w:pPr>
              <w:spacing w:after="0"/>
              <w:rPr>
                <w:sz w:val="20"/>
                <w:szCs w:val="20"/>
                <w:color w:val="auto"/>
              </w:rPr>
            </w:pPr>
            <w:r>
              <w:rPr>
                <w:rFonts w:ascii="Arial" w:cs="Arial" w:eastAsia="Arial" w:hAnsi="Arial"/>
                <w:sz w:val="14"/>
                <w:szCs w:val="14"/>
                <w:b w:val="1"/>
                <w:bCs w:val="1"/>
                <w:color w:val="auto"/>
              </w:rPr>
              <w:t>Period February 13,</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Period December 29,</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0"/>
              </w:rPr>
              <w:t>Quarter</w:t>
            </w:r>
          </w:p>
        </w:tc>
      </w:tr>
      <w:tr>
        <w:trPr>
          <w:trHeight w:val="149"/>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140" w:type="dxa"/>
            <w:vAlign w:val="bottom"/>
          </w:tcPr>
          <w:p>
            <w:pPr>
              <w:spacing w:after="0"/>
              <w:rPr>
                <w:sz w:val="12"/>
                <w:szCs w:val="12"/>
                <w:color w:val="auto"/>
              </w:rPr>
            </w:pPr>
          </w:p>
        </w:tc>
        <w:tc>
          <w:tcPr>
            <w:tcW w:w="1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2006 through</w:t>
            </w:r>
          </w:p>
        </w:tc>
        <w:tc>
          <w:tcPr>
            <w:tcW w:w="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49"/>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June 28,</w:t>
            </w:r>
          </w:p>
        </w:tc>
        <w:tc>
          <w:tcPr>
            <w:tcW w:w="140" w:type="dxa"/>
            <w:vAlign w:val="bottom"/>
          </w:tcPr>
          <w:p>
            <w:pPr>
              <w:spacing w:after="0"/>
              <w:rPr>
                <w:sz w:val="12"/>
                <w:szCs w:val="12"/>
                <w:color w:val="auto"/>
              </w:rPr>
            </w:pPr>
          </w:p>
        </w:tc>
        <w:tc>
          <w:tcPr>
            <w:tcW w:w="1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June 29,</w:t>
            </w:r>
          </w:p>
        </w:tc>
      </w:tr>
      <w:tr>
        <w:trPr>
          <w:trHeight w:val="175"/>
        </w:trPr>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2007</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2007</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2006</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property and equipment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8"/>
        </w:trPr>
        <w:tc>
          <w:tcPr>
            <w:tcW w:w="6560" w:type="dxa"/>
            <w:vAlign w:val="bottom"/>
          </w:tcPr>
          <w:p>
            <w:pPr>
              <w:ind w:left="440"/>
              <w:spacing w:after="0"/>
              <w:rPr>
                <w:sz w:val="20"/>
                <w:szCs w:val="20"/>
                <w:color w:val="auto"/>
              </w:rPr>
            </w:pPr>
            <w:r>
              <w:rPr>
                <w:rFonts w:ascii="Arial" w:cs="Arial" w:eastAsia="Arial" w:hAnsi="Arial"/>
                <w:sz w:val="18"/>
                <w:szCs w:val="18"/>
                <w:color w:val="auto"/>
                <w:w w:val="94"/>
              </w:rPr>
              <w:t>Liability and equity recorded upon recognition of deferred tax assets and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2"/>
        </w:trPr>
        <w:tc>
          <w:tcPr>
            <w:tcW w:w="6560" w:type="dxa"/>
            <w:vAlign w:val="bottom"/>
          </w:tcPr>
          <w:p>
            <w:pPr>
              <w:jc w:val="center"/>
              <w:ind w:right="2892"/>
              <w:spacing w:after="0"/>
              <w:rPr>
                <w:sz w:val="20"/>
                <w:szCs w:val="20"/>
                <w:color w:val="auto"/>
              </w:rPr>
            </w:pPr>
            <w:r>
              <w:rPr>
                <w:rFonts w:ascii="Arial" w:cs="Arial" w:eastAsia="Arial" w:hAnsi="Arial"/>
                <w:sz w:val="18"/>
                <w:szCs w:val="18"/>
                <w:color w:val="auto"/>
                <w:w w:val="87"/>
              </w:rPr>
              <w:t>related to IPO-date transactions: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8"/>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 to founding members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jc w:val="center"/>
              <w:ind w:right="2892"/>
              <w:spacing w:after="0"/>
              <w:rPr>
                <w:sz w:val="20"/>
                <w:szCs w:val="20"/>
                <w:color w:val="auto"/>
              </w:rPr>
            </w:pPr>
            <w:r>
              <w:rPr>
                <w:rFonts w:ascii="Arial" w:cs="Arial" w:eastAsia="Arial" w:hAnsi="Arial"/>
                <w:sz w:val="18"/>
                <w:szCs w:val="18"/>
                <w:color w:val="auto"/>
                <w:w w:val="92"/>
              </w:rPr>
              <w:t>Additional paid-in-capital</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119.3</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offering costs reclassified to equity</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jc w:val="center"/>
              <w:ind w:right="2912"/>
              <w:spacing w:after="0"/>
              <w:rPr>
                <w:sz w:val="20"/>
                <w:szCs w:val="20"/>
                <w:color w:val="auto"/>
              </w:rPr>
            </w:pPr>
            <w:r>
              <w:rPr>
                <w:rFonts w:ascii="Arial" w:cs="Arial" w:eastAsia="Arial" w:hAnsi="Arial"/>
                <w:sz w:val="18"/>
                <w:szCs w:val="18"/>
                <w:color w:val="auto"/>
                <w:w w:val="90"/>
              </w:rPr>
              <w:t>Supplemental disclosure of cash flow information: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96"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National CineMedia, Inc. (“NCM, Inc.”) was incorporated in the state of Delaware on October 5, 2006 as a holding company with the sole purpose of becoming a member and sole manager of National CineMedia, LLC (“NCM LLC”). NCM LLC commenced operations on April 1, 2005 and operates the largest digital in-theatre network in North America that allows NCM to distribute advertising, business meeting, and Fathom and other event services under long-term exhibitor services agreements (“ESAs”) with American Multi-Cinema, Inc. (“AMC”), a wholly owned subsidiary of AMC Entertainment, Inc. (“AMCE”), Regal Cinemas , Inc. (“RCM”), a wholly owned subsidiary of Regal Entertainment Group (“Regal”), and Cinemark USA, Inc. (“Cinemark”). AMC, RCM and Cinemark are referred to in this document as “founding members”. NCM LLC also provides such services to certain third-party theater circuits under Network Affiliate Agreements which expire at various dates.</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AND RELATED TRANSACTIONS</w:t>
      </w:r>
    </w:p>
    <w:p>
      <w:pPr>
        <w:spacing w:after="0" w:line="96"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13, 2007, NCM, Inc. closed its initial public offering (“IPO”) of 42,000,000 shares of common stock at a price to the public of $21.00 per share. NCM, Inc. received net proceeds of approximately $824.6 million, after deducting underwriting discounts and commissions and offering expenses of approximately $57.4 million. After various transactions completed in connection with the IPO, the public stockholders, through NCM, Inc., obtained a 44.8% interest in NCM LLC. As the managing member of NCM LLC, NCM, Inc. consolidates the operations of NCM LLC. The terms “NCM”, “the Company” or “we” shall be deemed to include the consolidated entity when used in discussions included herein regarding the current operations or assets of the entities.</w:t>
      </w:r>
    </w:p>
    <w:p>
      <w:pPr>
        <w:spacing w:after="0" w:line="63" w:lineRule="exact"/>
        <w:rPr>
          <w:rFonts w:ascii="Arial" w:cs="Arial" w:eastAsia="Arial" w:hAnsi="Arial"/>
          <w:sz w:val="18"/>
          <w:szCs w:val="18"/>
          <w:b w:val="1"/>
          <w:bCs w:val="1"/>
          <w:color w:val="auto"/>
        </w:rPr>
      </w:pPr>
    </w:p>
    <w:p>
      <w:pPr>
        <w:ind w:left="460" w:right="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NCM, Inc. used the net proceeds from the IPO to purchase a 44.8% interest in NCM LLC, paying NCM LLC $746.1 million, which included reimbursement to NCM LLC for expenses it advanced related to the IPO and paying the founding members $78.5 million for a portion of the NCM LLC units owned by them. NCM LLC paid $686.3 million of the funds received from NCM, Inc. to the founding members to modify the then-existing exhibitor services agreements. The remaining proceeds received by NCM LLC from NCM, Inc. of $59.8 million, together with the $709.8 million net proceeds from NCM LLC’s new senior secured credit facility, were used to redeem $769.5 million in NCM LLC preferred units held by the founding members. The preferred units were created immediately prior to the IPO in a non-cash recapitalization of each membership unit into one common unit and one preferred unit. Immediately prior to this non-cash recapitalization, the existing common units and employee unit options were split on a 44,291-to-1 basis. All unit and per unit amounts in these financial statements reflect the impact of this split. At June 28, 2007, NCM LLC had 93,850,951 membership units outstanding, of which 42,000,000 (44.8%) were owned by NCM, Inc., 21,230,712 (22.6%) were owned by RCM, 17,474,890 (18.6%) were owned by AMC, and 13,145,349 (14.0%) were owned by Cinemark.</w:t>
      </w:r>
    </w:p>
    <w:p>
      <w:pPr>
        <w:spacing w:after="0" w:line="4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Under the amended and restated ESAs with the founding members, subject to limited exceptions, NCM LLC is the exclusive provider of advertising services to the founding members for a 30-year term (with a five-year right of first refusal at the end of the term) and meetings and event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IPO, NCM LLC paid to the founding members a percentage of NCM LLC’s advertising revenue as advertising circuit share. Upon the completion of the IPO, the founding members assigned to NCM LLC all “legacy contracts”, which are generally contracts for advertising sold by the founding members prior to the formation of NCM LLC but which were unfulfilled at the date of formation. In addition, the founding members made additional time available for sale by NCM LLC, subject to a first right to purchase the time, if needed, by the founding members to fulfill advertising obligations with their in-theatre beverage concessionaries. NCM, Inc. also entered into employment agreements with five executive officers to carry out obligations entered into pursuant to a management services agreement between NCM, Inc. and NCM LLC.</w:t>
      </w:r>
    </w:p>
    <w:p>
      <w:pPr>
        <w:spacing w:after="0" w:line="242"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December 28, 2006 consolidated balance sheet information is derived from the audited financial statements of NCM, Inc. and NCM LLC included in our annual report on Form 10-K for the fiscal year ended December 28, 2006 filed with the Securities and Exchange Commission on March 28, 2007. (At December 28, 2006, NCM, Inc. had been formed but was not capitalized; therefore, its balance sheet at that date is not presented herein.) The unaudited condensed consolidated financial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statements contained herein should be read in conjunction with the audited consolidated financial statements and notes thereto. The results of operations for the period ended June 28, 2007 are presented in two periods, reflecting operations prior to and subsequent to the IPO. The period from December 29, 2006 through February 12, 2007 is referred to as the “2007 pre-IPO period”. The period from February 13, 2007 through June 28, 2007 is referred to as the “2007 post-IPO period”. Separate periods have been presented because there were significant changes due to the ESA modifications and related expenses thereunder, and significant changes to revenue arrangements and contracts with the founding members.</w:t>
      </w:r>
    </w:p>
    <w:p>
      <w:pPr>
        <w:spacing w:after="0" w:line="35"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financial statements for both the 2007 pre-IPO period and 2007 post-IPO period give effect to allocations of revenues and expenses made using relative percentages of founding member attendance or days in each period, discrete events and other methods management considered to be a reasonable reflection of the results for such periods. The historical financial data of NCM LLC may not be indicative of the Company’s future performance nor will such data reflect what its financial position and results of operations would have been had it operated as an independent publicly traded company during the periods presented. In addition, as a result of the various related-party agreements discussed in Note 8, the operating results as presented are not necessarily indicative of the results that would have occurred if all agreements were with non-related third parties.</w:t>
      </w:r>
    </w:p>
    <w:p>
      <w:pPr>
        <w:spacing w:after="0" w:line="3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Company has prepared the unaudited condensed consolidated balance sheet as of June 28, 2007 and the unaudited condensed consolidated statements of operations and cash flows for the quarter and six-month periods ended June 29, 2006, and the period December 29, 2006 through February 12, 2007 and the quarter ended June 28, 2007 and the period February 13, 2007 through June 28, 2007 in accordance with accounting principles generally accepted in the United States of America for interim financial information and the rules and regulations of the Securities and Exchange Commission. Accordingly, certain information and footnote disclosures typically included in an annual report have been condensed or omitted for this quarterly report. In the opinion of management, all adjustments (which include only normal recurring adjustments) necessary to present fairly in all material respects the financial position, results of operations and cash flows for all periods presented have been made.</w:t>
      </w:r>
    </w:p>
    <w:p>
      <w:pPr>
        <w:spacing w:after="0" w:line="37"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balance sheet of NCM LLC at December 28, 2006 reflects the carryover basis of the founding members in the assets contributed by RCM and AMC. At formation, and through the date of the IPO, NCM LLC was a joint venture. As stated in Emerging Issues Task Force (“EITF”) Issue 94-8 concerning the formation of a joint venture, “...it is developed practice to record the contributed businesses at predecessor basis.”</w:t>
      </w:r>
    </w:p>
    <w:p>
      <w:pPr>
        <w:spacing w:after="0" w:line="26"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The founding members received all of the proceeds from the IPO and the related issuance of debt, except for amounts needed to pay out-of-pocket costs of the financings, and $10.0 million to repay outstanding amounts under NCM LLC’s then-existing revolving line of credit agreement. In conformity with accounting guidance of the Securities and Exchange Commission concerning monetary consideration paid to promoters, such as the founding members, in exchange for property conveyed by the promoters, the excess over predecessor cost is treated as a special distribution. Because the founding members had no cost basis in the ESAs, all payments to the founding members with the proceeds of the IPO and related debt, amounting to approximately $1.456 billion, have been accounted for as distributions, except for the payments to liquidate accounts payable to the founding members arising from the ESAs. The distributions by NCM LLC to the founding members made at the date of the IPO resulted in a consolidated stockholders’ deficit. As a minority interest cannot be shown as an asset, the founding members’ interest in NCM LLC’s members’ equity is included in distributions in excess of paid in capital in the accompanying June 28, 2007 balance sheet.</w:t>
      </w:r>
    </w:p>
    <w:p>
      <w:pPr>
        <w:spacing w:after="0" w:line="39" w:lineRule="exact"/>
        <w:rPr>
          <w:sz w:val="20"/>
          <w:szCs w:val="20"/>
          <w:color w:val="auto"/>
        </w:rPr>
      </w:pPr>
    </w:p>
    <w:p>
      <w:pPr>
        <w:ind w:left="460" w:right="240"/>
        <w:spacing w:after="0" w:line="370" w:lineRule="auto"/>
        <w:rPr>
          <w:sz w:val="20"/>
          <w:szCs w:val="20"/>
          <w:color w:val="auto"/>
        </w:rPr>
      </w:pPr>
      <w:r>
        <w:rPr>
          <w:rFonts w:ascii="Arial" w:cs="Arial" w:eastAsia="Arial" w:hAnsi="Arial"/>
          <w:sz w:val="15"/>
          <w:szCs w:val="15"/>
          <w:color w:val="auto"/>
        </w:rPr>
        <w:t>The Company operates on a 52-week fiscal year, with the fiscal year ending on the first Thursday after December 25, which, in certain years, results in a 53-week year. The meetings and event services operations are operating segments but do not meet the quantitative thresholds for segment reporting.</w:t>
      </w:r>
    </w:p>
    <w:p>
      <w:pPr>
        <w:spacing w:after="0" w:line="17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Consolidation – </w:t>
      </w:r>
      <w:r>
        <w:rPr>
          <w:rFonts w:ascii="Arial" w:cs="Arial" w:eastAsia="Arial" w:hAnsi="Arial"/>
          <w:sz w:val="16"/>
          <w:szCs w:val="16"/>
          <w:color w:val="auto"/>
        </w:rPr>
        <w:t>NCM, Inc. consolidates the accounts of NCM LLC under the provision of EITF Issue No. 04-5, “Determining Whether a General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General Partners as a Group, Controls a Limited Partnership or Similar Entity When the Limited Partners Have Certain Rights.” Under EITF 04-5, a managing 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EITF 04-5, as they do not limit NCM, Inc.’s ability to make decisions in the ordinary course of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and administrative fees from legacy contracts are recognized in the period in which an advertising contract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fulfilled against the contracted theatre attendees. Deferred revenue refers to the unearned portion of advertising contracts. All deferred revenue is classified as a current liability. Meetings and events revenue is recognized in the period in which the event is held. Legacy contracts are advertising contracts with the founding members prior to the formation of NCM LLC, which were not assigned to NCM LLC until the IPO was complete. Administrative fees earned by the Company prior to the IPO for its services in fulfilling the legacy contracts were based on a percentage of legacy contract revenue (32% during 2006 and the 2007 pre-IPO period).</w:t>
      </w:r>
    </w:p>
    <w:p>
      <w:pPr>
        <w:spacing w:after="0" w:line="63"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Agreements.”</w:t>
      </w:r>
    </w:p>
    <w:p>
      <w:pPr>
        <w:spacing w:after="0" w:line="4"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founding members, revenue share under the amended and restated ESAs and other direct costs of the meeting or event.</w:t>
      </w:r>
    </w:p>
    <w:p>
      <w:pPr>
        <w:spacing w:after="0" w:line="51"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In the 2007 pre-IPO period, circuit share costs were fees payable to the founding members for the right to exhibit advertisements within the theatres, based on a percentage of advertising revenue. In the 2007 post-IPO period,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relate primarily to the advertising business, and to a lesser extent to the meetings and events business.</w:t>
      </w:r>
    </w:p>
    <w:p>
      <w:pPr>
        <w:spacing w:after="0" w:line="59"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b w:val="1"/>
          <w:bCs w:val="1"/>
          <w:i w:val="1"/>
          <w:iCs w:val="1"/>
          <w:color w:val="auto"/>
        </w:rPr>
        <w:t>Cash and Equivalents</w:t>
      </w:r>
      <w:r>
        <w:rPr>
          <w:rFonts w:ascii="Arial" w:cs="Arial" w:eastAsia="Arial" w:hAnsi="Arial"/>
          <w:sz w:val="18"/>
          <w:szCs w:val="18"/>
          <w:color w:val="auto"/>
        </w:rPr>
        <w:t>—All highly liquid debt instruments and investments purchased with a remaining maturity of three months or less are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Periodically these are cash balances in a bank in excess of the federally insured limits or in the form of a money market demand account with a major financial institution.</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i w:val="1"/>
          <w:iCs w:val="1"/>
          <w:color w:val="auto"/>
        </w:rPr>
        <w:t>Receivables</w:t>
      </w:r>
      <w:r>
        <w:rPr>
          <w:rFonts w:ascii="Arial" w:cs="Arial" w:eastAsia="Arial" w:hAnsi="Arial"/>
          <w:sz w:val="18"/>
          <w:szCs w:val="18"/>
          <w:color w:val="auto"/>
        </w:rPr>
        <w:t>—Bad debts are provided for using the allowance for doubtful accounts method based on historical experience and management’s evaluation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at the end of the period. Trade accounts receivable are uncollateralized and represent a large number of geographically dispersed debtors. At June 28, 2007, there are two individual accounts representing approximately 14% and 10%, respectively, of our outstanding gross receivable balances.</w:t>
      </w:r>
    </w:p>
    <w:p>
      <w:pPr>
        <w:spacing w:after="0" w:line="62"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b w:val="1"/>
          <w:bCs w:val="1"/>
          <w:i w:val="1"/>
          <w:iCs w:val="1"/>
          <w:color w:val="auto"/>
        </w:rPr>
        <w:t>Property and Equipment</w:t>
      </w:r>
      <w:r>
        <w:rPr>
          <w:rFonts w:ascii="Arial" w:cs="Arial" w:eastAsia="Arial" w:hAnsi="Arial"/>
          <w:sz w:val="18"/>
          <w:szCs w:val="18"/>
          <w:color w:val="auto"/>
        </w:rPr>
        <w:t>—Property and equipment is stated at cost, net of accumulated depreciation or amortization. Major renewals and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while replacements, maintenance, and repairs that do not improve or extend the lives of the respective assets are expensed currently. In general, the equipment associated with the digital network that is located at the theatre is owned by the founding members, while equipment outside the theatre is owned by the Company.</w:t>
      </w:r>
    </w:p>
    <w:p>
      <w:pPr>
        <w:spacing w:after="0" w:line="62"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Amounts Due to/from Founding Members</w:t>
      </w:r>
      <w:r>
        <w:rPr>
          <w:rFonts w:ascii="Arial" w:cs="Arial" w:eastAsia="Arial" w:hAnsi="Arial"/>
          <w:sz w:val="16"/>
          <w:szCs w:val="16"/>
          <w:color w:val="auto"/>
        </w:rPr>
        <w:t>—In the 2007 pre-IPO period, amounts due to/from founding members included circuit share costs and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reimbursements, net of the administrative fees earned on Legacy Contracts. Amounts due to/from founding members in the 2007 post-IPO period include amounts due for the theatre access fee, offset by a receivable for advertising time purchased by the founding members, as well as revenue share earned for meetings and events plus any amounts outstanding under other contractually obligated payments. Payments to or received from the founding members against outstanding balances are made monthly.</w:t>
      </w:r>
    </w:p>
    <w:p>
      <w:pPr>
        <w:spacing w:after="0" w:line="35" w:lineRule="exact"/>
        <w:rPr>
          <w:sz w:val="20"/>
          <w:szCs w:val="20"/>
          <w:color w:val="auto"/>
        </w:rPr>
      </w:pPr>
    </w:p>
    <w:p>
      <w:pPr>
        <w:ind w:left="460" w:right="40"/>
        <w:spacing w:after="0" w:line="302" w:lineRule="auto"/>
        <w:rPr>
          <w:sz w:val="20"/>
          <w:szCs w:val="20"/>
          <w:color w:val="auto"/>
        </w:rPr>
      </w:pPr>
      <w:r>
        <w:rPr>
          <w:rFonts w:ascii="Arial" w:cs="Arial" w:eastAsia="Arial" w:hAnsi="Arial"/>
          <w:sz w:val="15"/>
          <w:szCs w:val="15"/>
          <w:b w:val="1"/>
          <w:bCs w:val="1"/>
          <w:i w:val="1"/>
          <w:iCs w:val="1"/>
          <w:color w:val="auto"/>
        </w:rPr>
        <w:t>Network Affiliate Agreements</w:t>
      </w:r>
      <w:r>
        <w:rPr>
          <w:rFonts w:ascii="Arial" w:cs="Arial" w:eastAsia="Arial" w:hAnsi="Arial"/>
          <w:sz w:val="15"/>
          <w:szCs w:val="15"/>
          <w:color w:val="auto"/>
        </w:rPr>
        <w:t>—Network affiliate agreements were contributed at NCM LLC’s formation at the net book value of the founding members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are amortized on a straight-line basis over the remaining life of the agreement. These agreements require payment to the affiliate of a percentage of the advertising revenue associated with the advertisements played in affiliate theatres, and also specify minimum payments that must be made. Amortization expense related to the network affiliate agreements was $0.1 million, $0.3 million, $0.2 million, $0.1 million and $0.6 million for the quarter ended</w:t>
      </w:r>
    </w:p>
    <w:p>
      <w:pPr>
        <w:spacing w:after="0" w:line="3" w:lineRule="exact"/>
        <w:rPr>
          <w:sz w:val="20"/>
          <w:szCs w:val="20"/>
          <w:color w:val="auto"/>
        </w:rPr>
      </w:pPr>
    </w:p>
    <w:p>
      <w:pPr>
        <w:jc w:val="center"/>
        <w:ind w:right="20"/>
        <w:spacing w:after="0" w:line="433" w:lineRule="auto"/>
        <w:rPr>
          <w:sz w:val="20"/>
          <w:szCs w:val="20"/>
          <w:color w:val="auto"/>
        </w:rPr>
      </w:pPr>
      <w:r>
        <w:rPr>
          <w:rFonts w:ascii="Arial" w:cs="Arial" w:eastAsia="Arial" w:hAnsi="Arial"/>
          <w:sz w:val="18"/>
          <w:szCs w:val="18"/>
          <w:color w:val="auto"/>
        </w:rPr>
        <w:t>June 28, 2007, quarter ended June 29, 2006, 2007 post-IPO period, 2007 pre-IPO period and the six month period ended June 29, 2006, respectively. 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Investments in Non-Consolidated Affiliates</w:t>
      </w:r>
      <w:r>
        <w:rPr>
          <w:rFonts w:ascii="Arial" w:cs="Arial" w:eastAsia="Arial" w:hAnsi="Arial"/>
          <w:sz w:val="16"/>
          <w:szCs w:val="16"/>
          <w:color w:val="auto"/>
        </w:rPr>
        <w:t>—The Company uses the equity method of accounting for its investments in and earnings or losses of affiliates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it does not control but over which it has the ability to exert significant influence. The Company considers whether the fair value of its equity method investment has declined below the carrying value whenever adverse events or changes in circumstances indicate that recorded values may not be recoverable. If the Company considered any such decline to be other than temporary, based on various factors including product development activities and the overall health of the affiliate and affiliate industry, then a write-down would be recorded to estimated fair value.</w:t>
      </w:r>
    </w:p>
    <w:p>
      <w:pPr>
        <w:spacing w:after="0" w:line="35"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—In the 2007 pre-IPO and 2006 periods, as a limited liability company, NCM LLC’s taxable income or loss was allocated to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therefore, no provision or liability for income taxes was included in the financial statements.</w:t>
      </w:r>
    </w:p>
    <w:p>
      <w:pPr>
        <w:spacing w:after="0" w:line="51"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Effective with the 2007 post-IPO period,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In addition, income tax rules and regulations are subject to interpretation and the application of those rules and regulations require judgment by the Company and may be challenged by the taxation authorities. Deferred tax assets and liabilities are measured using enacted tax rates expected to apply to taxable income in the years in which those temporary differences are expected to be recovered or settled. The effect on deferred tax assets and liabilities of a change in tax rates will be recognized in income in the period that includes the enactment date. The Company will record a valuation allowance if it is deemed more likely than not that its deferred income tax assets will not be realized, which will be assessed on an on-going basis.</w:t>
      </w:r>
    </w:p>
    <w:p>
      <w:pPr>
        <w:spacing w:after="0" w:line="3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b w:val="1"/>
          <w:bCs w:val="1"/>
          <w:i w:val="1"/>
          <w:iCs w:val="1"/>
          <w:color w:val="auto"/>
        </w:rPr>
        <w:t>Interest Rate Swap</w:t>
      </w:r>
      <w:r>
        <w:rPr>
          <w:rFonts w:ascii="Arial" w:cs="Arial" w:eastAsia="Arial" w:hAnsi="Arial"/>
          <w:sz w:val="16"/>
          <w:szCs w:val="16"/>
          <w:color w:val="auto"/>
        </w:rPr>
        <w:t>—NCM LLC has entered into interest rate swap agreements which qualify for and have been designated as a cash flow hedge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rate exposure on $550.0 million of the variable rate debt obligations under the senior secured credit facility. Under the terms of the interest rate swap agreements, NCM LLC pays interest at a fixed rate of 6.734% and will receive interest at a variable rate based on 3-month LIBOR. The 3-month LIBOR rate on each reset date determines the variable portion of the interest for cash on the last day of each calendar quarter, until completion. The fair value of the interest rate swap is recorded on the Company’s unaudited condensed consolidated balance sheet as an asset or liability with the effective portion of the interest rate swap gains or losses reported as a component of other comprehensive income (loss) and the ineffective portion recorded in earnings. As interest expense is accrued on the debt obligation, amounts in accumulated other comprehensive income (loss) related to the interest rate swap will be reclassified into earnings to obtain a net cost on the debt obligation equal to the effective yield of the fixed rate of the swap. 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42"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color w:val="auto"/>
        </w:rPr>
        <w:t>As a result of the mark to market of the interest rate swap in the quarter ended June 28, 2007, the Company has comprehensive income for the quarter totaling $11.5 million, consisting of net income of $6.3 million and other comprehensive income of $5.2 million.</w:t>
      </w:r>
    </w:p>
    <w:p>
      <w:pPr>
        <w:spacing w:after="0" w:line="4"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—Stock-based employee compensation is accounted for at fair value under Statement of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The Company adopted SFAS No. 123(R) on December 30, 2005 prospectively for new equity based grants, as there were no equity based grants prior to the date of adoption.</w:t>
      </w:r>
    </w:p>
    <w:p>
      <w:pPr>
        <w:spacing w:after="0" w:line="5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and equity-based compensation. Actual results could differ from those estimates.</w:t>
      </w:r>
    </w:p>
    <w:p>
      <w:pPr>
        <w:spacing w:after="0" w:line="25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rFonts w:ascii="Arial" w:cs="Arial" w:eastAsia="Arial" w:hAnsi="Arial"/>
          <w:sz w:val="18"/>
          <w:szCs w:val="18"/>
          <w:b w:val="1"/>
          <w:bCs w:val="1"/>
          <w:color w:val="auto"/>
        </w:rPr>
      </w:pPr>
    </w:p>
    <w:p>
      <w:pPr>
        <w:ind w:left="4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June 2006, the FASB issued Interpretation No. (“FIN”) 48, </w:t>
      </w:r>
      <w:r>
        <w:rPr>
          <w:rFonts w:ascii="Arial" w:cs="Arial" w:eastAsia="Arial" w:hAnsi="Arial"/>
          <w:sz w:val="18"/>
          <w:szCs w:val="18"/>
          <w:i w:val="1"/>
          <w:iCs w:val="1"/>
          <w:color w:val="auto"/>
        </w:rPr>
        <w:t>Accounting for Uncertainty in Income Taxes—an interpretation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No. 109</w:t>
      </w:r>
      <w:r>
        <w:rPr>
          <w:rFonts w:ascii="Arial" w:cs="Arial" w:eastAsia="Arial" w:hAnsi="Arial"/>
          <w:sz w:val="18"/>
          <w:szCs w:val="18"/>
          <w:color w:val="auto"/>
        </w:rPr>
        <w:t>. This interpretation clarifies the accounting for uncertainty in income taxes recognized in an enterprise’s financial statements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and prescribes a recognition threshold and measurement attribute for the financial statement recognition and measurement of a tax position taken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or expected to be taken in a tax return. This interpretation also provides guidance on derecognition, classification, interest and penalties, accounting in interim periods, disclosure, and transition. This interpretation is effective for fiscal years beginning after December 15, 2006. The Company adopted this interpretation on February 13, 2007, the date at which the Company began to account for income taxes within its consolidated accounts. The impact of the Company’s assessment of its tax positions in accordance with FIN 48 did not have a material effect on the Company’s results of operations, financial condition or liquidity.</w:t>
      </w:r>
    </w:p>
    <w:p>
      <w:pPr>
        <w:spacing w:after="0" w:line="62"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 xml:space="preserve">During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establishes a framework for measuring fair value in GAAP, and expands disclosures about fair value measurements. SFAS No. 157 is effective for financial statements issued for fiscal years beginning after November 15, 2007, and interim periods within such fiscal years. The Company is assessing the impact that SFAS No. 157 will have on our results of operations, financial condition and liquidity, which we do not expect to be significant.</w:t>
      </w:r>
    </w:p>
    <w:p>
      <w:pPr>
        <w:spacing w:after="0" w:line="3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During February 2007, the FASB issued SFAS No. 159, </w:t>
      </w:r>
      <w:r>
        <w:rPr>
          <w:rFonts w:ascii="Arial" w:cs="Arial" w:eastAsia="Arial" w:hAnsi="Arial"/>
          <w:sz w:val="16"/>
          <w:szCs w:val="16"/>
          <w:i w:val="1"/>
          <w:iCs w:val="1"/>
          <w:color w:val="auto"/>
        </w:rPr>
        <w:t>The Fair Value Option for Financial Assets and Financial Liabilities – 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115</w:t>
      </w:r>
      <w:r>
        <w:rPr>
          <w:rFonts w:ascii="Arial" w:cs="Arial" w:eastAsia="Arial" w:hAnsi="Arial"/>
          <w:sz w:val="16"/>
          <w:szCs w:val="16"/>
          <w:color w:val="auto"/>
        </w:rPr>
        <w:t>. This statement permits entities to choose to measure many financial instruments and certain other items at fair value and report</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these investments in earnings. SFAS No. 159 is effective as of January 1, 2008. The Company is assessing the impact that SFAS No. 159 will have on our results of operations, financial condition and liquidity, which we do not expect to be significant.</w:t>
      </w:r>
    </w:p>
    <w:p>
      <w:pPr>
        <w:spacing w:after="0" w:line="22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for income from operations are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0"/>
              </w:rPr>
              <w:t>Quarter</w:t>
            </w:r>
          </w:p>
        </w:tc>
        <w:tc>
          <w:tcPr>
            <w:tcW w:w="8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Period February 13,</w:t>
            </w:r>
          </w:p>
        </w:tc>
      </w:tr>
      <w:tr>
        <w:trPr>
          <w:trHeight w:val="149"/>
        </w:trPr>
        <w:tc>
          <w:tcPr>
            <w:tcW w:w="7080" w:type="dxa"/>
            <w:vAlign w:val="bottom"/>
          </w:tcPr>
          <w:p>
            <w:pPr>
              <w:spacing w:after="0"/>
              <w:rPr>
                <w:sz w:val="12"/>
                <w:szCs w:val="12"/>
                <w:color w:val="auto"/>
              </w:rPr>
            </w:pPr>
          </w:p>
        </w:tc>
        <w:tc>
          <w:tcPr>
            <w:tcW w:w="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2007 through</w:t>
            </w:r>
          </w:p>
        </w:tc>
      </w:tr>
      <w:tr>
        <w:trPr>
          <w:trHeight w:val="149"/>
        </w:trPr>
        <w:tc>
          <w:tcPr>
            <w:tcW w:w="708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June 28,</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June 28,</w:t>
            </w:r>
          </w:p>
        </w:tc>
      </w:tr>
      <w:tr>
        <w:trPr>
          <w:trHeight w:val="175"/>
        </w:trPr>
        <w:tc>
          <w:tcPr>
            <w:tcW w:w="7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2007</w:t>
            </w:r>
          </w:p>
        </w:tc>
        <w:tc>
          <w:tcPr>
            <w:tcW w:w="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minority interest by the U.S. federal statutory rate of 35% was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Period February 13,</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2007</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Provision calculated at federal statutory income tax rate</w:t>
            </w:r>
          </w:p>
        </w:tc>
        <w:tc>
          <w:tcPr>
            <w:tcW w:w="286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Total income tax provision</w:t>
            </w: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vMerge w:val="continue"/>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760" w:type="dxa"/>
            <w:vAlign w:val="bottom"/>
            <w:vMerge w:val="restart"/>
          </w:tcPr>
          <w:p>
            <w:pPr>
              <w:jc w:val="right"/>
              <w:ind w:right="211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79"/>
              </w:rPr>
              <w:t>As of</w:t>
            </w:r>
          </w:p>
        </w:tc>
      </w:tr>
      <w:tr>
        <w:trPr>
          <w:trHeight w:val="149"/>
        </w:trPr>
        <w:tc>
          <w:tcPr>
            <w:tcW w:w="908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June 28,</w:t>
            </w:r>
          </w:p>
        </w:tc>
      </w:tr>
      <w:tr>
        <w:trPr>
          <w:trHeight w:val="161"/>
        </w:trPr>
        <w:tc>
          <w:tcPr>
            <w:tcW w:w="9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Excess of tax basis in assets over book basis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298.3</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308.4</w:t>
            </w: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Discount on liability for income taxes payable to founding members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and 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provided total income taxes,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Period February 13,</w:t>
            </w:r>
          </w:p>
        </w:tc>
      </w:tr>
      <w:tr>
        <w:trPr>
          <w:trHeight w:val="149"/>
        </w:trPr>
        <w:tc>
          <w:tcPr>
            <w:tcW w:w="7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left="14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28,</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June 28,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74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0"/>
        </w:trPr>
        <w:tc>
          <w:tcPr>
            <w:tcW w:w="746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89"/>
              </w:rPr>
              <w:t>Pre-Tax</w:t>
            </w:r>
          </w:p>
        </w:tc>
        <w:tc>
          <w:tcPr>
            <w:tcW w:w="40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5"/>
              </w:rPr>
              <w:t>Income Tax</w:t>
            </w:r>
          </w:p>
        </w:tc>
        <w:tc>
          <w:tcPr>
            <w:tcW w:w="38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89"/>
              </w:rPr>
              <w:t>Pre-Tax</w:t>
            </w:r>
          </w:p>
        </w:tc>
        <w:tc>
          <w:tcPr>
            <w:tcW w:w="3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5"/>
              </w:rPr>
              <w:t>Income Tax</w:t>
            </w:r>
          </w:p>
        </w:tc>
        <w:tc>
          <w:tcPr>
            <w:tcW w:w="20" w:type="dxa"/>
            <w:vAlign w:val="bottom"/>
          </w:tcPr>
          <w:p>
            <w:pPr>
              <w:spacing w:after="0"/>
              <w:rPr>
                <w:sz w:val="11"/>
                <w:szCs w:val="11"/>
                <w:color w:val="auto"/>
              </w:rPr>
            </w:pPr>
          </w:p>
        </w:tc>
      </w:tr>
      <w:tr>
        <w:trPr>
          <w:trHeight w:val="161"/>
        </w:trPr>
        <w:tc>
          <w:tcPr>
            <w:tcW w:w="74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Provision</w:t>
            </w:r>
          </w:p>
        </w:tc>
        <w:tc>
          <w:tcPr>
            <w:tcW w:w="3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Provision</w:t>
            </w:r>
          </w:p>
        </w:tc>
        <w:tc>
          <w:tcPr>
            <w:tcW w:w="20" w:type="dxa"/>
            <w:vAlign w:val="bottom"/>
          </w:tcPr>
          <w:p>
            <w:pPr>
              <w:spacing w:after="0"/>
              <w:rPr>
                <w:sz w:val="14"/>
                <w:szCs w:val="14"/>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$ 27.6</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32.8</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13.2</w:t>
            </w:r>
          </w:p>
        </w:tc>
        <w:tc>
          <w:tcPr>
            <w:tcW w:w="20" w:type="dxa"/>
            <w:vAlign w:val="bottom"/>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Minority interest</w:t>
            </w: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20.3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minority interest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22"/>
        </w:trPr>
        <w:tc>
          <w:tcPr>
            <w:tcW w:w="746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24.</w:t>
            </w:r>
            <w:r>
              <w:rPr>
                <w:rFonts w:ascii="Arial" w:cs="Arial" w:eastAsia="Arial" w:hAnsi="Arial"/>
                <w:sz w:val="18"/>
                <w:szCs w:val="18"/>
                <w:u w:val="single" w:color="auto"/>
                <w:color w:val="auto"/>
                <w:w w:val="96"/>
              </w:rPr>
              <w:t>7</w:t>
            </w:r>
          </w:p>
        </w:tc>
      </w:tr>
      <w:tr>
        <w:trPr>
          <w:trHeight w:val="20"/>
        </w:trPr>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payments made to the founding members at the date of the IPO that were accounted for as distributions under generally accepted accounting principles created amortizable basis for federal income tax purposes. NCM, Inc. and the founding members entered into a tax receivable agreement under which NCM, Inc. will effectively make cash payments to the founding members in amounts equal to 90% of NCM, Inc.’s actual tax benefit realized as a result of this amortization. NCM, Inc. recorded a deferred tax asset equal to the future tax benefits of the tax amortization, estimated at $304.2 million and a credit to a long-term payable to founding members of $273.8 million, which was recorded at its original present value of $125.6 million. The discount on the liability is a temporary difference that resulted in a deferred tax liability of $59.3 million at its original amount.</w:t>
      </w:r>
    </w:p>
    <w:p>
      <w:pPr>
        <w:spacing w:after="0" w:line="39" w:lineRule="exact"/>
        <w:rPr>
          <w:sz w:val="20"/>
          <w:szCs w:val="20"/>
          <w:color w:val="auto"/>
        </w:rPr>
      </w:pPr>
    </w:p>
    <w:p>
      <w:pPr>
        <w:ind w:left="460" w:right="20"/>
        <w:spacing w:after="0" w:line="323" w:lineRule="auto"/>
        <w:rPr>
          <w:sz w:val="20"/>
          <w:szCs w:val="20"/>
          <w:color w:val="auto"/>
        </w:rPr>
      </w:pPr>
      <w:r>
        <w:rPr>
          <w:rFonts w:ascii="Arial" w:cs="Arial" w:eastAsia="Arial" w:hAnsi="Arial"/>
          <w:sz w:val="15"/>
          <w:szCs w:val="15"/>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not recorded a valuation allowance against deferred tax assets at June 28, 2007 as management believes it is more likely than not that the deferred tax assets will be realized in future periods.</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February 13, 2007, as an LLC, NCM LLC allocated all of its earnings to its founding members.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AFFILIATE</w:t>
      </w:r>
    </w:p>
    <w:p>
      <w:pPr>
        <w:spacing w:after="0" w:line="96"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June 26, 2007, NCM LLC invested $5.0 million of cash in 6% PIK convertible preferred stock of IdeaCast, Inc., a provider of advertising to fitness centers and health clubs throughout the United States. As part of the initial investment, NCM LLC entered into an agreement whereby, at our option or at the option of IdeaCast, Inc., exercisable at any time before June 30, 2008, NCM LLC will make an additional $2.0 million cash investment in 6% convertible preferred stock of IdeaCast, Inc. The amount of IdeaCast, Inc. 6% convertible preferred stock owned by NCM LLC at June 28, 2006 and, the aggregate amount of IdeaCast, Inc. 6% convertible preferred stock owned after the $2.0 million additional investment, if made, is convertible into a minority interest of IdeaCast, Inc.’s common stock. In addition, a further agreement was entered into whereby, at the option of NCM LLC during the period June 30, 2008 through December 2009, a further investment may be made by NCM LLC to purchase common stock of IdeaCast, Inc. at a predetermined valuation formula, to bring NCM LLC’s total investment to approximately 50.1% of IdeaCast, Inc. (on a fully diluted basis assuming conversion of all of the 6% convertible preferred stock). Neither the option to purchase additional convertible preferred stock or common stock of IdeaCast, Inc. has been exercised. The companies also entered into a shared services agreement which will allow for cross-marketing and certain services to be provided between the companies at rates which will be determined on an arms length basis. There have been no services provided through June 28, 2007.</w:t>
      </w:r>
    </w:p>
    <w:p>
      <w:pPr>
        <w:spacing w:after="0" w:line="46"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At the date of investment, the carrying value of the investment exceeds the underlying equity in net assets of IdeaCast, Inc. The Company is in process of evaluating the allocation of such difference between identifiable intangibles and goodwill.</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96" w:lineRule="exact"/>
        <w:rPr>
          <w:rFonts w:ascii="Arial" w:cs="Arial" w:eastAsia="Arial" w:hAnsi="Arial"/>
          <w:sz w:val="18"/>
          <w:szCs w:val="18"/>
          <w:b w:val="1"/>
          <w:bCs w:val="1"/>
          <w:color w:val="auto"/>
        </w:rPr>
      </w:pPr>
    </w:p>
    <w:p>
      <w:pPr>
        <w:ind w:left="460" w:right="3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of June 28, 2007, the Company has authorized capital stock of 120,000,000 shares of common stock, par value of $0.01 per share, and 10,000,000 shares of preferred stock, par value of $0.01 per share. The Company issued 42,000,000 shares of common stock and 268,184 restricted shares in connection with the IPO as described in Note 2 above. No shares of preferred stock were issued or outstanding at June 28, 2007. The Company has 2,576,000 shares reserved for issuance under its Equity Incentive Plan. As of June 28, 2007 and June 29, 2006, options to acquire 1,812,406 shares and 1,018,870 units, as converted, respectively, were outstanding under the equity incentive plan. As of June 28, 2007, 271,845 restricted shares were outstanding under the equity incentive plan.</w:t>
      </w:r>
    </w:p>
    <w:p>
      <w:pPr>
        <w:spacing w:after="0" w:line="235" w:lineRule="exact"/>
        <w:rPr>
          <w:rFonts w:ascii="Arial" w:cs="Arial" w:eastAsia="Arial" w:hAnsi="Arial"/>
          <w:sz w:val="18"/>
          <w:szCs w:val="18"/>
          <w:b w:val="1"/>
          <w:bCs w:val="1"/>
          <w:color w:val="auto"/>
        </w:rPr>
      </w:pPr>
    </w:p>
    <w:p>
      <w:pPr>
        <w:ind w:left="460" w:right="8020" w:hanging="452"/>
        <w:spacing w:after="0" w:line="39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b w:val="1"/>
          <w:bCs w:val="1"/>
          <w:i w:val="1"/>
          <w:iCs w:val="1"/>
          <w:color w:val="auto"/>
        </w:rPr>
        <w:t>2007 Pre-IPO Period –</w:t>
      </w:r>
    </w:p>
    <w:p>
      <w:pPr>
        <w:ind w:left="460" w:right="1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At the formation of NCM LLC and upon the admission of Cinemark as a founding member, circuit share arrangements and administrative services fee arrangements were consummated with each founding member. Circuit share cost and administrative fee revenue by founding member were as follows (in millions):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w w:val="98"/>
              </w:rPr>
              <w:t>February 12,</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42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90"/>
              </w:rPr>
              <w:t>Circuit</w:t>
            </w:r>
          </w:p>
        </w:tc>
        <w:tc>
          <w:tcPr>
            <w:tcW w:w="500" w:type="dxa"/>
            <w:vAlign w:val="bottom"/>
          </w:tcPr>
          <w:p>
            <w:pPr>
              <w:spacing w:after="0"/>
              <w:rPr>
                <w:sz w:val="11"/>
                <w:szCs w:val="11"/>
                <w:color w:val="auto"/>
              </w:rPr>
            </w:pP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86"/>
              </w:rPr>
              <w:t>Administrative</w:t>
            </w:r>
          </w:p>
        </w:tc>
        <w:tc>
          <w:tcPr>
            <w:tcW w:w="500" w:type="dxa"/>
            <w:vAlign w:val="bottom"/>
          </w:tcPr>
          <w:p>
            <w:pPr>
              <w:spacing w:after="0"/>
              <w:rPr>
                <w:sz w:val="11"/>
                <w:szCs w:val="11"/>
                <w:color w:val="auto"/>
              </w:rPr>
            </w:pPr>
          </w:p>
        </w:tc>
        <w:tc>
          <w:tcPr>
            <w:tcW w:w="54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Circuit</w:t>
            </w:r>
          </w:p>
        </w:tc>
        <w:tc>
          <w:tcPr>
            <w:tcW w:w="38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88"/>
              </w:rPr>
              <w:t>Administrative</w:t>
            </w:r>
          </w:p>
        </w:tc>
        <w:tc>
          <w:tcPr>
            <w:tcW w:w="500" w:type="dxa"/>
            <w:vAlign w:val="bottom"/>
          </w:tcPr>
          <w:p>
            <w:pPr>
              <w:spacing w:after="0"/>
              <w:rPr>
                <w:sz w:val="11"/>
                <w:szCs w:val="11"/>
                <w:color w:val="auto"/>
              </w:rPr>
            </w:pPr>
          </w:p>
        </w:tc>
        <w:tc>
          <w:tcPr>
            <w:tcW w:w="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4"/>
              </w:rPr>
              <w:t>Circuit</w:t>
            </w:r>
          </w:p>
        </w:tc>
        <w:tc>
          <w:tcPr>
            <w:tcW w:w="50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88"/>
              </w:rPr>
              <w:t>Administrative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Fee</w:t>
            </w:r>
          </w:p>
        </w:tc>
        <w:tc>
          <w:tcPr>
            <w:tcW w:w="5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Fee</w:t>
            </w:r>
          </w:p>
        </w:tc>
        <w:tc>
          <w:tcPr>
            <w:tcW w:w="5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Revenue</w:t>
            </w:r>
          </w:p>
        </w:tc>
        <w:tc>
          <w:tcPr>
            <w:tcW w:w="50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Revenue</w:t>
            </w:r>
          </w:p>
        </w:tc>
        <w:tc>
          <w:tcPr>
            <w:tcW w:w="50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Cinemark</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14.4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$ 34.4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520"/>
        <w:spacing w:after="0" w:line="306" w:lineRule="auto"/>
        <w:rPr>
          <w:sz w:val="20"/>
          <w:szCs w:val="20"/>
          <w:color w:val="auto"/>
        </w:rPr>
      </w:pPr>
      <w:r>
        <w:rPr>
          <w:rFonts w:ascii="Arial" w:cs="Arial" w:eastAsia="Arial" w:hAnsi="Arial"/>
          <w:sz w:val="16"/>
          <w:szCs w:val="16"/>
          <w:color w:val="auto"/>
        </w:rPr>
        <w:t>NCM LLC’s administrative services fee was earned at a rate of 32% of the legacy contract value for the 2007 pre-IPO period and the quarter and six months ended June 29, 2006. At the closing of the IPO, the founding members entered into amended and restated ESAs which, among other things, amended the circuit share structure in favor of the theatre access fee structure and assigned all remaining legacy contracts to NCM LLC.</w:t>
      </w:r>
    </w:p>
    <w:p>
      <w:pPr>
        <w:spacing w:after="0" w:line="2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December 28, 2006, were comprised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44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Cinemark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Regal</w:t>
            </w:r>
          </w:p>
        </w:tc>
        <w:tc>
          <w:tcPr>
            <w:tcW w:w="5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Circuit share payments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reimbursement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15.3</w:t>
            </w:r>
          </w:p>
        </w:tc>
        <w:tc>
          <w:tcPr>
            <w:tcW w:w="4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Post-IPO Period –</w:t>
      </w:r>
    </w:p>
    <w:p>
      <w:pPr>
        <w:spacing w:after="0" w:line="90"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Pursuant to the amended and restated ESAs in place since the close of the IPO, we make monthly theatre access fee payments to the founding members, comprised of a payment per theatre attendee and a payment per digital screen of the founding member theatres. The theatre access fee replaced the circuit share expenses. Also, under the amended and restated ESAs, NCM LLC records revenue for payments from the founding members for the display of up to 90 seconds of on-screen advertising under their beverage concessionaire agreements at a specified 30 second equivalent cost per thousand (“CPM”). The total theatre access fee to the founding members for the quarter ended June 28, 2007 is $12.0 million and for the 2007 post-IPO period is $17.5 million. The total revenue related to the beverage concessionaire agreements for the quarter ended June 28, 2007 is $11.8 million and for the 2007 post-IPO period is $17.3 million. In addition, pursuant to the amended and restated ESAs, we make monthly payments to the founding members for use of their screens and theatres for our meetings and events business. These payments are at agreed upon rates based on the nature of the event. Payments to the founding members for these events totaled $1.1 million for the quarter ended June 28, 2007 and $1.6 million for the 2007 post-IPO period.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June 28, 2007 were comprised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4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Cinemark</w:t>
            </w:r>
          </w:p>
        </w:tc>
        <w:tc>
          <w:tcPr>
            <w:tcW w:w="4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Regal</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$(0.5)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$ 0.2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(0.2)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$ 2.5</w:t>
            </w:r>
          </w:p>
        </w:tc>
        <w:tc>
          <w:tcPr>
            <w:tcW w:w="4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5</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$ 7.3</w:t>
            </w: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14.3</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On January 26, 2006, AMC acquired the Loews theatre circuit. The Loews screen integration agreement, effective as of January 5, 2007, between NCM LLC and AMC, commits AMC to cause the theatres it acquired from Loews to participate in the exhibitor services agreements beginning on June 1, 2008. In accordance with the Loews screen integration agreement between us and AMC, which was amended and restated in connection with the IPO, AMC will pay us amounts based on an agreed-upon calculation to reflect amounts that approximate what NCM LLC would have generated if we were able to sell on-screen advertising in the Loews theatre chain on an exclusive basis. These Loews payments will be made on a quarterly basis in arrears through May 31, 2008 in accordance with certain run-out provisions. For the quarter ended June 28, 2007 the Loews payment, included in the due to (from) founding members at June 28, 2007 is $2.8 million. For the 2007 post-IPO period, the Lowes payment is $3.6 million. The Loews payment is recorded directly to NCM LLC’s members’ equity account.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During the quarter ended June 28, 2007, the 2007 post-IPO period, the 2007 pre-IPO period, the quarter ended June 29, 2006 and the six months ended June 29, 2006, AMC and Regal purchased $0.4 million, $0.6 million, $0.1 million, $0.5 million and $1.0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 and quarter and six month periods ended June 29, 2006.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Included in media and events operating costs is $0.8 million, $1.0 million, $0.2 million, $0.9 million and $1.1 million for the quarter ended June 28, 2007, the 2007 post-IPO period, the 2007 pre-IPO period, the quarter ended June 29, 2006 and the six months ended June 29, 2006, respectively, related to purchases of movie tickets and concession products from the founding members primarily for resale to NCM LLC’s customers.</w:t>
      </w:r>
    </w:p>
    <w:p>
      <w:pPr>
        <w:spacing w:after="0" w:line="26"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color w:val="auto"/>
        </w:rPr>
        <w:t>During the quarter ended June 28, 2007, the 2007 post-IPO period, the 2007 pre-IPO period, the quarter ended June 29, 2006 and the six months ended June 29, 2006, severance expense and the related capital contribution recognized for amounts under the Regal option plan were $0.5 million, $1.0 million, $0.4 million, $0.8 million and $2.6 million, respectively. As 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equal to this severance plan expense.</w:t>
      </w:r>
    </w:p>
    <w:p>
      <w:pPr>
        <w:spacing w:after="0" w:line="231" w:lineRule="exact"/>
        <w:rPr>
          <w:sz w:val="20"/>
          <w:szCs w:val="20"/>
          <w:color w:val="auto"/>
        </w:rPr>
      </w:pPr>
    </w:p>
    <w:p>
      <w:pPr>
        <w:ind w:left="460" w:right="9080" w:hanging="452"/>
        <w:spacing w:after="0" w:line="347" w:lineRule="auto"/>
        <w:tabs>
          <w:tab w:leader="none" w:pos="44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b w:val="1"/>
          <w:bCs w:val="1"/>
          <w:i w:val="1"/>
          <w:iCs w:val="1"/>
          <w:color w:val="auto"/>
        </w:rPr>
        <w:t>Long-Term Borrowings</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Revolving Credit Agreement</w:t>
      </w:r>
      <w:r>
        <w:rPr>
          <w:rFonts w:ascii="Arial" w:cs="Arial" w:eastAsia="Arial" w:hAnsi="Arial"/>
          <w:sz w:val="16"/>
          <w:szCs w:val="16"/>
          <w:color w:val="auto"/>
        </w:rPr>
        <w:t>—On March 22, 2006, NCM LLC entered into a bank-funded $20.0 million Revolving Credit Agreement, of which</w:t>
      </w:r>
    </w:p>
    <w:p>
      <w:pPr>
        <w:spacing w:after="0" w:line="38" w:lineRule="exact"/>
        <w:rPr>
          <w:rFonts w:ascii="Arial" w:cs="Arial" w:eastAsia="Arial" w:hAnsi="Arial"/>
          <w:sz w:val="18"/>
          <w:szCs w:val="18"/>
          <w:b w:val="1"/>
          <w:bCs w:val="1"/>
          <w:color w:val="auto"/>
        </w:rPr>
      </w:pPr>
    </w:p>
    <w:p>
      <w:pPr>
        <w:ind w:left="460" w:right="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$2.0 million could have been utilized in support of letters of credit. The revolving credit agreement was collateralized by trade receivables, and borrowings under the revolving credit agreement were limited to 85% of eligible trade receivables, as defined. The revolving credit agreement bore interest, at NCM LLC’s option, at either an adjusted Eurodollar rate or the base rate plus, in each case, an applicable margin. Outstanding borrowings at December 28, 2006, were $10.0 million. The revolving credit agreement was repaid and cancelled on February 13, 2007.</w:t>
      </w:r>
    </w:p>
    <w:p>
      <w:pPr>
        <w:spacing w:after="0" w:line="34" w:lineRule="exact"/>
        <w:rPr>
          <w:rFonts w:ascii="Arial" w:cs="Arial" w:eastAsia="Arial" w:hAnsi="Arial"/>
          <w:sz w:val="18"/>
          <w:szCs w:val="18"/>
          <w:b w:val="1"/>
          <w:bCs w:val="1"/>
          <w:color w:val="auto"/>
        </w:rPr>
      </w:pPr>
    </w:p>
    <w:p>
      <w:pPr>
        <w:ind w:left="460"/>
        <w:spacing w:after="0" w:line="285"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Senior Secured Credit Facility</w:t>
      </w:r>
      <w:r>
        <w:rPr>
          <w:rFonts w:ascii="Arial" w:cs="Arial" w:eastAsia="Arial" w:hAnsi="Arial"/>
          <w:sz w:val="16"/>
          <w:szCs w:val="16"/>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term loan will be due on the eighth anniversary of the funding.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outstanding balance of the term loan facility at June 28, 2007 was $725.0 million. The outstanding balance under the revolving credit facility at June 28, 2007 is $43.0 million. The obligations under the credit facility are secured by a lien on substantially all of the assets of NCM LLC. Borrowings under the senior secured credit facility bear interest, at the option of the Company, at a rate equal to an applicable margin plus either a variable base rate or a eurodollar rate. The applicable margin for the term loan facility is 0.75% with respect to base rate loans and 1.75% with respect to eurodollar loans. The applicable margin for the revolving credit facility is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Upon the occurrence of any payment default, certain amounts under the senior secured credit facility will bear interest at a rate equal to the rate then in effect with respect to such borrowings, plus 2.00% per annum. The senior secured credit facility also contains a number of covenants and ratio requirements, which at June 28, 2007 the Company was in compliance with. Upon occurrence of an event of default, among other remedies available to the lenders, all outstanding loans may be accelerated and/or the lenders’ commitments may be terminated.</w:t>
      </w:r>
    </w:p>
    <w:p>
      <w:pPr>
        <w:spacing w:after="0" w:line="239"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SFAS No. 123(R), and factored into the valuation that the options were granted in contemplation of an IPO. The Company used the estimated pricing of the IPO at the time of the grant 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held just prior to an IPO was maintained by the option holder immediately after the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At the date of the IPO, the Company adopted the NCM, Inc. 2007 Equity Incentive Plan. There are 2,576,000 shares of common stock available for issuance or delivery under the Equity Incentive Plan. Under the Equity Incentive Plan, the Company issued stock options to holders of outstanding unit options (pursuant to the Unit Option Plan) in substitution of the unit option and also issued 262,466 shares of restricted stock. In connection with the conversion at the date of the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IPO. The Equity Incentive Plan is treated as an equity plan under the provisions of SFAS No. 123(R), and the existing liability under the Unit Option Plan at the end of the 2007 pre-IPO period of $2.3 million was reclassified to equity at the IPO date.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the Equity Incentive Plan, as converted,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5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r>
      <w:tr>
        <w:trPr>
          <w:trHeight w:val="161"/>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28, 2006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23.85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253,000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22.11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6"/>
              </w:rPr>
              <w:t>Antidilution adjustments made to outstanding options in connection with</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4"/>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plan conversion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457,897</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16.98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4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(30,219)</w:t>
            </w:r>
          </w:p>
        </w:tc>
        <w:tc>
          <w:tcPr>
            <w:tcW w:w="1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17.89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28, 2007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1,812,406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88"/>
              </w:rPr>
              <w:t>17.68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5"/>
              </w:rPr>
              <w:t>19.0</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 at June 28, 2007</w:t>
            </w:r>
          </w:p>
        </w:tc>
        <w:tc>
          <w:tcPr>
            <w:tcW w:w="4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77"/>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37"/>
              <w:spacing w:after="0"/>
              <w:rPr>
                <w:sz w:val="20"/>
                <w:szCs w:val="20"/>
                <w:color w:val="auto"/>
              </w:rPr>
            </w:pPr>
            <w:r>
              <w:rPr>
                <w:rFonts w:ascii="Arial" w:cs="Arial" w:eastAsia="Arial" w:hAnsi="Arial"/>
                <w:sz w:val="18"/>
                <w:szCs w:val="18"/>
                <w:color w:val="auto"/>
                <w:w w:val="99"/>
              </w:rPr>
              <w:t>—</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28, 2007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r>
      <w:tr>
        <w:trPr>
          <w:trHeight w:val="20"/>
        </w:trPr>
        <w:tc>
          <w:tcPr>
            <w:tcW w:w="5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options are exercisable at either June 28, 2007 or December 28, 2006. Options outstanding (as adjusted) at June 28, 2007, have been granted at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exercise prices: 1,323,982 shares at $16.35 per share, 149,058 shares at $18.01 per share, 74,654 shares at $24.04 per share, 21,712 shares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$24.74 per share, 208,000 shares at $21.00 per share and 35,000 at $29.05 per share, at an average remaining life of approximately 6.5 to 9 years. Options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granted vest over periods of 59 through 81 months.</w:t>
      </w:r>
    </w:p>
    <w:p>
      <w:pPr>
        <w:spacing w:after="0" w:line="84"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Under the provisions of SFAS No. 123(R), the options are accounted for as equity awards. The Company has estimated the fair value of these options at $5.29 to $8.17 per share based on the Black-Scholes option pricing model. The weighted-average fair value of all shares granted during the period ended June 28, 2007 was $6.50. The Black-Scholes model requires that the Company make estimates of various factors used, as noted below. The fair value of the options is being charged to operations over the vesting period.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in the valuation of the options:</w:t>
      </w:r>
    </w:p>
    <w:p>
      <w:pPr>
        <w:spacing w:after="0" w:line="90" w:lineRule="exact"/>
        <w:rPr>
          <w:sz w:val="20"/>
          <w:szCs w:val="20"/>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life of options—6.5 to 9 years. The expected life of the options was determined by using the average of the vesting and contractual terms of the options (the “simplified method” as described in SEC Staff Accounting Bulletin 102).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 free interest rate—4.6% to 4.9%. The risk-free interest rate was determined by using the applicable Treasury rate as of the grant dates.</w:t>
      </w:r>
    </w:p>
    <w:p>
      <w:pPr>
        <w:spacing w:after="0" w:line="113"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volatility—30.0%. Expected volatility was estimated based on comparable companies and industry indexes for historic stock price volatility.</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 yield—3.0%. The estimated dividend yield was determined using management’s expectations based on estimated cash flow characteristics and expected long-term dividend policy after the IPO.</w:t>
      </w:r>
    </w:p>
    <w:p>
      <w:pPr>
        <w:spacing w:after="0" w:line="5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forfeiture rate was not significant, because a substantial number of options are held by a few executives of the Company who are expected to continue employment through the vesting period. A forfeiture rate of 5% was estimated for all non-executive employees to reflect the potential separation of employees. The Company expects approximately 1,722,000 of the outstanding options to vest.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Company recognized $0.6 million, $0.9 million, $0.3 million, $0.3 million and $0.3 million for the quarter ended June 28, 2007, the 2007 post-IPO period, the 2007 pre-IPO period, the quarter ended June 29, 2006 and the six months ended June 29, 2006, respectively, of share-based compensation expense for these options. As of June 28, 2007, unrecognized compensation cost related to nonvested options was approximately $12.6 million, which will be recognized over a weighted-average remaining period of between 54 and 66 months.</w:t>
      </w:r>
    </w:p>
    <w:p>
      <w:pPr>
        <w:spacing w:after="0" w:line="3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 The Company implemented a restricted stock program as part of the Equity Incentive Plan. The plan provides for restricted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officers, board members and other key employees. Under the restricted stock program, common stock of the Company may be granted at no cost to officers, board members and key employees, subject to a continued employment restriction and as such restrictions lapse (generally at the start of each subsequent calendar year), the award vests in that proportion. The participants are entitled to cash dividends and to vote their respective shares, although the sale and transfer of such shares is prohibited and the shares are subject to forfeiture during the restricted period. The shares are also subject to the terms and provisions of the Equity Incentive Plan.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shares of restricted stock that were granted during the period and outstanding as of June 28, 2007:</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Period February 13,</w:t>
            </w:r>
          </w:p>
        </w:tc>
      </w:tr>
      <w:tr>
        <w:trPr>
          <w:trHeight w:val="149"/>
        </w:trPr>
        <w:tc>
          <w:tcPr>
            <w:tcW w:w="834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2007 through</w:t>
            </w:r>
          </w:p>
        </w:tc>
      </w:tr>
      <w:tr>
        <w:trPr>
          <w:trHeight w:val="149"/>
        </w:trPr>
        <w:tc>
          <w:tcPr>
            <w:tcW w:w="834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28,</w:t>
            </w:r>
          </w:p>
        </w:tc>
      </w:tr>
      <w:tr>
        <w:trPr>
          <w:trHeight w:val="175"/>
        </w:trPr>
        <w:tc>
          <w:tcPr>
            <w:tcW w:w="83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5"/>
                <w:szCs w:val="15"/>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period ended June 28, 2007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275,184</w:t>
            </w:r>
          </w:p>
        </w:tc>
        <w:tc>
          <w:tcPr>
            <w:tcW w:w="60" w:type="dxa"/>
            <w:vAlign w:val="bottom"/>
            <w:shd w:val="clear" w:color="auto" w:fill="CCEEFF"/>
          </w:tcPr>
          <w:p>
            <w:pPr>
              <w:spacing w:after="0"/>
              <w:rPr>
                <w:sz w:val="18"/>
                <w:szCs w:val="18"/>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(3,339)</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28, 2007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271,845</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The Company recorded $0.3 million and $0.5 million compensation expense related to such outstanding restricted shares during the quarter ended June 28, 2007 and the period February 13, 2007 through June 28, 2007, respectively. As of June 28, 2007, unrecognized compensation cost related to non-vested restricted stock was approximately $5.3 million, which will be recognized over a weighted-average remaining period of between 8 months and 59 months.</w:t>
      </w:r>
    </w:p>
    <w:p>
      <w:pPr>
        <w:spacing w:after="0" w:line="20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Quarter</w:t>
            </w:r>
          </w:p>
        </w:tc>
        <w:tc>
          <w:tcPr>
            <w:tcW w:w="9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Period February 13,</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June 28,</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2007</w:t>
            </w: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440"/>
              <w:spacing w:after="0"/>
              <w:rPr>
                <w:sz w:val="20"/>
                <w:szCs w:val="20"/>
                <w:color w:val="auto"/>
              </w:rPr>
            </w:pPr>
            <w:r>
              <w:rPr>
                <w:rFonts w:ascii="Arial" w:cs="Arial" w:eastAsia="Arial" w:hAnsi="Arial"/>
                <w:sz w:val="18"/>
                <w:szCs w:val="18"/>
                <w:color w:val="auto"/>
                <w:w w:val="98"/>
              </w:rPr>
              <w:t>Add: Dilutive effect of stock options and restricted stock</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143,091</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42,143,091</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42,132,782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800" w:type="dxa"/>
            <w:vAlign w:val="bottom"/>
          </w:tcPr>
          <w:p>
            <w:pPr>
              <w:spacing w:after="0"/>
              <w:rPr>
                <w:sz w:val="24"/>
                <w:szCs w:val="24"/>
                <w:color w:val="auto"/>
              </w:rPr>
            </w:pPr>
          </w:p>
        </w:tc>
        <w:tc>
          <w:tcPr>
            <w:tcW w:w="2660" w:type="dxa"/>
            <w:vAlign w:val="bottom"/>
          </w:tcPr>
          <w:p>
            <w:pPr>
              <w:jc w:val="right"/>
              <w:ind w:right="20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effect of the 51,850,951 convertible NCM LLC common units held by the founding members at June 28, 2007 has been excluded from the calculation of diluted weighted average shares and earnings per share as they are antidilutive due to interest expense arising from accretion of the discount on the taxes payable to founding members which is not allocable to the minority interest.</w:t>
      </w:r>
    </w:p>
    <w:p>
      <w:pPr>
        <w:spacing w:after="0" w:line="2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rFonts w:ascii="Arial" w:cs="Arial" w:eastAsia="Arial" w:hAnsi="Arial"/>
          <w:sz w:val="18"/>
          <w:szCs w:val="18"/>
          <w:b w:val="1"/>
          <w:bCs w:val="1"/>
          <w:color w:val="auto"/>
        </w:rPr>
      </w:pPr>
    </w:p>
    <w:p>
      <w:pPr>
        <w:ind w:left="460" w:right="6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July 30, 2007, the Company declared a cash dividend of $0.15 per share on each share of the Company’s common stock (including outstanding restricted stock), payable on September 6, 2007, to stockholders of record on August 23, 2007.</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Unaudited Pro Forma Financial Information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as well as information contained in our Form 10-K filed with the Securities and Exchange Commission on March 28, 2007 for the fiscal year ended December 28, 2006, including “Business-Corporate History,” “Business-Reorganization,” “Management’s Discussion and Analysis of Financial Condition and Results of Operations,” ”Executive Compensation” and with our unaudited historical financial statements and the notes thereto included elsewhere in this document.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in our Form 10-K and elsewhere in this document.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unaudited pro forma condensed consolidated statements of operations for the six months ended June 28, 2007 and the quarter and six months ended June 29, 2006 present the consolidated results of operations of NCM, Inc. assuming the initial public offering, reorganization and senior secured credit facility transactions discussed in detail in our Form 10-K filed with the Securities and Exchange Commission on March 28, 2007 for the fiscal year ended December 28, 2006 had been completed and the material changes to contractual arrangements, which occurred in connection with the completion of the IPO and related transactions described had become effective as of December 30, 2005.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The pro forma statements of operations do not include the full impact of additional administrative costs of a public. The adjustments as set forth below are described in detail in the notes to the unaudited pro forma condensed consolidated statements of operations and principally include the matters set forth below.</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contractual adjustments include adjustments to reflect the terms of the amended and restated ESAs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historical results of operations, in that they (i) assign legacy contracts to NCM LLC and eliminate the related administration fee, (ii) make additional inventory of lobby promotions, CineMeetings and Fathom events available to NCM LLC on a pre-approved basis, (iii) make additional theatre advertising inventory available to NCM LLC subject to the founding members’ rights to buy such inventory at stated rates in order for them to fulfill their on-screen advertising commitments with their beverage concessionaires and (iv) change the circuit share expense to the theatre access fee, resulting in lower payments as a percentage of revenue to our founding members.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Legacy contracts are those advertising contracts entered into by RCM and AMC prior to the formation of NCM LLC that were retained by RCM and AMC and managed by NCM LLC for a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adjustments result from:</w:t>
      </w:r>
    </w:p>
    <w:p>
      <w:pPr>
        <w:spacing w:after="0" w:line="90" w:lineRule="exact"/>
        <w:rPr>
          <w:sz w:val="20"/>
          <w:szCs w:val="20"/>
          <w:color w:val="auto"/>
        </w:rPr>
      </w:pPr>
    </w:p>
    <w:p>
      <w:pPr>
        <w:ind w:left="1120" w:hanging="31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replacement of employee unit options with Company stock options and the grant of additional stock options and restricted stock;</w:t>
      </w:r>
    </w:p>
    <w:p>
      <w:pPr>
        <w:spacing w:after="0" w:line="113" w:lineRule="exact"/>
        <w:rPr>
          <w:rFonts w:ascii="Arial" w:cs="Arial" w:eastAsia="Arial" w:hAnsi="Arial"/>
          <w:sz w:val="16"/>
          <w:szCs w:val="16"/>
          <w:color w:val="auto"/>
        </w:rPr>
      </w:pPr>
    </w:p>
    <w:p>
      <w:pPr>
        <w:ind w:left="1120" w:right="180" w:hanging="315"/>
        <w:spacing w:after="0" w:line="268"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the offering and the use of proceeds therefrom, including NCM, Inc.’s acquisition of 44.8% of the common membership units of NCM LLC;</w:t>
      </w:r>
    </w:p>
    <w:p>
      <w:pPr>
        <w:spacing w:after="0" w:line="50" w:lineRule="exact"/>
        <w:rPr>
          <w:rFonts w:ascii="Arial" w:cs="Arial" w:eastAsia="Arial" w:hAnsi="Arial"/>
          <w:sz w:val="18"/>
          <w:szCs w:val="18"/>
          <w:color w:val="auto"/>
        </w:rPr>
      </w:pPr>
    </w:p>
    <w:p>
      <w:pPr>
        <w:ind w:left="1120" w:right="40" w:hanging="315"/>
        <w:spacing w:after="0" w:line="268"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the financing transaction, pursuant to which all the preferred membership units of NCM LLC were redeemed from the proceeds of the term loan portion of a new senior secured credit facility; and</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income tax provision to account for NCM, Inc.’s status as a taxable entity.</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the Company have been significantly impacted by related party transactions, as discussed more fully in the unaudited historical financial statements included elsewhere in this document, and the future operating results of NCM, Inc. will also be impacted by related party transactions. Historical and pro forma results of operations are not necessarily indicative of what would have occurred had all transactions occurred with unrelated parties. Also, the pro forma condensed consolidated financial information should not be relied upon as being indicative of NCM, Inc. or NCM LLC’s results of operations had the contractual adjustments and the transaction adjustments been completed on December 30, 2005. The unaudited pro forma condensed consolidated financial information also does not project the results of operations or financial position for any future period or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28,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Pre-IPO</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Post-IPO</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period December 29,</w:t>
            </w:r>
          </w:p>
        </w:tc>
        <w:tc>
          <w:tcPr>
            <w:tcW w:w="2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period February 13,</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5"/>
              </w:rPr>
              <w:t>June 28,</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2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Historical</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Historical</w:t>
            </w:r>
          </w:p>
        </w:tc>
        <w:tc>
          <w:tcPr>
            <w:tcW w:w="5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105.8</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Circuit share costs/theatre access fees – founding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color w:val="auto"/>
                <w:w w:val="95"/>
              </w:rPr>
              <w:t>Income/(Loss) before income taxes and minority interest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320" w:type="dxa"/>
            <w:vAlign w:val="bottom"/>
            <w:gridSpan w:val="2"/>
          </w:tcPr>
          <w:p>
            <w:pPr>
              <w:spacing w:after="0"/>
              <w:rPr>
                <w:sz w:val="20"/>
                <w:szCs w:val="20"/>
                <w:color w:val="auto"/>
              </w:rPr>
            </w:pPr>
            <w:r>
              <w:rPr>
                <w:rFonts w:ascii="Arial" w:cs="Arial" w:eastAsia="Arial" w:hAnsi="Arial"/>
                <w:sz w:val="18"/>
                <w:szCs w:val="18"/>
                <w:color w:val="auto"/>
              </w:rPr>
              <w:t>Minority interest, net</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29,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29,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29, 2006</w:t>
            </w:r>
          </w:p>
        </w:tc>
        <w:tc>
          <w:tcPr>
            <w:tcW w:w="260" w:type="dxa"/>
            <w:vAlign w:val="bottom"/>
          </w:tcPr>
          <w:p>
            <w:pPr>
              <w:spacing w:after="0"/>
              <w:rPr>
                <w:sz w:val="12"/>
                <w:szCs w:val="12"/>
                <w:color w:val="auto"/>
              </w:rPr>
            </w:pPr>
          </w:p>
        </w:tc>
        <w:tc>
          <w:tcPr>
            <w:tcW w:w="132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Transaction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Pro Forma,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Historical</w:t>
            </w:r>
          </w:p>
        </w:tc>
        <w:tc>
          <w:tcPr>
            <w:tcW w:w="26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32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112"/>
              <w:spacing w:after="0"/>
              <w:rPr>
                <w:sz w:val="20"/>
                <w:szCs w:val="20"/>
                <w:color w:val="auto"/>
              </w:rPr>
            </w:pPr>
            <w:r>
              <w:rPr>
                <w:rFonts w:ascii="Arial" w:cs="Arial" w:eastAsia="Arial" w:hAnsi="Arial"/>
                <w:sz w:val="18"/>
                <w:szCs w:val="18"/>
                <w:color w:val="auto"/>
                <w:w w:val="85"/>
              </w:rPr>
              <w:t>33.1</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center"/>
              <w:ind w:left="112"/>
              <w:spacing w:after="0"/>
              <w:rPr>
                <w:sz w:val="20"/>
                <w:szCs w:val="20"/>
                <w:color w:val="auto"/>
              </w:rPr>
            </w:pPr>
            <w:r>
              <w:rPr>
                <w:rFonts w:ascii="Arial" w:cs="Arial" w:eastAsia="Arial" w:hAnsi="Arial"/>
                <w:sz w:val="18"/>
                <w:szCs w:val="18"/>
                <w:color w:val="auto"/>
                <w:w w:val="85"/>
              </w:rPr>
              <w:t>29.6</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Circuit share costs/theatre access fees – founding members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5"/>
              </w:rPr>
              <w:t>56.7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5"/>
              </w:rPr>
              <w:t>56.7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112"/>
              <w:spacing w:after="0"/>
              <w:rPr>
                <w:sz w:val="20"/>
                <w:szCs w:val="20"/>
                <w:color w:val="auto"/>
              </w:rPr>
            </w:pPr>
            <w:r>
              <w:rPr>
                <w:rFonts w:ascii="Arial" w:cs="Arial" w:eastAsia="Arial" w:hAnsi="Arial"/>
                <w:sz w:val="18"/>
                <w:szCs w:val="18"/>
                <w:color w:val="auto"/>
                <w:w w:val="85"/>
              </w:rPr>
              <w:t>56.7</w:t>
            </w:r>
          </w:p>
        </w:tc>
        <w:tc>
          <w:tcPr>
            <w:tcW w:w="5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29,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29,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June 29, 2006</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Transaction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Historical</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Circuit share costs/theatre access fees – founding members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the Pro Forma Condensed Consolidated Statements of Operations:</w:t>
      </w:r>
    </w:p>
    <w:p>
      <w:pPr>
        <w:spacing w:after="0" w:line="90" w:lineRule="exact"/>
        <w:rPr>
          <w:sz w:val="20"/>
          <w:szCs w:val="20"/>
          <w:color w:val="auto"/>
        </w:rPr>
      </w:pPr>
    </w:p>
    <w:p>
      <w:pPr>
        <w:ind w:left="900" w:right="20" w:hanging="446"/>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amended and restated ESAs, based on the actual revenue generated from those legacy contracts and the reversal of the related legacy contract administrative fees historically recorded by NCM LLC. Legacy advertising contracts are those contracts signed by RCM and AMC prior to the formation of NCM LLC. In addition, adjustments include the pro forma effect of the revenue from the sale of additional theatre advertising inventory to the founding members, in accordance with the exhibitor services agreements, in order for the founding members to fulfill their beverage concessionaire agreement on-screen advertising commitments. Contractual adjustments also include the change in circuit share payments pursuant to the exhibitor services agreements. Under the terms of the prior exhibitor service agreements with the founding members, the circuit share payments were based on varying percentages of advertising revenue. Under the amended and restated ESAs, the theatre access fee payments will initially be based on a per attendee and per digital screen calculation.</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new senior secured credit facility of approximately $0.5 million per quarter.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$2.8 million per quarter.</w:t>
      </w:r>
    </w:p>
    <w:p>
      <w:pPr>
        <w:spacing w:after="0" w:line="37"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offering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The convertible common membership units of the founding members (which aggregate 51,850,951 shares) are not included as they are antidilutive, due to inclusion in interest expense of non-cash accretion of the discounted tax payable to founding members which is not deducted by NCM LLC.</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words like “may,” “will,”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28, 2007 with the Securities and Exchange Commission for the Company’s fiscal year ended December 28, 2006. The following discussion and analysis should be read in conjunction with the unaudited condensed consolidated financial statement and notes thereto included herein and the audited financial statements and other disclosure included in our annual report on Form 10-K filed on March 28, 2007 with the Securities and Exchange Commission for the Company’s fiscal year ended December 28, 2006.</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Accordingly, historical financial data does not give effect to the reorganization, the completion of the initial public offering of the Company and the financing transaction of NCM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NCM LLC was formed on March 29, 2005, by AMC and Regal as a joint venture that combined the cinema advertising and meetings and events operations of a wholly owned subsidiary of Regal and the cinema advertising operations of a wholly owned subsidiary of AMCE. On July 15, 2005, Cinemark, through a wholly-owned subsidiary, joined NCM LLC as a founding member. Because Cinemark had a pre-existing contract with another cinema advertising provider, NCM LLC began selling advertising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Cinemark’s screens on an exclusive basis beginning on January 1, 2006, subject to the run-out of certain pre-existing contractual obligations for on-screen advertising through April 1, 2006. As a result, we began to record revenue from the sale of advertising for Cinemark’s screens on January 1, 2006 on a non-exclusive basis until April 1, 2006. Cinemark acquired Century theatres in October 2006 and NCM LLC began to sell advertising on an exclusive basis in those Century theatres in November 2006.</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results of operations data for the quarter and six months ended June 29, 2006 and the period December 28, 2006 through February 12, 2007 (the “2007 pre-IPO period”), and the summary balance sheet data as of December 28, 2006 presented herein, were derived from the historical financial statements of NCM LLC. The financial statements for the 2007 pre-IPO period give effect to allocations of revenues and expenses made using relative percentages of founding member attendance or days in each period, discrete events and other methods management considered to be a reasonable reflection of the results for such period. The results of operations data for the quarter ended June 28, 2007 and the period February 13, 2007 through June 28, 2007 (the “2007 post-IPO period”) were derived from the unaudited condensed consolidated financial results of NCM, Inc. The historical financial data of NCM LLC may not be indicative of the Company’s future performance nor will such data reflect what its financial position and results of operations would have been had it operated as an independent publicly traded company during the historical periods presented.</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revenue is principally derived from the sale of advertising and, to a lesser extent, from our CineMeetings business and Fathom events business. We have long-term exhibitor services agreements with NCM LLC’s founding members and multi-year agreements with several other unrelated theatre operators, whom we refer to as network affiliates. The exhibitor services agreements with the founding members and network affiliate agreements grant us exclusive rights, subject to limited exceptions, to sell advertising and meeting services and distribute entertainment programming in those theatres using our digital content network technology. Our advertising, CineMeetings and Fathom events are distributed primarily to theatres that are digitally equipped with our proprietary digital content network technology. In excess of 90% of the aggregate founding member and network affiliate attendance is included in our digital network.</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manage our business, management focuses on several measurements that we believe provide us with the necessary ratios and key performance indicators for us to determine how we are performing versus our internal goals and targets, and against the performance of our competitors and other benchmarks in the market place in which we operate. Management confers monthly, discuss and analyze significant variances in an effort to identify trends and changes in our business. As noted above, we focus on Adjusted EBITDA and Adjusted EBITDA margin as our primary measurement. In addition, we pay particular attention to our monthly advertising performance measurements, including advertising inventory utilization, pricing (CPM), advertising revenue per founding member attendee and the number of CineMeetings and Fathom event locations and revenue per location. Finally, we monitor our cash flow to ensure that debt obligations are met, and that activity under our revolving credit facility is managed.</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operating data and EBITDA on a historical and a pro forma basis. See “—EBITDA” below for a discussion of the calculation of adjusted EBITDA and reconciliation to net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1"/>
                <w:szCs w:val="11"/>
                <w:color w:val="auto"/>
              </w:rPr>
            </w:pPr>
          </w:p>
        </w:tc>
        <w:tc>
          <w:tcPr>
            <w:tcW w:w="11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1"/>
              </w:rPr>
              <w:t>Post-IPO</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7"/>
              </w:rPr>
              <w:t>Pre-IPO</w:t>
            </w:r>
          </w:p>
        </w:tc>
        <w:tc>
          <w:tcPr>
            <w:tcW w:w="1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2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June 28,</w:t>
            </w:r>
          </w:p>
        </w:tc>
        <w:tc>
          <w:tcPr>
            <w:tcW w:w="2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c>
          <w:tcPr>
            <w:tcW w:w="1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29,</w:t>
            </w:r>
          </w:p>
        </w:tc>
        <w:tc>
          <w:tcPr>
            <w:tcW w:w="1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73.0</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457"/>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57.3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80"/>
              <w:spacing w:after="0"/>
              <w:rPr>
                <w:sz w:val="20"/>
                <w:szCs w:val="20"/>
                <w:color w:val="auto"/>
              </w:rPr>
            </w:pPr>
            <w:r>
              <w:rPr>
                <w:rFonts w:ascii="Arial" w:cs="Arial" w:eastAsia="Arial" w:hAnsi="Arial"/>
                <w:sz w:val="18"/>
                <w:szCs w:val="18"/>
                <w:color w:val="auto"/>
                <w:w w:val="79"/>
              </w:rPr>
              <w:t>36.6</w:t>
            </w:r>
          </w:p>
        </w:tc>
        <w:tc>
          <w:tcPr>
            <w:tcW w:w="26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39.0</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459"/>
        </w:trPr>
        <w:tc>
          <w:tcPr>
            <w:tcW w:w="3560" w:type="dxa"/>
            <w:vAlign w:val="bottom"/>
            <w:gridSpan w:val="2"/>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left="21"/>
              <w:spacing w:after="0"/>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“Results of Operations—Factors Affecting Comparability of Results of Operations” and in “Risk Factors” contained in our annual report on Form 10-K for the fiscal year ended December 28,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results of operations data for the quarter and six months ended June 29, 2006 and the period December 28, 2006 through February 12, 2007, and the summary balance sheet data as of December 28, 2006, were derived from the historical financial statements and accounting records of NCM LLC. The results of operations data for the quarter ended June 28, 2007 and the period February 13, 2007 through June 28, 2007 were derived from the unaudited condensed consolidated financial statements and accounting records of NCM, Inc. that include the accounts of NCM LLC, which is a 44.8% owned consolidated subsidiary.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becoming a member of NCM LLC, each founding member entered into an exhibitor services agreement with NCM LLC, which remained in effect until the founding members entered into amended and restated ESAs upon the completion of the IPO. At NCM LLC’s formation, each of AMC and Regal retained their pre-existing advertising contracts and NCM LLC administered those contracts on behalf of those founding members for an administrative fee equal to a percentage of total revenue (32% for the periods through February 12, 2007). Over time as these “legacy” advertising contracts were fulfilled and NCM LLC entered into new contracts directly with advertisers, the administrative fees declined and our advertising revenue increased. The total underlying legacy contract value was approximately equal to our administrative fees during that period divided by the 32% administrative fee percentage. In addition,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 On October 5, 2006, Cinemark completed the acquisition of the Century theatre circuit, and the Century screens were added to our network on an exclusive basis in November 2006. The timing of the addition of the Cinemark and Century theatres to our network affects the comparability of results from the periods as they were not included in the results from the full quarter ended June 29, 2006.</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believe the most meaningful metric to ascertain the growth of our advertising revenue among all historical periods presented is the total amount of our advertising revenue, excluding advertising revenue associated with the founding member beverage concessionaire agreements, plus the legacy contract value, which we refer to as “advertising contract value”. We also monitor the trend of total advertising contract value, divided by the total number of founding member attendees as which we refer to as “total advertising contract value per founding member attendee”. We believe these metrics are helpful to analyze advertising revenue performance across our reporting periods, and provides a measure of revenue which is independent of the number of screens in our network and corresponding attendance for which advertising services are being provided.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amended and restated ESAs that became effective on February 13, 2007, NCM LLC total advertising revenue will increase significantly due to the payments from the founding members for the display of up to 90 seconds of on-screen advertising under their beverage concessionaire agreements at an agreed upon rate. In addition, as discussed above, the conversion from circuit share to theatre access fee structure will reduce the payments made to the founding members as a percentage of advertising revenue.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increases in the size of our network, as well as differences in the structure of circuit share expense and theatre access fee and the circuit beverage revenue limit the comparability of revenues and operating expenses for all reporting periods. Therefore, certain components of operating expenses, including selling and marketing, administrative, and depreciation expense, will be analyzed on the basis of cost per founding member attendee. We will also analyze on the basis of operating expense as a percentage of revenues, as this metric will provide meaningful trend analysis.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presents total advertising contract value and operating expenses per founding member attendee for the Company for the quarter ended June 28, 2007 and the 2007 post-IPO period and for NCM LLC for the 2007 pre-IPO period and the quarter ending June 29, 2006, which will be discussed further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Period February 13,</w:t>
            </w:r>
          </w:p>
        </w:tc>
        <w:tc>
          <w:tcPr>
            <w:tcW w:w="4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Period December 29,</w:t>
            </w: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24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June 28,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2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29,</w:t>
            </w:r>
          </w:p>
        </w:tc>
      </w:tr>
      <w:tr>
        <w:trPr>
          <w:trHeight w:val="175"/>
        </w:trPr>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r>
      <w:tr>
        <w:trPr>
          <w:trHeight w:val="201"/>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contract value ($ in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64.9</w:t>
            </w:r>
          </w:p>
        </w:tc>
        <w:tc>
          <w:tcPr>
            <w:tcW w:w="3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88.4</w:t>
            </w:r>
          </w:p>
        </w:tc>
        <w:tc>
          <w:tcPr>
            <w:tcW w:w="66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20.9</w:t>
            </w: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56.5</w:t>
            </w: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5"/>
              </w:rPr>
              <w:t>84.2</w:t>
            </w:r>
          </w:p>
        </w:tc>
        <w:tc>
          <w:tcPr>
            <w:tcW w:w="140" w:type="dxa"/>
            <w:vAlign w:val="bottom"/>
            <w:shd w:val="clear" w:color="auto" w:fill="CCEEFF"/>
          </w:tcPr>
          <w:p>
            <w:pPr>
              <w:spacing w:after="0"/>
              <w:rPr>
                <w:sz w:val="19"/>
                <w:szCs w:val="19"/>
                <w:color w:val="auto"/>
              </w:rPr>
            </w:pPr>
          </w:p>
        </w:tc>
      </w:tr>
      <w:tr>
        <w:trPr>
          <w:trHeight w:val="208"/>
        </w:trPr>
        <w:tc>
          <w:tcPr>
            <w:tcW w:w="3220" w:type="dxa"/>
            <w:vAlign w:val="bottom"/>
          </w:tcPr>
          <w:p>
            <w:pPr>
              <w:spacing w:after="0"/>
              <w:rPr>
                <w:sz w:val="20"/>
                <w:szCs w:val="20"/>
                <w:color w:val="auto"/>
              </w:rPr>
            </w:pPr>
            <w:r>
              <w:rPr>
                <w:rFonts w:ascii="Arial" w:cs="Arial" w:eastAsia="Arial" w:hAnsi="Arial"/>
                <w:sz w:val="18"/>
                <w:szCs w:val="18"/>
                <w:color w:val="auto"/>
              </w:rPr>
              <w:t>Total advertising contract value per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220" w:type="dxa"/>
            <w:vAlign w:val="bottom"/>
          </w:tcPr>
          <w:p>
            <w:pPr>
              <w:ind w:left="220"/>
              <w:spacing w:after="0"/>
              <w:rPr>
                <w:sz w:val="20"/>
                <w:szCs w:val="20"/>
                <w:color w:val="auto"/>
              </w:rPr>
            </w:pPr>
            <w:r>
              <w:rPr>
                <w:rFonts w:ascii="Arial" w:cs="Arial" w:eastAsia="Arial" w:hAnsi="Arial"/>
                <w:sz w:val="18"/>
                <w:szCs w:val="18"/>
                <w:color w:val="auto"/>
              </w:rPr>
              <w:t>founding member attendee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0.47</w:t>
            </w:r>
          </w:p>
        </w:tc>
        <w:tc>
          <w:tcPr>
            <w:tcW w:w="36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w w:val="79"/>
              </w:rPr>
              <w:t>0.44</w:t>
            </w:r>
          </w:p>
        </w:tc>
        <w:tc>
          <w:tcPr>
            <w:tcW w:w="660" w:type="dxa"/>
            <w:vAlign w:val="bottom"/>
            <w:tcBorders>
              <w:right w:val="single" w:sz="8" w:color="auto"/>
            </w:tcBorders>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w w:val="85"/>
              </w:rPr>
              <w:t>0.31</w:t>
            </w:r>
          </w:p>
        </w:tc>
        <w:tc>
          <w:tcPr>
            <w:tcW w:w="36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80"/>
              <w:spacing w:after="0"/>
              <w:rPr>
                <w:sz w:val="20"/>
                <w:szCs w:val="20"/>
                <w:color w:val="auto"/>
              </w:rPr>
            </w:pPr>
            <w:r>
              <w:rPr>
                <w:rFonts w:ascii="Arial" w:cs="Arial" w:eastAsia="Arial" w:hAnsi="Arial"/>
                <w:sz w:val="18"/>
                <w:szCs w:val="18"/>
                <w:color w:val="auto"/>
                <w:w w:val="85"/>
              </w:rPr>
              <w:t>0.42</w:t>
            </w:r>
          </w:p>
        </w:tc>
        <w:tc>
          <w:tcPr>
            <w:tcW w:w="36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260"/>
              <w:spacing w:after="0"/>
              <w:rPr>
                <w:sz w:val="20"/>
                <w:szCs w:val="20"/>
                <w:color w:val="auto"/>
              </w:rPr>
            </w:pPr>
            <w:r>
              <w:rPr>
                <w:rFonts w:ascii="Arial" w:cs="Arial" w:eastAsia="Arial" w:hAnsi="Arial"/>
                <w:sz w:val="18"/>
                <w:szCs w:val="18"/>
                <w:color w:val="auto"/>
                <w:w w:val="85"/>
              </w:rPr>
              <w:t>0.33</w:t>
            </w:r>
          </w:p>
        </w:tc>
        <w:tc>
          <w:tcPr>
            <w:tcW w:w="140" w:type="dxa"/>
            <w:vAlign w:val="bottom"/>
          </w:tcPr>
          <w:p>
            <w:pPr>
              <w:spacing w:after="0"/>
              <w:rPr>
                <w:sz w:val="19"/>
                <w:szCs w:val="19"/>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 per founding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member attendee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0.20</w:t>
            </w:r>
          </w:p>
        </w:tc>
        <w:tc>
          <w:tcPr>
            <w:tcW w:w="3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0.20</w:t>
            </w:r>
          </w:p>
        </w:tc>
        <w:tc>
          <w:tcPr>
            <w:tcW w:w="66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0.19</w:t>
            </w: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0.17</w:t>
            </w: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5"/>
              </w:rPr>
              <w:t>0.17</w:t>
            </w:r>
          </w:p>
        </w:tc>
        <w:tc>
          <w:tcPr>
            <w:tcW w:w="140" w:type="dxa"/>
            <w:vAlign w:val="bottom"/>
            <w:shd w:val="clear" w:color="auto" w:fill="CCEEFF"/>
          </w:tcPr>
          <w:p>
            <w:pPr>
              <w:spacing w:after="0"/>
              <w:rPr>
                <w:sz w:val="19"/>
                <w:szCs w:val="19"/>
                <w:color w:val="auto"/>
              </w:rPr>
            </w:pPr>
          </w:p>
        </w:tc>
      </w:tr>
      <w:tr>
        <w:trPr>
          <w:trHeight w:val="208"/>
        </w:trPr>
        <w:tc>
          <w:tcPr>
            <w:tcW w:w="3220" w:type="dxa"/>
            <w:vAlign w:val="bottom"/>
          </w:tcPr>
          <w:p>
            <w:pPr>
              <w:spacing w:after="0"/>
              <w:rPr>
                <w:sz w:val="20"/>
                <w:szCs w:val="20"/>
                <w:color w:val="auto"/>
              </w:rPr>
            </w:pPr>
            <w:r>
              <w:rPr>
                <w:rFonts w:ascii="Arial" w:cs="Arial" w:eastAsia="Arial" w:hAnsi="Arial"/>
                <w:sz w:val="18"/>
                <w:szCs w:val="18"/>
                <w:color w:val="auto"/>
                <w:w w:val="92"/>
              </w:rPr>
              <w:t>Total operating expense as a percentage of</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3220" w:type="dxa"/>
            <w:vAlign w:val="bottom"/>
          </w:tcPr>
          <w:p>
            <w:pPr>
              <w:ind w:left="2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right w:val="single" w:sz="8" w:color="auto"/>
            </w:tcBorders>
            <w:gridSpan w:val="2"/>
          </w:tcPr>
          <w:p>
            <w:pPr>
              <w:ind w:left="720"/>
              <w:spacing w:after="0"/>
              <w:rPr>
                <w:sz w:val="20"/>
                <w:szCs w:val="20"/>
                <w:color w:val="auto"/>
              </w:rPr>
            </w:pPr>
            <w:r>
              <w:rPr>
                <w:rFonts w:ascii="Arial" w:cs="Arial" w:eastAsia="Arial" w:hAnsi="Arial"/>
                <w:sz w:val="18"/>
                <w:szCs w:val="18"/>
                <w:color w:val="auto"/>
              </w:rPr>
              <w:t>34.8%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w w:val="86"/>
              </w:rPr>
              <w:t>49.3%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28, 2007 and June 29, 2006</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June 28, 2007 was $83.7 million as compared to $57.1 million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2006, an increase of $26.6 million, or 46.6%. The increase was the result of payments from the founding members related to the beverage advertising, an increase in average founding member screens of 8.4%, the conversion or assignment of certain legacy contracts, an increase in local on-screen revenue of 46.8% and a 42.9% increase in meetings and events revenue. National revenues increased despite a decrease in national advertising inventory utilization from 83.9% to 82.5% and a 5.5% decrease in national advertising CPMs primarily due to the sale of branded content segments. The decrease in national inventory utilization and CPMs was primarily due to the weak scatter market early in the second quarter of 2007, a decision to pass on contracts with low CPMs and a delay into the third and fourth quarter of content partner advertising commitments. The meeting and events revenue increase related primarily to an increase in event count of approximately 62.6% and an approximate 6.7% increase in average revenue per event, primarily due to the success of several Fathom events across several content categories.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Total advertising contract value per founding member attendee for the Company for the quarter ended June 28, 2007 was $0.47, while the total advertising contract value per founding member attendee was $0.42 during the quarter ended June 29, 2006. The increase in the advertising contract value per founding member of approximately 12.0% was primarily the result of increased expenditures from certain existing clients, the expansion of our advertising client base and the sale of branded content segments.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June 28, 2007 was $27.2 million as compared to $23.0 million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2006. The increase of 18.3% for the second quarter of 2007 versus total operating expenses for the second quarter of 2006 was primarily the result of the increase in sales commissions and event costs associated with the increase in revenue discussed above and increased administrative expenses due to additional staffing and infrastructure required to support the increase in the number of advertising contracts, expansion of the network and public company compliance, as well as increases in non-cash costs associated with our equity incentive plan.</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Total operating expenses per founding member attendee for the Company for the quarter ended June 28, 2007 was $0.20, while the total operating expenses per founding member attendee was $0.17 during the quarter ended June 29, 2006. The increase was primarily the result of the factors discussed in the previous paragraph, partially offset by better absorption of the fixed nature of many of our operating expenses associated with our advertising business. Operating expenses as a percentage of revenues was 32.5% for the quarter ended June 28, 2007 as compared to 40.3% for the quarter ended June 29, 2006. The decrease in the percentage is the result of higher revenue levels discussed above, but also is a result of the scalable nature of components of our operating expenses.</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Circuit share expense/theatre access fee. </w:t>
      </w:r>
      <w:r>
        <w:rPr>
          <w:rFonts w:ascii="Arial" w:cs="Arial" w:eastAsia="Arial" w:hAnsi="Arial"/>
          <w:sz w:val="16"/>
          <w:szCs w:val="16"/>
          <w:color w:val="auto"/>
        </w:rPr>
        <w:t>Theatre access fees of the Company for the quarter ended June 28, 2007 were $12.0 million, while circuit share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$34.4 million during the quarter ended June 29, 2006. Total theatre access fees as a percentage of revenue of the Company for the second quarter of 2007 was 14.4%, while the total circuit share expense as a percentage of revenue was 60.2% for the second quarter of 2006. The decrease for the second quarter of 2007 versus the NCM LLC second quarter of 2006 was primarily the result of the amended and restated ESAs that became effective upon the completion of the IPO as discussed above. The theatre access fee reflects a payment of $0.07 per founding member attendee plus $800 per founding member digital screen per year, while the circuit share was 68% of advertising revenue and a share of the meetings and events revenue.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income generated by the Company for the quarter ended June 28, 2007 was $6.3 million, while there was a net loss of $1.2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quarter ended June 29, 2006. The increase in the profitability was due to the increase in revenue and decrease in payments to the founding members discussed above, partially offset by an increase in interest expense associated with the new credit facilities and the income taxes and expenses associated with the tax receivable agreement and minority interest expense associated with the new corporate structure. The comparability of the net income of the periods presented is limited due to the size of our network and changes in the corporate structure and capitalization as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 February 13, 2007 through June 28, 2007 and Period December 28, 2006 through February 12, 2007 and the Six Months Ended June 29, 2006</w:t>
      </w:r>
    </w:p>
    <w:p>
      <w:pPr>
        <w:spacing w:after="0" w:line="11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of the Company for the 2007 post-IPO period was $116.2 million, while total revenue for the 2007 pre-IPO period was $23.6</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as compared to $84.5 million during the six months ended June 29, 2006. The 2007 increase of the combined 2007 post-IPO period and 2007 pre-IPO period versus the revenue for the six months ended June 29, 2006 was the result of payments from the founding members related to the beverage advertising, the sale of branded content segments, an increase in national advertising inventory utilization from 66.9% to 74.7%, consistent national advertising CPMs, an increase in average founding member screens of 8.4%, the conversion or assignment of certain legacy contracts, an increase in local on-screen revenue of 30.5% and a 73.7% increase in meetings and events revenue. The meeting and events revenue increase related primarily to an increase in event count of approximately 61.1% and an approximate 23.0% increase in average revenue per event, primarily due to the success of the Metropolitan Opera live broadcast events.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Total advertising contract value per founding member attendee for the Company for the 2007 post-IPO period was $0.44, while the total advertising contract value per founding member attendee was $0.31 for the 2007 pre-IPO period and $0.33 during the six months ended June 29, 2006. The increase in the advertising contract value per founding member for the combined 2007 post-IPO period and 2007 pre-IPO period versus the six months ended June 29, 2006 was primarily the result of the expansion of our advertising client base, expansion of our network and sale of branded content, as discussed above.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2007 post-IPO period were $40.4 million, $12.9 million during the 2007 pre-IPO period and $41.8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29, 2006. The increase of the combined 2007 post-IPO period and 2007 pre-IPO period versus total operating expenses for the six months ended June 29, 2006 was primarily the result of the increase in sales commissions and event costs associated with the increase in revenue discussed above and increased administrative expenses due to additional staffing and infrastructure required to support the increase in the number of advertising contracts, expansion of the network and public company compliance, as well as non-cash costs associated with our equity incentive plan.</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Total operating expenses per founding member attendee for the Company for the 2007 post-IPO period was $0.20, $0.19 for the 2007 pre-IPO period and $0.17 during the six months ended June 29, 2006. The increase in total operating expenses per founding member for the combined 2007 post-IPO period and 2007 pre-IPO period versus the quarter ended June 29, 2006 was primarily the result of increased expenses associated with the meetings and events businesses related to its increase in revenue, offset by the fixed nature of many of our operating expenses associated with our advertising business. Operating expenses as a percentage of revenues for the 2007 post-IPO period was 34.8%, for the 2007 pre-IPO period was 54.7% and for the six months ended June 29, 2006 was 49.3%. The decrease in the 2007 post-IPO period percentage is the result of higher revenue levels discussed above, but also is a result of the scalable nature of components of our operating expenses.</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i w:val="1"/>
          <w:iCs w:val="1"/>
          <w:color w:val="auto"/>
        </w:rPr>
        <w:t xml:space="preserve">Circuit share expense/theatre access fee. </w:t>
      </w:r>
      <w:r>
        <w:rPr>
          <w:rFonts w:ascii="Arial" w:cs="Arial" w:eastAsia="Arial" w:hAnsi="Arial"/>
          <w:sz w:val="15"/>
          <w:szCs w:val="15"/>
          <w:color w:val="auto"/>
        </w:rPr>
        <w:t>Theatre access fees of the Company for the 2007 post-IPO period were $17.5 million, while circuit share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was $14.4 million during the 2007 pre-IPO period and $50.6 million during six months ended June 28, 2006. The decrease for the 2007 post-IPO period versus the NCM LLC 2007 pre-IPO period and the six months ended June 29, 2006 was primarily the result of the amended and restated ESAs that became effective upon the completion of the IPO as discussed above. Total theatre access fees as a percentage of revenue of the Company for the 2007 post-IPO period were</w:t>
      </w:r>
    </w:p>
    <w:p>
      <w:pPr>
        <w:spacing w:after="0" w:line="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15.1%, while the total circuit share expense as a percentage of revenue was 61.0% for the 2007 pre-IPO period and 59.9% during the six months ended June 28, 2006. The decrease in the theatres access fee as a percentage of revenue for the 2007 post-IPO period was the result of the change in the structure of the theatre access fee as compared to the circuit share payments prior to the amendment and restatement of the ESAs, as previously discussed.</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income generated by the Company for the 2007 post-IPO period was $7.4 million, while for the 2007 pre-IPO period there was a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of $4.2 million and there was a net loss of $10.6 million during the six months ended June 29, 2006. The increase in the profitability of the Company for the 2007 post-IPO period versus the periods prior to the IPO was due to the increase in revenue and decrease in payments to the founding members discussed above, partially offset by an increase in interest expense associated with the new credit facilities and the income taxes and expenses associated with the tax receivable agreement and minority interest expense associated with the new corporate structure. The comparability of the net income of the periods presented is limited due to the differing lengths of the periods, size of our network and changes in the corporate structure and capitalization as discussed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which after the offering are included in the calculation of adjusted EBITDA including the Loews payments to determine our compliance with financial covenants under our new senior secured credit facility. AMC will make Loews payments to NCM LLC pursuant to the Loews screen integration agreement, which was $2.8 million for the quarter ended June 28, 2006 and is expected to be approximately $11 million to $12 million on a pro forma basis for the year.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a discussion of EBITDA, adjusted EBITDA and adjusted EBITDA margin to provide investors with supplemental measures of our operating performance and because they are the basis for an important financial covenant that is contained in our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companies, many of which present EBITDA, adjusted EBITDA and adjusted EBITDA margin when reporting their results. Also, because of the significant changes in our operating results that resulted from our acquisition of an interest in NCM LLC, the changes in the exhibitor services agreements and the financing transaction, we disclose pro forma EBITDA, adjusted EBITDA and adjusted EBITDA margin in this document. See the unaudited pro forma financial information contained elsewhere in this document.</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historical net income (loss) to historical EBITDA and adjusted EBITDA for the periods presented: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Post-IPO</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Pre-IPO</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26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26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9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June 28,</w:t>
            </w:r>
          </w:p>
        </w:tc>
        <w:tc>
          <w:tcPr>
            <w:tcW w:w="26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February 12,</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29,</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440"/>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Share-based compensation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40"/>
              <w:spacing w:after="0"/>
              <w:rPr>
                <w:sz w:val="20"/>
                <w:szCs w:val="20"/>
                <w:color w:val="auto"/>
              </w:rPr>
            </w:pPr>
            <w:r>
              <w:rPr>
                <w:rFonts w:ascii="Arial" w:cs="Arial" w:eastAsia="Arial" w:hAnsi="Arial"/>
                <w:sz w:val="18"/>
                <w:szCs w:val="18"/>
                <w:color w:val="auto"/>
              </w:rPr>
              <w:t>Adjusted EBITDA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pro forma net income to pro forma EBITDA and adjusted EBITDA for the periods presented: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June 28,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29,</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440"/>
              <w:spacing w:after="0"/>
              <w:rPr>
                <w:sz w:val="20"/>
                <w:szCs w:val="20"/>
                <w:color w:val="auto"/>
              </w:rPr>
            </w:pPr>
            <w:r>
              <w:rPr>
                <w:rFonts w:ascii="Arial" w:cs="Arial" w:eastAsia="Arial" w:hAnsi="Arial"/>
                <w:sz w:val="18"/>
                <w:szCs w:val="18"/>
                <w:color w:val="auto"/>
              </w:rPr>
              <w:t>EBITDA</w:t>
            </w:r>
          </w:p>
        </w:tc>
        <w:tc>
          <w:tcPr>
            <w:tcW w:w="8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69.4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Share-based compensation costs</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Adjusted EBITDA margin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Our primary sources of liquidity and capital resources are cash flows generated by the operating, investing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of our operating subsidiary, NCM LLC, and availability of up to $80.0 million under NCM LLC’s senior secured revolving credit facility entered into in February 2007.</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Management believes that future funds generated from our operations and available borrowing capacity of up to $80.0 million under our new revolving credit facility will be sufficient to fund quarterly dividends and other distributions, our debt service requirements, working capital requirements and capital expenditure requirements, through the next 12 months. We made a draw of $10.0 million on the new credit facility at the closing of the IPO to repay amounts outstanding under NCM LLC’s then-existing revolving credit facility and made a draw of $50.8 million on March 15, 2007 to repay remaining amounts owed to the founding members under the prior exhibitor services agreements that, due to timing differences, were funded by the collection by us of related receivables. The amount outstanding as of June 28, 2007 on our revolving credit facility was $43.0 million.</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short and long term cash requirements consist of minimum annual payments under our operating leases for our headquarters and regional offices and capital expenditures. Minimum annual operating lease requirements associated with our headquarters and regional offices are included in our direct operating expenses, which have historically been satisfied by cash generated from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operations. For the remainder of fiscal 2007, we are committed to $0.9 million of annual operating lease payments, and may be required to fund $2.0 million associated with an additional investment in our non-consolidated affiliate IdeaCast, Inc.’s 6% preferred stock if required by IdeaCast, Inc. or if we exercise our option. In addition, NCM LLC is required pursuant to terms of the operating agreement effective as of February 13, 2007 to distribute its available cash, as defined, to its members, including the Company. The available cash distribution for the quarter ended June 28, 2007 was approximately $31.4 million, of which $14.0 million was the Company’s portion. The total available cash distribution for the 2007 post-IPO period was approximately $41.1 million, of which $18.4 million was the Company’s portion. The Company will use cash received from the available cash distributions to fund current and future dividends as declared by the Board of Directors, the first of such dividend declared of $0.15 per share which will be paid on September 6, 2007.</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have typically been related to equipment required for our network operations center and content production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post-production facilities, digital content system, or DCS, and “back-office” capitalized software upgrades developed primarily by our programmers, office leasehold improvements, desktop equipment for use by our employees, and in certain cases, the costs necessary to digitize all or a portion of a network affiliate’s theatres. Capital expenditures for the 2007 post-IPO period were $3.3 million, while capital expenditures were $0.6 million for the 2007 pre-IPO period and $2.4 million for the six month period ended June 29, 2006. The capital expenditures have typically been satisfied through a combination of cash flow from operations and from financing sources. All capital expenditures related to the digital content network within NCM LLC’s founding members’ theatres have been made by the founding members under the exhibitor services agreements. We expect they will continue to be made by the founding members in accordance with the amended and restated ESAs.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June 28, 2007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2007*</w:t>
            </w:r>
          </w:p>
        </w:tc>
        <w:tc>
          <w:tcPr>
            <w:tcW w:w="3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2008-2009</w:t>
            </w: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2010-2011</w:t>
            </w:r>
          </w:p>
        </w:tc>
        <w:tc>
          <w:tcPr>
            <w:tcW w:w="34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After 2011</w:t>
            </w:r>
          </w:p>
        </w:tc>
        <w:tc>
          <w:tcPr>
            <w:tcW w:w="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0"/>
              </w:rPr>
              <w:t>$ —</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20" w:type="dxa"/>
            <w:vAlign w:val="bottom"/>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Future interest on borrowings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172.0</w:t>
            </w:r>
          </w:p>
        </w:tc>
        <w:tc>
          <w:tcPr>
            <w:tcW w:w="2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Network affiliate agreements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899.5</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Last six months of our fiscal year</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NCM LLC will be obligated to make periodic interest payments on the loans under the senior secured credit facility entered into in February 2007, based on an interest rate equal to an applicable margin plus either a variable base rate or a eurodollar rate. The applicable margin for the term loan facility is 0.75% with respect to base rate loans and 1.75% with respect to eurodollar loans. The applicable margin for the revolving credit facility is 0.75% with respect to base rate loans and 1.75% with respect to eurodollar loans. Commencing with the third fiscal quarter in fiscal year 2008, the applicable margin for the revolving credit facility will be determined quarterly and will be subject to downward adjustment based upon a consolidated net senior secured leverage ratio for NCM LLC and its subsidiaries (as defined in the NCM LLC credit agreement as the ratio of secured funded debt less unrestricted cash and cash equivalents, over adjusted EBITDA including the Loews payment). The terms of the new senior secured credit facility required us to hedge the cash flow variability of interest for at least 50% of the term loan. In March of 2007, NCM LLC entered into fixed interest rate swap arrangements hedging $550.0 million of the $725.0 million senior secured credit facility at a fixed interest rate of 6.734%. The amounts of future interest payments in the table above are based on the amount outstanding on the term loan, estimated rates of interest over the term of the variable rate portion and the rates in effect on our interest rate swap. In addition, we have a variable rate revolving credit agreement. Debt service requirements under this agreement will depend on the amounts borrowed and the level of the based interest rate.</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amended and restated ESAs entered into at the completion of our IPO require payments based on a combination of founding member attendance and the number of digital screens of each founding member. The former factor will vary from quarter to quarter and year to year as theatre attendance varies while the latter factor will be more predictable but will also vary quarter to quarter and year to year as screens are converted to digital screens and others are added or removed through acquisition, divestiture or closure activities of the founding members. The table above does not include amounts payable under the amended and restated ESAs as they are based on variable factors, which are not capable of precise estimation. In addition, in connection with NCM LLC’s investment in IdeaCast, Inc., an additional $2.0 million investment in 6% convertible preferred stock of IdeaCast, Inc. may be made, at NCM LLC’s option or at the option of IdeaCast, Inc. at any time prior to June 30, 2008. The amount is not included in the table above as it is not certain when or if such additional investment will be made.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for the fiscal year ended December 28, 2006 and incorporated by reference herein. As of June 28, 2007, there were no significant changes in those critical accounting policies or estimation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5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our first quarter typically has less revenue than the other quarters of a given year. Importantly, the results of one quarter are not necessarily indicative of results for the next or any future quarter.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primary market risk to which we are exposed is interest rate risk. On February 13, 2007, NCM LLC entered into a new $805.0 million senior secured credit facility, comprised of a $725.0 million term facility and $80.0 million revolver facility, which permits borrowings at a rate equal to an applicable margin plus, at our option, either a base rate or LIBOR. On March 2, 2007, NCM LLC entered into fixed interest rate swap arrangements hedging $550.0 million of the $725.0 million senior secured credit facility at a fixed interest rate of 6.734%. An increase or decrease in interest rates would affect interest costs relating to the variable portion of our senior secured debt facility which is not covered under the hedging agreement. At June 28, 2007, there was an aggregate of $175.0 million of variable rate debt outstanding on the term portion of our facility that was not covered by interest rate swaps, and $43.0 million of variable rate debt outstanding on the revolver portion of our facility. Based on the interest rate levels in effect on the variable rate debt outstanding at June 28, 2007, a 100 basis point fluctuation in market interest rates would have increased or decreased our interest expense by approximately $2.2 million for an annual period.</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Securities and Exchange Commission under the Securities Exchange Act of 1934,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June 28, 2007, our management evaluated, with the participation of the Chief Executive Officer and Chief Financial Officer, the effectiveness of the Company’s disclosure controls and procedures pursuant to Rule 13a-15(b) of the Securities Exchange Act of 1934. Based on that evaluation, the Company’s management concluded that the Company’s disclosure controls and procedures as of June 28, 2007 were effective.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28, 2007 with the Securities and Exchange Commission for the fiscal year ended December 28,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Exhibits –</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ind w:left="460"/>
        <w:spacing w:after="0"/>
        <w:tabs>
          <w:tab w:leader="none" w:pos="12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61658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ind w:left="56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 (1)</w:t>
      </w:r>
    </w:p>
    <w:p>
      <w:pPr>
        <w:spacing w:after="0" w:line="109"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(1)</w:t>
      </w:r>
    </w:p>
    <w:p>
      <w:pPr>
        <w:spacing w:after="0" w:line="11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Confirmation of Swap, dated as of June 12, 2007, between National CineMedia, LLC and Morgan Stanley Capital Services Inc.*</w:t>
      </w:r>
    </w:p>
    <w:p>
      <w:pPr>
        <w:spacing w:after="0" w:line="117" w:lineRule="exact"/>
        <w:rPr>
          <w:sz w:val="20"/>
          <w:szCs w:val="20"/>
          <w:color w:val="auto"/>
        </w:rPr>
      </w:pPr>
    </w:p>
    <w:p>
      <w:pPr>
        <w:ind w:left="1260" w:right="940" w:hanging="782"/>
        <w:spacing w:after="0" w:line="268" w:lineRule="auto"/>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ISDA Master Agreement dated as of March 2, 2007, between National CineMedia, LLC and Morgan Stanley Capital Services and Schedule*</w:t>
      </w:r>
    </w:p>
    <w:p>
      <w:pPr>
        <w:spacing w:after="0" w:line="78"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w:t>
      </w:r>
    </w:p>
    <w:p>
      <w:pPr>
        <w:spacing w:after="0" w:line="11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w:t>
      </w:r>
    </w:p>
    <w:p>
      <w:pPr>
        <w:spacing w:after="0" w:line="11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w:t>
      </w:r>
    </w:p>
    <w:p>
      <w:pPr>
        <w:spacing w:after="0" w:line="11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620" w:right="1380" w:hanging="5612"/>
        <w:spacing w:after="0" w:line="433" w:lineRule="auto"/>
        <w:tabs>
          <w:tab w:leader="none" w:pos="4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the Registrant’s Registration Statement on Form S-8 (File No. 333-140652) filed on February 13, 2007. 31</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spacing w:after="0"/>
        <w:tabs>
          <w:tab w:leader="none" w:pos="600" w:val="left"/>
          <w:tab w:leader="none" w:pos="7520" w:val="left"/>
        </w:tabs>
        <w:rPr>
          <w:sz w:val="20"/>
          <w:szCs w:val="20"/>
          <w:color w:val="auto"/>
        </w:rPr>
      </w:pPr>
      <w:r>
        <w:rPr>
          <w:rFonts w:ascii="Arial" w:cs="Arial" w:eastAsia="Arial" w:hAnsi="Arial"/>
          <w:sz w:val="18"/>
          <w:szCs w:val="18"/>
          <w:color w:val="auto"/>
        </w:rPr>
        <w:t>Dated:</w:t>
        <w:tab/>
        <w:t>August 10, 2007</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600" w:val="left"/>
          <w:tab w:leader="none" w:pos="7520" w:val="left"/>
        </w:tabs>
        <w:rPr>
          <w:sz w:val="20"/>
          <w:szCs w:val="20"/>
          <w:color w:val="auto"/>
        </w:rPr>
      </w:pPr>
      <w:r>
        <w:rPr>
          <w:rFonts w:ascii="Arial" w:cs="Arial" w:eastAsia="Arial" w:hAnsi="Arial"/>
          <w:sz w:val="18"/>
          <w:szCs w:val="18"/>
          <w:color w:val="auto"/>
        </w:rPr>
        <w:t>Dated:</w:t>
        <w:tab/>
        <w:t>August 10, 2007</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Accounting and Financial Officer)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59"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118110</wp:posOffset>
            </wp:positionV>
            <wp:extent cx="126047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6047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June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NATIONAL CINEMEDIA,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David Oddo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13037928668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Swap Transaction Ref. No. HR6K9</w:t>
      </w:r>
    </w:p>
    <w:p>
      <w:pPr>
        <w:spacing w:after="0" w:line="90"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 xml:space="preserve">THIS CONFIRMATION AMENDS AND RESTATES IN ITS ENTIRETY THE PREVIOUS CONFIRMATION FOR THIS TRANSACTION </w:t>
      </w:r>
      <w:r>
        <w:rPr>
          <w:rFonts w:ascii="Arial" w:cs="Arial" w:eastAsia="Arial" w:hAnsi="Arial"/>
          <w:sz w:val="18"/>
          <w:szCs w:val="18"/>
          <w:color w:val="auto"/>
        </w:rPr>
        <w:t>Amendment: ATE removed, ISDA Master Agreement date added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Sir or Madam:</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purpose of this letter agreement is to set forth the terms and conditions of the transaction entered into between MORGAN STANLEY CAPITAL SERVICES INC. and National Cinemedia, LLC on the Trade Date specified below (the “Transaction”). This facsimile constitutes a “Confirmation” as referred to in the Agreement as specified below.</w:t>
      </w:r>
    </w:p>
    <w:p>
      <w:pPr>
        <w:spacing w:after="0" w:line="14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definitions and provisions contained in the 2000 ISDA Definitions (the “Definitions”) as published by the International Swaps and Derivatives Association, Inc. (“ISDA”) are incorporated into this Confirmation. For these purposes, all references in the Definitions to a “Swap Transaction” shall be deemed to apply to the Transaction referred to herein. In the event of any inconsistency between the Definitions and this Confirmation, this Confirmation will govern.</w:t>
      </w:r>
    </w:p>
    <w:p>
      <w:pPr>
        <w:spacing w:after="0" w:line="1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This Confirmation supplements, forms part of, and is subject to, the ISDA Master Agreement dated as of March 2, 2007, as amended and supplemented from time to time (the “Agreement”) between you and us. All provisions contained in the Agreement govern this Confirmation except as expressly modified below.</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This confirmation will be governed by and construed in accordance with New York Law without choice of law doctrine, provided that this provision will be superseded by any choice of law provision contained in the Agreement to be executed between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the particular Transaction to which this Confirmation relates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Party A:</w:t>
            </w:r>
          </w:p>
        </w:tc>
        <w:tc>
          <w:tcPr>
            <w:tcW w:w="8160" w:type="dxa"/>
            <w:vAlign w:val="bottom"/>
            <w:gridSpan w:val="2"/>
          </w:tcPr>
          <w:p>
            <w:pPr>
              <w:ind w:left="1220"/>
              <w:spacing w:after="0"/>
              <w:rPr>
                <w:sz w:val="20"/>
                <w:szCs w:val="20"/>
                <w:color w:val="auto"/>
              </w:rPr>
            </w:pPr>
            <w:r>
              <w:rPr>
                <w:rFonts w:ascii="Arial" w:cs="Arial" w:eastAsia="Arial" w:hAnsi="Arial"/>
                <w:sz w:val="18"/>
                <w:szCs w:val="18"/>
                <w:color w:val="auto"/>
              </w:rPr>
              <w:t>MORGAN STANLEY CAPITAL SERVICES INC.</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Party A Credit Support:</w:t>
            </w:r>
          </w:p>
        </w:tc>
        <w:tc>
          <w:tcPr>
            <w:tcW w:w="8160" w:type="dxa"/>
            <w:vAlign w:val="bottom"/>
            <w:gridSpan w:val="2"/>
          </w:tcPr>
          <w:p>
            <w:pPr>
              <w:ind w:left="1220"/>
              <w:spacing w:after="0"/>
              <w:rPr>
                <w:sz w:val="20"/>
                <w:szCs w:val="20"/>
                <w:color w:val="auto"/>
              </w:rPr>
            </w:pPr>
            <w:r>
              <w:rPr>
                <w:rFonts w:ascii="Arial" w:cs="Arial" w:eastAsia="Arial" w:hAnsi="Arial"/>
                <w:sz w:val="18"/>
                <w:szCs w:val="18"/>
                <w:color w:val="auto"/>
              </w:rPr>
              <w:t>Payments guaranteed by Morgan Stanley</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Party B:</w:t>
            </w:r>
          </w:p>
        </w:tc>
        <w:tc>
          <w:tcPr>
            <w:tcW w:w="8160" w:type="dxa"/>
            <w:vAlign w:val="bottom"/>
            <w:gridSpan w:val="2"/>
          </w:tcPr>
          <w:p>
            <w:pPr>
              <w:ind w:left="1220"/>
              <w:spacing w:after="0"/>
              <w:rPr>
                <w:sz w:val="20"/>
                <w:szCs w:val="20"/>
                <w:color w:val="auto"/>
              </w:rPr>
            </w:pPr>
            <w:r>
              <w:rPr>
                <w:rFonts w:ascii="Arial" w:cs="Arial" w:eastAsia="Arial" w:hAnsi="Arial"/>
                <w:sz w:val="18"/>
                <w:szCs w:val="18"/>
                <w:color w:val="auto"/>
              </w:rPr>
              <w:t>NATIONAL CINEMEDIA, LLC</w:t>
            </w:r>
          </w:p>
        </w:tc>
      </w:tr>
      <w:tr>
        <w:trPr>
          <w:trHeight w:val="318"/>
        </w:trPr>
        <w:tc>
          <w:tcPr>
            <w:tcW w:w="2900" w:type="dxa"/>
            <w:vAlign w:val="bottom"/>
          </w:tcPr>
          <w:p>
            <w:pPr>
              <w:spacing w:after="0"/>
              <w:rPr>
                <w:sz w:val="20"/>
                <w:szCs w:val="20"/>
                <w:color w:val="auto"/>
              </w:rPr>
            </w:pPr>
            <w:r>
              <w:rPr>
                <w:rFonts w:ascii="Arial" w:cs="Arial" w:eastAsia="Arial" w:hAnsi="Arial"/>
                <w:sz w:val="18"/>
                <w:szCs w:val="18"/>
                <w:color w:val="auto"/>
              </w:rPr>
              <w:t>Notional Amount:</w:t>
            </w:r>
          </w:p>
        </w:tc>
        <w:tc>
          <w:tcPr>
            <w:tcW w:w="8160" w:type="dxa"/>
            <w:vAlign w:val="bottom"/>
            <w:gridSpan w:val="2"/>
          </w:tcPr>
          <w:p>
            <w:pPr>
              <w:ind w:left="1220"/>
              <w:spacing w:after="0"/>
              <w:rPr>
                <w:sz w:val="20"/>
                <w:szCs w:val="20"/>
                <w:color w:val="auto"/>
              </w:rPr>
            </w:pPr>
            <w:r>
              <w:rPr>
                <w:rFonts w:ascii="Arial" w:cs="Arial" w:eastAsia="Arial" w:hAnsi="Arial"/>
                <w:sz w:val="18"/>
                <w:szCs w:val="18"/>
                <w:color w:val="auto"/>
              </w:rPr>
              <w:t>USD 137,500,000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Trade Date:</w:t>
            </w:r>
          </w:p>
        </w:tc>
        <w:tc>
          <w:tcPr>
            <w:tcW w:w="8160" w:type="dxa"/>
            <w:vAlign w:val="bottom"/>
            <w:gridSpan w:val="2"/>
          </w:tcPr>
          <w:p>
            <w:pPr>
              <w:ind w:left="1220"/>
              <w:spacing w:after="0"/>
              <w:rPr>
                <w:sz w:val="20"/>
                <w:szCs w:val="20"/>
                <w:color w:val="auto"/>
              </w:rPr>
            </w:pPr>
            <w:r>
              <w:rPr>
                <w:rFonts w:ascii="Arial" w:cs="Arial" w:eastAsia="Arial" w:hAnsi="Arial"/>
                <w:sz w:val="18"/>
                <w:szCs w:val="18"/>
                <w:color w:val="auto"/>
              </w:rPr>
              <w:t>2 March 2007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Effective Date:</w:t>
            </w:r>
          </w:p>
        </w:tc>
        <w:tc>
          <w:tcPr>
            <w:tcW w:w="1420" w:type="dxa"/>
            <w:vAlign w:val="bottom"/>
          </w:tcPr>
          <w:p>
            <w:pPr>
              <w:ind w:left="1220"/>
              <w:spacing w:after="0"/>
              <w:rPr>
                <w:sz w:val="20"/>
                <w:szCs w:val="20"/>
                <w:color w:val="auto"/>
              </w:rPr>
            </w:pPr>
            <w:r>
              <w:rPr>
                <w:rFonts w:ascii="Arial" w:cs="Arial" w:eastAsia="Arial" w:hAnsi="Arial"/>
                <w:sz w:val="18"/>
                <w:szCs w:val="18"/>
                <w:color w:val="auto"/>
                <w:w w:val="89"/>
              </w:rPr>
              <w:t>13</w:t>
            </w:r>
          </w:p>
        </w:tc>
        <w:tc>
          <w:tcPr>
            <w:tcW w:w="6740" w:type="dxa"/>
            <w:vAlign w:val="bottom"/>
          </w:tcPr>
          <w:p>
            <w:pPr>
              <w:ind w:left="20"/>
              <w:spacing w:after="0"/>
              <w:rPr>
                <w:sz w:val="20"/>
                <w:szCs w:val="20"/>
                <w:color w:val="auto"/>
              </w:rPr>
            </w:pPr>
            <w:r>
              <w:rPr>
                <w:rFonts w:ascii="Arial" w:cs="Arial" w:eastAsia="Arial" w:hAnsi="Arial"/>
                <w:sz w:val="18"/>
                <w:szCs w:val="18"/>
                <w:color w:val="auto"/>
              </w:rPr>
              <w:t>March 2007</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Termination Date:</w:t>
            </w:r>
          </w:p>
        </w:tc>
        <w:tc>
          <w:tcPr>
            <w:tcW w:w="1420" w:type="dxa"/>
            <w:vAlign w:val="bottom"/>
          </w:tcPr>
          <w:p>
            <w:pPr>
              <w:ind w:left="1220"/>
              <w:spacing w:after="0"/>
              <w:rPr>
                <w:sz w:val="20"/>
                <w:szCs w:val="20"/>
                <w:color w:val="auto"/>
              </w:rPr>
            </w:pPr>
            <w:r>
              <w:rPr>
                <w:rFonts w:ascii="Arial" w:cs="Arial" w:eastAsia="Arial" w:hAnsi="Arial"/>
                <w:sz w:val="18"/>
                <w:szCs w:val="18"/>
                <w:color w:val="auto"/>
                <w:w w:val="89"/>
              </w:rPr>
              <w:t>13</w:t>
            </w:r>
          </w:p>
        </w:tc>
        <w:tc>
          <w:tcPr>
            <w:tcW w:w="6740" w:type="dxa"/>
            <w:vAlign w:val="bottom"/>
          </w:tcPr>
          <w:p>
            <w:pPr>
              <w:ind w:left="20"/>
              <w:spacing w:after="0"/>
              <w:rPr>
                <w:sz w:val="20"/>
                <w:szCs w:val="20"/>
                <w:color w:val="auto"/>
              </w:rPr>
            </w:pPr>
            <w:r>
              <w:rPr>
                <w:rFonts w:ascii="Arial" w:cs="Arial" w:eastAsia="Arial" w:hAnsi="Arial"/>
                <w:sz w:val="18"/>
                <w:szCs w:val="18"/>
                <w:color w:val="auto"/>
                <w:w w:val="89"/>
              </w:rPr>
              <w:t>February 2015, subject to adjustment in accordance with the Modified Following Business Day</w:t>
            </w:r>
          </w:p>
        </w:tc>
      </w:tr>
    </w:tbl>
    <w:p>
      <w:pPr>
        <w:ind w:left="4120"/>
        <w:spacing w:after="0"/>
        <w:rPr>
          <w:sz w:val="20"/>
          <w:szCs w:val="20"/>
          <w:color w:val="auto"/>
        </w:rPr>
      </w:pPr>
      <w:r>
        <w:rPr>
          <w:rFonts w:ascii="Arial" w:cs="Arial" w:eastAsia="Arial" w:hAnsi="Arial"/>
          <w:sz w:val="18"/>
          <w:szCs w:val="18"/>
          <w:color w:val="auto"/>
        </w:rPr>
        <w:t>Convention.</w:t>
      </w:r>
    </w:p>
    <w:p>
      <w:pPr>
        <w:sectPr>
          <w:pgSz w:w="11900" w:h="16838" w:orient="portrait"/>
          <w:cols w:equalWidth="0" w:num="1">
            <w:col w:w="11420"/>
          </w:cols>
          <w:pgMar w:left="2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20"/>
                <w:szCs w:val="20"/>
                <w:color w:val="auto"/>
              </w:rPr>
            </w:pPr>
            <w:r>
              <w:rPr>
                <w:rFonts w:ascii="Arial" w:cs="Arial" w:eastAsia="Arial" w:hAnsi="Arial"/>
                <w:sz w:val="18"/>
                <w:szCs w:val="18"/>
                <w:b w:val="1"/>
                <w:bCs w:val="1"/>
                <w:color w:val="auto"/>
              </w:rPr>
              <w:t>Floating Amounts</w:t>
            </w:r>
          </w:p>
        </w:tc>
        <w:tc>
          <w:tcPr>
            <w:tcW w:w="80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Party A</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Floating Rate Payer:</w:t>
            </w:r>
          </w:p>
        </w:tc>
        <w:tc>
          <w:tcPr>
            <w:tcW w:w="8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Floating Rate Payer Notional Amount:</w:t>
            </w:r>
          </w:p>
        </w:tc>
        <w:tc>
          <w:tcPr>
            <w:tcW w:w="8000" w:type="dxa"/>
            <w:vAlign w:val="bottom"/>
          </w:tcPr>
          <w:p>
            <w:pPr>
              <w:ind w:left="700"/>
              <w:spacing w:after="0"/>
              <w:rPr>
                <w:sz w:val="20"/>
                <w:szCs w:val="20"/>
                <w:color w:val="auto"/>
              </w:rPr>
            </w:pPr>
            <w:r>
              <w:rPr>
                <w:rFonts w:ascii="Arial" w:cs="Arial" w:eastAsia="Arial" w:hAnsi="Arial"/>
                <w:sz w:val="18"/>
                <w:szCs w:val="18"/>
                <w:color w:val="auto"/>
              </w:rPr>
              <w:t>USD 137,500,000</w:t>
            </w:r>
          </w:p>
        </w:tc>
        <w:tc>
          <w:tcPr>
            <w:tcW w:w="0" w:type="dxa"/>
            <w:vAlign w:val="bottom"/>
          </w:tcPr>
          <w:p>
            <w:pPr>
              <w:spacing w:after="0"/>
              <w:rPr>
                <w:sz w:val="1"/>
                <w:szCs w:val="1"/>
                <w:color w:val="auto"/>
              </w:rPr>
            </w:pPr>
          </w:p>
        </w:tc>
      </w:tr>
      <w:tr>
        <w:trPr>
          <w:trHeight w:val="318"/>
        </w:trPr>
        <w:tc>
          <w:tcPr>
            <w:tcW w:w="3420" w:type="dxa"/>
            <w:vAlign w:val="bottom"/>
          </w:tcPr>
          <w:p>
            <w:pPr>
              <w:spacing w:after="0"/>
              <w:rPr>
                <w:sz w:val="20"/>
                <w:szCs w:val="20"/>
                <w:color w:val="auto"/>
              </w:rPr>
            </w:pPr>
            <w:r>
              <w:rPr>
                <w:rFonts w:ascii="Arial" w:cs="Arial" w:eastAsia="Arial" w:hAnsi="Arial"/>
                <w:sz w:val="18"/>
                <w:szCs w:val="18"/>
                <w:color w:val="auto"/>
              </w:rPr>
              <w:t>Floating Rate Payer Payment Dates:</w:t>
            </w:r>
          </w:p>
        </w:tc>
        <w:tc>
          <w:tcPr>
            <w:tcW w:w="8000" w:type="dxa"/>
            <w:vAlign w:val="bottom"/>
          </w:tcPr>
          <w:p>
            <w:pPr>
              <w:ind w:left="700"/>
              <w:spacing w:after="0"/>
              <w:rPr>
                <w:sz w:val="20"/>
                <w:szCs w:val="20"/>
                <w:color w:val="auto"/>
              </w:rPr>
            </w:pPr>
            <w:r>
              <w:rPr>
                <w:rFonts w:ascii="Arial" w:cs="Arial" w:eastAsia="Arial" w:hAnsi="Arial"/>
                <w:sz w:val="18"/>
                <w:szCs w:val="18"/>
                <w:color w:val="auto"/>
                <w:w w:val="88"/>
              </w:rPr>
              <w:t>On 13 March, 13 June, 13 September And 13 December in each year, from and including 13 June 2007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w w:val="88"/>
              </w:rPr>
              <w:t>to and including 13 December 2014 with a final payment on 13 February 2015, subject to adjustment in</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accordance with the Modified Following Business Day Convention</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Floating Rate Option:</w:t>
            </w:r>
          </w:p>
        </w:tc>
        <w:tc>
          <w:tcPr>
            <w:tcW w:w="8000" w:type="dxa"/>
            <w:vAlign w:val="bottom"/>
          </w:tcPr>
          <w:p>
            <w:pPr>
              <w:ind w:left="700"/>
              <w:spacing w:after="0"/>
              <w:rPr>
                <w:sz w:val="20"/>
                <w:szCs w:val="20"/>
                <w:color w:val="auto"/>
              </w:rPr>
            </w:pPr>
            <w:r>
              <w:rPr>
                <w:rFonts w:ascii="Arial" w:cs="Arial" w:eastAsia="Arial" w:hAnsi="Arial"/>
                <w:sz w:val="18"/>
                <w:szCs w:val="18"/>
                <w:color w:val="auto"/>
              </w:rPr>
              <w:t>USD-LIBOR-BBA</w:t>
            </w:r>
          </w:p>
        </w:tc>
        <w:tc>
          <w:tcPr>
            <w:tcW w:w="0" w:type="dxa"/>
            <w:vAlign w:val="bottom"/>
          </w:tcPr>
          <w:p>
            <w:pPr>
              <w:spacing w:after="0"/>
              <w:rPr>
                <w:sz w:val="1"/>
                <w:szCs w:val="1"/>
                <w:color w:val="auto"/>
              </w:rPr>
            </w:pPr>
          </w:p>
        </w:tc>
      </w:tr>
      <w:tr>
        <w:trPr>
          <w:trHeight w:val="318"/>
        </w:trPr>
        <w:tc>
          <w:tcPr>
            <w:tcW w:w="3420" w:type="dxa"/>
            <w:vAlign w:val="bottom"/>
          </w:tcPr>
          <w:p>
            <w:pPr>
              <w:spacing w:after="0"/>
              <w:rPr>
                <w:sz w:val="20"/>
                <w:szCs w:val="20"/>
                <w:color w:val="auto"/>
              </w:rPr>
            </w:pPr>
            <w:r>
              <w:rPr>
                <w:rFonts w:ascii="Arial" w:cs="Arial" w:eastAsia="Arial" w:hAnsi="Arial"/>
                <w:sz w:val="18"/>
                <w:szCs w:val="18"/>
                <w:color w:val="auto"/>
              </w:rPr>
              <w:t>Designated Maturity:</w:t>
            </w:r>
          </w:p>
        </w:tc>
        <w:tc>
          <w:tcPr>
            <w:tcW w:w="8000" w:type="dxa"/>
            <w:vAlign w:val="bottom"/>
          </w:tcPr>
          <w:p>
            <w:pPr>
              <w:ind w:left="700"/>
              <w:spacing w:after="0"/>
              <w:rPr>
                <w:sz w:val="20"/>
                <w:szCs w:val="20"/>
                <w:color w:val="auto"/>
              </w:rPr>
            </w:pPr>
            <w:r>
              <w:rPr>
                <w:rFonts w:ascii="Arial" w:cs="Arial" w:eastAsia="Arial" w:hAnsi="Arial"/>
                <w:sz w:val="18"/>
                <w:szCs w:val="18"/>
                <w:color w:val="auto"/>
                <w:w w:val="91"/>
              </w:rPr>
              <w:t>3 Months, except for the final Calculation Period which shall be the Linear Interpolation between two</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months and three months.</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Floating Rate Day Count Fraction:</w:t>
            </w:r>
          </w:p>
        </w:tc>
        <w:tc>
          <w:tcPr>
            <w:tcW w:w="8000" w:type="dxa"/>
            <w:vAlign w:val="bottom"/>
          </w:tcPr>
          <w:p>
            <w:pPr>
              <w:ind w:left="700"/>
              <w:spacing w:after="0"/>
              <w:rPr>
                <w:sz w:val="20"/>
                <w:szCs w:val="20"/>
                <w:color w:val="auto"/>
              </w:rPr>
            </w:pPr>
            <w:r>
              <w:rPr>
                <w:rFonts w:ascii="Arial" w:cs="Arial" w:eastAsia="Arial" w:hAnsi="Arial"/>
                <w:sz w:val="18"/>
                <w:szCs w:val="18"/>
                <w:color w:val="auto"/>
              </w:rPr>
              <w:t>ACTUAL/360</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Reset Dates:</w:t>
            </w:r>
          </w:p>
        </w:tc>
        <w:tc>
          <w:tcPr>
            <w:tcW w:w="8000" w:type="dxa"/>
            <w:vAlign w:val="bottom"/>
          </w:tcPr>
          <w:p>
            <w:pPr>
              <w:ind w:left="700"/>
              <w:spacing w:after="0"/>
              <w:rPr>
                <w:sz w:val="20"/>
                <w:szCs w:val="20"/>
                <w:color w:val="auto"/>
              </w:rPr>
            </w:pPr>
            <w:r>
              <w:rPr>
                <w:rFonts w:ascii="Arial" w:cs="Arial" w:eastAsia="Arial" w:hAnsi="Arial"/>
                <w:sz w:val="18"/>
                <w:szCs w:val="18"/>
                <w:color w:val="auto"/>
              </w:rPr>
              <w:t>The first day of each Calculation Period</w:t>
            </w:r>
          </w:p>
        </w:tc>
        <w:tc>
          <w:tcPr>
            <w:tcW w:w="0" w:type="dxa"/>
            <w:vAlign w:val="bottom"/>
          </w:tcPr>
          <w:p>
            <w:pPr>
              <w:spacing w:after="0"/>
              <w:rPr>
                <w:sz w:val="1"/>
                <w:szCs w:val="1"/>
                <w:color w:val="auto"/>
              </w:rPr>
            </w:pPr>
          </w:p>
        </w:tc>
      </w:tr>
      <w:tr>
        <w:trPr>
          <w:trHeight w:val="318"/>
        </w:trPr>
        <w:tc>
          <w:tcPr>
            <w:tcW w:w="3420" w:type="dxa"/>
            <w:vAlign w:val="bottom"/>
          </w:tcPr>
          <w:p>
            <w:pPr>
              <w:spacing w:after="0"/>
              <w:rPr>
                <w:sz w:val="20"/>
                <w:szCs w:val="20"/>
                <w:color w:val="auto"/>
              </w:rPr>
            </w:pPr>
            <w:r>
              <w:rPr>
                <w:rFonts w:ascii="Arial" w:cs="Arial" w:eastAsia="Arial" w:hAnsi="Arial"/>
                <w:sz w:val="18"/>
                <w:szCs w:val="18"/>
                <w:b w:val="1"/>
                <w:bCs w:val="1"/>
                <w:color w:val="auto"/>
              </w:rPr>
              <w:t>Fixed Amounts</w:t>
            </w:r>
          </w:p>
        </w:tc>
        <w:tc>
          <w:tcPr>
            <w:tcW w:w="80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Party B</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Fixed Rate Payer:</w:t>
            </w:r>
          </w:p>
        </w:tc>
        <w:tc>
          <w:tcPr>
            <w:tcW w:w="8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Fixed Rate Payer Notional Amount:</w:t>
            </w:r>
          </w:p>
        </w:tc>
        <w:tc>
          <w:tcPr>
            <w:tcW w:w="8000" w:type="dxa"/>
            <w:vAlign w:val="bottom"/>
          </w:tcPr>
          <w:p>
            <w:pPr>
              <w:ind w:left="700"/>
              <w:spacing w:after="0"/>
              <w:rPr>
                <w:sz w:val="20"/>
                <w:szCs w:val="20"/>
                <w:color w:val="auto"/>
              </w:rPr>
            </w:pPr>
            <w:r>
              <w:rPr>
                <w:rFonts w:ascii="Arial" w:cs="Arial" w:eastAsia="Arial" w:hAnsi="Arial"/>
                <w:sz w:val="18"/>
                <w:szCs w:val="18"/>
                <w:color w:val="auto"/>
              </w:rPr>
              <w:t>USD 137,500,000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Fixed Rate Payer Payment Dates:</w:t>
            </w:r>
          </w:p>
        </w:tc>
        <w:tc>
          <w:tcPr>
            <w:tcW w:w="8000" w:type="dxa"/>
            <w:vAlign w:val="bottom"/>
          </w:tcPr>
          <w:p>
            <w:pPr>
              <w:ind w:left="700"/>
              <w:spacing w:after="0"/>
              <w:rPr>
                <w:sz w:val="20"/>
                <w:szCs w:val="20"/>
                <w:color w:val="auto"/>
              </w:rPr>
            </w:pPr>
            <w:r>
              <w:rPr>
                <w:rFonts w:ascii="Arial" w:cs="Arial" w:eastAsia="Arial" w:hAnsi="Arial"/>
                <w:sz w:val="18"/>
                <w:szCs w:val="18"/>
                <w:color w:val="auto"/>
                <w:w w:val="88"/>
              </w:rPr>
              <w:t>On 13 March, 13 June, 13 September And 13 December in each year, from and including 13 June 2007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w w:val="88"/>
              </w:rPr>
              <w:t>to and including 13 December 2014 with a final payment on 13 February 2015, subject to adjustment in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accordance with the Modified Following Business Day Convention</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Fixed Rate:</w:t>
            </w:r>
          </w:p>
        </w:tc>
        <w:tc>
          <w:tcPr>
            <w:tcW w:w="8000" w:type="dxa"/>
            <w:vAlign w:val="bottom"/>
          </w:tcPr>
          <w:p>
            <w:pPr>
              <w:ind w:left="700"/>
              <w:spacing w:after="0"/>
              <w:rPr>
                <w:sz w:val="20"/>
                <w:szCs w:val="20"/>
                <w:color w:val="auto"/>
              </w:rPr>
            </w:pPr>
            <w:r>
              <w:rPr>
                <w:rFonts w:ascii="Arial" w:cs="Arial" w:eastAsia="Arial" w:hAnsi="Arial"/>
                <w:sz w:val="18"/>
                <w:szCs w:val="18"/>
                <w:color w:val="auto"/>
              </w:rPr>
              <w:t>4.984000 %</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Fixed Rate Day Count Fraction:</w:t>
            </w:r>
          </w:p>
        </w:tc>
        <w:tc>
          <w:tcPr>
            <w:tcW w:w="8000" w:type="dxa"/>
            <w:vAlign w:val="bottom"/>
          </w:tcPr>
          <w:p>
            <w:pPr>
              <w:ind w:left="700"/>
              <w:spacing w:after="0"/>
              <w:rPr>
                <w:sz w:val="20"/>
                <w:szCs w:val="20"/>
                <w:color w:val="auto"/>
              </w:rPr>
            </w:pPr>
            <w:r>
              <w:rPr>
                <w:rFonts w:ascii="Arial" w:cs="Arial" w:eastAsia="Arial" w:hAnsi="Arial"/>
                <w:sz w:val="18"/>
                <w:szCs w:val="18"/>
                <w:color w:val="auto"/>
              </w:rPr>
              <w:t>ACTUAL/360</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Business Days for Payment</w:t>
            </w:r>
          </w:p>
        </w:tc>
        <w:tc>
          <w:tcPr>
            <w:tcW w:w="8000" w:type="dxa"/>
            <w:vAlign w:val="bottom"/>
          </w:tcPr>
          <w:p>
            <w:pPr>
              <w:ind w:left="700"/>
              <w:spacing w:after="0"/>
              <w:rPr>
                <w:sz w:val="20"/>
                <w:szCs w:val="20"/>
                <w:color w:val="auto"/>
              </w:rPr>
            </w:pPr>
            <w:r>
              <w:rPr>
                <w:rFonts w:ascii="Arial" w:cs="Arial" w:eastAsia="Arial" w:hAnsi="Arial"/>
                <w:sz w:val="18"/>
                <w:szCs w:val="18"/>
                <w:color w:val="auto"/>
              </w:rPr>
              <w:t>London And New York</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Calculation Agent:</w:t>
            </w:r>
          </w:p>
        </w:tc>
        <w:tc>
          <w:tcPr>
            <w:tcW w:w="8000" w:type="dxa"/>
            <w:vAlign w:val="bottom"/>
          </w:tcPr>
          <w:p>
            <w:pPr>
              <w:ind w:left="700"/>
              <w:spacing w:after="0"/>
              <w:rPr>
                <w:sz w:val="20"/>
                <w:szCs w:val="20"/>
                <w:color w:val="auto"/>
              </w:rPr>
            </w:pPr>
            <w:r>
              <w:rPr>
                <w:rFonts w:ascii="Arial" w:cs="Arial" w:eastAsia="Arial" w:hAnsi="Arial"/>
                <w:sz w:val="18"/>
                <w:szCs w:val="18"/>
                <w:color w:val="auto"/>
              </w:rPr>
              <w:t>Party A, or as specified in the Agreement</w:t>
            </w:r>
          </w:p>
        </w:tc>
        <w:tc>
          <w:tcPr>
            <w:tcW w:w="0" w:type="dxa"/>
            <w:vAlign w:val="bottom"/>
          </w:tcPr>
          <w:p>
            <w:pPr>
              <w:spacing w:after="0"/>
              <w:rPr>
                <w:sz w:val="1"/>
                <w:szCs w:val="1"/>
                <w:color w:val="auto"/>
              </w:rPr>
            </w:pPr>
          </w:p>
        </w:tc>
      </w:tr>
      <w:tr>
        <w:trPr>
          <w:trHeight w:val="312"/>
        </w:trPr>
        <w:tc>
          <w:tcPr>
            <w:tcW w:w="3420" w:type="dxa"/>
            <w:vAlign w:val="bottom"/>
          </w:tcPr>
          <w:p>
            <w:pPr>
              <w:spacing w:after="0"/>
              <w:rPr>
                <w:sz w:val="20"/>
                <w:szCs w:val="20"/>
                <w:color w:val="auto"/>
              </w:rPr>
            </w:pPr>
            <w:r>
              <w:rPr>
                <w:rFonts w:ascii="Arial" w:cs="Arial" w:eastAsia="Arial" w:hAnsi="Arial"/>
                <w:sz w:val="18"/>
                <w:szCs w:val="18"/>
                <w:b w:val="1"/>
                <w:bCs w:val="1"/>
                <w:color w:val="auto"/>
              </w:rPr>
              <w:t>Other Provisions:</w:t>
            </w:r>
          </w:p>
        </w:tc>
        <w:tc>
          <w:tcPr>
            <w:tcW w:w="8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b w:val="1"/>
                <w:bCs w:val="1"/>
                <w:color w:val="auto"/>
              </w:rPr>
              <w:t>None</w:t>
            </w:r>
          </w:p>
        </w:tc>
        <w:tc>
          <w:tcPr>
            <w:tcW w:w="8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5" w:name="page36"/>
    <w:bookmarkEnd w:id="35"/>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b w:val="1"/>
                <w:bCs w:val="1"/>
                <w:color w:val="auto"/>
              </w:rPr>
              <w:t>Account Details:</w:t>
            </w:r>
          </w:p>
        </w:tc>
        <w:tc>
          <w:tcPr>
            <w:tcW w:w="13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Account for payments to Party A:</w:t>
            </w:r>
          </w:p>
        </w:tc>
        <w:tc>
          <w:tcPr>
            <w:tcW w:w="13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Account for payments in USD :</w:t>
            </w: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As per Standard Settlement Instructions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Account for payments to Party B:</w:t>
            </w:r>
          </w:p>
        </w:tc>
        <w:tc>
          <w:tcPr>
            <w:tcW w:w="13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Account for payments in USD :</w:t>
            </w: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Please supply details</w:t>
            </w:r>
          </w:p>
        </w:tc>
      </w:tr>
      <w:tr>
        <w:trPr>
          <w:trHeight w:val="312"/>
        </w:trPr>
        <w:tc>
          <w:tcPr>
            <w:tcW w:w="3260" w:type="dxa"/>
            <w:vAlign w:val="bottom"/>
          </w:tcPr>
          <w:p>
            <w:pPr>
              <w:spacing w:after="0"/>
              <w:rPr>
                <w:sz w:val="20"/>
                <w:szCs w:val="20"/>
                <w:color w:val="auto"/>
              </w:rPr>
            </w:pPr>
            <w:r>
              <w:rPr>
                <w:rFonts w:ascii="Arial" w:cs="Arial" w:eastAsia="Arial" w:hAnsi="Arial"/>
                <w:sz w:val="18"/>
                <w:szCs w:val="18"/>
                <w:b w:val="1"/>
                <w:bCs w:val="1"/>
                <w:color w:val="auto"/>
              </w:rPr>
              <w:t>Documentation and Operations</w:t>
            </w:r>
          </w:p>
        </w:tc>
        <w:tc>
          <w:tcPr>
            <w:tcW w:w="1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8"/>
        </w:trPr>
        <w:tc>
          <w:tcPr>
            <w:tcW w:w="32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3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Documentation:</w:t>
            </w:r>
          </w:p>
        </w:tc>
        <w:tc>
          <w:tcPr>
            <w:tcW w:w="13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18"/>
        </w:trPr>
        <w:tc>
          <w:tcPr>
            <w:tcW w:w="3260" w:type="dxa"/>
            <w:vAlign w:val="bottom"/>
          </w:tcPr>
          <w:p>
            <w:pPr>
              <w:spacing w:after="0"/>
              <w:rPr>
                <w:sz w:val="20"/>
                <w:szCs w:val="20"/>
                <w:color w:val="auto"/>
              </w:rPr>
            </w:pPr>
            <w:r>
              <w:rPr>
                <w:rFonts w:ascii="Arial" w:cs="Arial" w:eastAsia="Arial" w:hAnsi="Arial"/>
                <w:sz w:val="18"/>
                <w:szCs w:val="18"/>
                <w:color w:val="auto"/>
              </w:rPr>
              <w:t>Institutional Clients:</w:t>
            </w: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Hotline: +1-212-761-2996</w:t>
            </w:r>
          </w:p>
        </w:tc>
      </w:tr>
      <w:tr>
        <w:trPr>
          <w:trHeight w:val="216"/>
        </w:trPr>
        <w:tc>
          <w:tcPr>
            <w:tcW w:w="3260" w:type="dxa"/>
            <w:vAlign w:val="bottom"/>
          </w:tcPr>
          <w:p>
            <w:pPr>
              <w:spacing w:after="0"/>
              <w:rPr>
                <w:sz w:val="18"/>
                <w:szCs w:val="18"/>
                <w:color w:val="auto"/>
              </w:rPr>
            </w:pP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Facsimile: +1-212-404-4726</w:t>
            </w:r>
          </w:p>
        </w:tc>
      </w:tr>
      <w:tr>
        <w:trPr>
          <w:trHeight w:val="184"/>
        </w:trPr>
        <w:tc>
          <w:tcPr>
            <w:tcW w:w="3260" w:type="dxa"/>
            <w:vAlign w:val="bottom"/>
          </w:tcPr>
          <w:p>
            <w:pPr>
              <w:spacing w:after="0"/>
              <w:rPr>
                <w:sz w:val="15"/>
                <w:szCs w:val="15"/>
                <w:color w:val="auto"/>
              </w:rPr>
            </w:pPr>
          </w:p>
        </w:tc>
        <w:tc>
          <w:tcPr>
            <w:tcW w:w="5080" w:type="dxa"/>
            <w:vAlign w:val="bottom"/>
            <w:gridSpan w:val="2"/>
          </w:tcPr>
          <w:p>
            <w:pPr>
              <w:ind w:left="860"/>
              <w:spacing w:after="0" w:line="184" w:lineRule="exact"/>
              <w:rPr>
                <w:sz w:val="20"/>
                <w:szCs w:val="20"/>
                <w:color w:val="auto"/>
              </w:rPr>
            </w:pPr>
            <w:r>
              <w:rPr>
                <w:rFonts w:ascii="Arial" w:cs="Arial" w:eastAsia="Arial" w:hAnsi="Arial"/>
                <w:sz w:val="18"/>
                <w:szCs w:val="18"/>
                <w:color w:val="auto"/>
                <w:w w:val="89"/>
              </w:rPr>
              <w:t>Email: Derivative.Confirms.Americas@morganstanley.com</w:t>
            </w:r>
          </w:p>
        </w:tc>
      </w:tr>
      <w:tr>
        <w:trPr>
          <w:trHeight w:val="20"/>
        </w:trPr>
        <w:tc>
          <w:tcPr>
            <w:tcW w:w="3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r>
      <w:tr>
        <w:trPr>
          <w:trHeight w:val="350"/>
        </w:trPr>
        <w:tc>
          <w:tcPr>
            <w:tcW w:w="3260" w:type="dxa"/>
            <w:vAlign w:val="bottom"/>
          </w:tcPr>
          <w:p>
            <w:pPr>
              <w:spacing w:after="0"/>
              <w:rPr>
                <w:sz w:val="20"/>
                <w:szCs w:val="20"/>
                <w:color w:val="auto"/>
              </w:rPr>
            </w:pPr>
            <w:r>
              <w:rPr>
                <w:rFonts w:ascii="Arial" w:cs="Arial" w:eastAsia="Arial" w:hAnsi="Arial"/>
                <w:sz w:val="18"/>
                <w:szCs w:val="18"/>
                <w:color w:val="auto"/>
              </w:rPr>
              <w:t>Interbank Clients:</w:t>
            </w: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Hotline: +1-410-534-1593</w:t>
            </w:r>
          </w:p>
        </w:tc>
      </w:tr>
      <w:tr>
        <w:trPr>
          <w:trHeight w:val="216"/>
        </w:trPr>
        <w:tc>
          <w:tcPr>
            <w:tcW w:w="3260" w:type="dxa"/>
            <w:vAlign w:val="bottom"/>
          </w:tcPr>
          <w:p>
            <w:pPr>
              <w:spacing w:after="0"/>
              <w:rPr>
                <w:sz w:val="18"/>
                <w:szCs w:val="18"/>
                <w:color w:val="auto"/>
              </w:rPr>
            </w:pP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Facsimile: +1-212-404-4726</w:t>
            </w:r>
          </w:p>
        </w:tc>
      </w:tr>
      <w:tr>
        <w:trPr>
          <w:trHeight w:val="184"/>
        </w:trPr>
        <w:tc>
          <w:tcPr>
            <w:tcW w:w="3260" w:type="dxa"/>
            <w:vAlign w:val="bottom"/>
          </w:tcPr>
          <w:p>
            <w:pPr>
              <w:spacing w:after="0"/>
              <w:rPr>
                <w:sz w:val="15"/>
                <w:szCs w:val="15"/>
                <w:color w:val="auto"/>
              </w:rPr>
            </w:pPr>
          </w:p>
        </w:tc>
        <w:tc>
          <w:tcPr>
            <w:tcW w:w="5080" w:type="dxa"/>
            <w:vAlign w:val="bottom"/>
            <w:gridSpan w:val="2"/>
          </w:tcPr>
          <w:p>
            <w:pPr>
              <w:ind w:left="860"/>
              <w:spacing w:after="0" w:line="184" w:lineRule="exact"/>
              <w:rPr>
                <w:sz w:val="20"/>
                <w:szCs w:val="20"/>
                <w:color w:val="auto"/>
              </w:rPr>
            </w:pPr>
            <w:r>
              <w:rPr>
                <w:rFonts w:ascii="Arial" w:cs="Arial" w:eastAsia="Arial" w:hAnsi="Arial"/>
                <w:sz w:val="18"/>
                <w:szCs w:val="18"/>
                <w:color w:val="auto"/>
                <w:w w:val="89"/>
              </w:rPr>
              <w:t>Email: Derivative.Confirms.Americas@morganstanley.com</w:t>
            </w:r>
          </w:p>
        </w:tc>
      </w:tr>
      <w:tr>
        <w:trPr>
          <w:trHeight w:val="20"/>
        </w:trPr>
        <w:tc>
          <w:tcPr>
            <w:tcW w:w="3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r>
      <w:tr>
        <w:trPr>
          <w:trHeight w:val="350"/>
        </w:trPr>
        <w:tc>
          <w:tcPr>
            <w:tcW w:w="3260" w:type="dxa"/>
            <w:vAlign w:val="bottom"/>
          </w:tcPr>
          <w:p>
            <w:pPr>
              <w:spacing w:after="0"/>
              <w:rPr>
                <w:sz w:val="20"/>
                <w:szCs w:val="20"/>
                <w:color w:val="auto"/>
              </w:rPr>
            </w:pPr>
            <w:r>
              <w:rPr>
                <w:rFonts w:ascii="Arial" w:cs="Arial" w:eastAsia="Arial" w:hAnsi="Arial"/>
                <w:sz w:val="18"/>
                <w:szCs w:val="18"/>
                <w:color w:val="auto"/>
              </w:rPr>
              <w:t>Operations:</w:t>
            </w: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Telephone New York (212) 761 4662</w:t>
            </w:r>
          </w:p>
        </w:tc>
      </w:tr>
      <w:tr>
        <w:trPr>
          <w:trHeight w:val="222"/>
        </w:trPr>
        <w:tc>
          <w:tcPr>
            <w:tcW w:w="3260" w:type="dxa"/>
            <w:vAlign w:val="bottom"/>
          </w:tcPr>
          <w:p>
            <w:pPr>
              <w:spacing w:after="0"/>
              <w:rPr>
                <w:sz w:val="19"/>
                <w:szCs w:val="19"/>
                <w:color w:val="auto"/>
              </w:rPr>
            </w:pPr>
          </w:p>
        </w:tc>
        <w:tc>
          <w:tcPr>
            <w:tcW w:w="5080" w:type="dxa"/>
            <w:vAlign w:val="bottom"/>
            <w:gridSpan w:val="2"/>
          </w:tcPr>
          <w:p>
            <w:pPr>
              <w:ind w:left="860"/>
              <w:spacing w:after="0"/>
              <w:rPr>
                <w:sz w:val="20"/>
                <w:szCs w:val="20"/>
                <w:color w:val="auto"/>
              </w:rPr>
            </w:pPr>
            <w:r>
              <w:rPr>
                <w:rFonts w:ascii="Arial" w:cs="Arial" w:eastAsia="Arial" w:hAnsi="Arial"/>
                <w:sz w:val="18"/>
                <w:szCs w:val="18"/>
                <w:color w:val="auto"/>
              </w:rPr>
              <w:t>Facsimile New York (410) 534 1431</w:t>
            </w:r>
          </w:p>
        </w:tc>
      </w:tr>
    </w:tbl>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Confirmation: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Please confirm that the foregoing correctly sets forth the terms of our agreement by executing a copy of this Confirmation, our Reference No. HR6K9, and returning it to us by sending to us a facsimile substantially similar to this facsimile which sets forth the material terms of the Transaction to which this Confirmation relates and indicates agreement to those terms. We are delighted to have executed this Transaction with you and look forward to working with you again.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Yours sincerely,</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By:</w:t>
        <w:tab/>
        <w:t>/s/ David 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David N. Moore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CAPITAL SERVICES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as of the date first written above: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CINEMEDIA, LLC</w:t>
      </w:r>
    </w:p>
    <w:p>
      <w:pPr>
        <w:spacing w:after="0" w:line="19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By:</w:t>
        <w:tab/>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Gary W. Ferrera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Executive Vice President and Chief Financial Officer</w:t>
      </w:r>
    </w:p>
    <w:p>
      <w:pPr>
        <w:sectPr>
          <w:pgSz w:w="11900" w:h="16838" w:orient="portrait"/>
          <w:cols w:equalWidth="0" w:num="1">
            <w:col w:w="11280"/>
          </w:cols>
          <w:pgMar w:left="240" w:top="274" w:right="379" w:bottom="1440" w:gutter="0" w:footer="0" w:header="0"/>
        </w:sectPr>
      </w:pPr>
    </w:p>
    <w:bookmarkStart w:id="36" w:name="page37"/>
    <w:bookmarkEnd w:id="36"/>
    <w:p>
      <w:pPr>
        <w:ind w:left="10520"/>
        <w:spacing w:after="0"/>
        <w:rPr>
          <w:sz w:val="20"/>
          <w:szCs w:val="20"/>
          <w:color w:val="auto"/>
        </w:rPr>
      </w:pPr>
      <w:r>
        <w:rPr>
          <w:rFonts w:ascii="Arial" w:cs="Arial" w:eastAsia="Arial" w:hAnsi="Arial"/>
          <w:sz w:val="16"/>
          <w:szCs w:val="16"/>
          <w:b w:val="1"/>
          <w:bCs w:val="1"/>
          <w:color w:val="auto"/>
        </w:rPr>
        <w:t>Exhibit 10.2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(Multicurrency—Cross Border)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Swap Dealers Association, Inc.</w:t>
      </w:r>
    </w:p>
    <w:p>
      <w:pPr>
        <w:spacing w:after="0" w:line="15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MASTER AGREEMENT</w:t>
      </w:r>
    </w:p>
    <w:p>
      <w:pPr>
        <w:spacing w:after="0" w:line="1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dated as of March 2, 2007</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MORGAN STANLEY</w:t>
      </w:r>
    </w:p>
    <w:p>
      <w:pPr>
        <w:spacing w:after="0" w:line="21" w:lineRule="exact"/>
        <w:rPr>
          <w:sz w:val="20"/>
          <w:szCs w:val="20"/>
          <w:color w:val="auto"/>
        </w:rPr>
      </w:pPr>
    </w:p>
    <w:p>
      <w:pPr>
        <w:jc w:val="center"/>
        <w:ind w:right="3680"/>
        <w:spacing w:after="0"/>
        <w:rPr>
          <w:sz w:val="20"/>
          <w:szCs w:val="20"/>
          <w:color w:val="auto"/>
        </w:rPr>
      </w:pPr>
      <w:r>
        <w:rPr>
          <w:rFonts w:ascii="Arial" w:cs="Arial" w:eastAsia="Arial" w:hAnsi="Arial"/>
          <w:sz w:val="16"/>
          <w:szCs w:val="16"/>
          <w:b w:val="1"/>
          <w:bCs w:val="1"/>
          <w:color w:val="auto"/>
        </w:rPr>
        <w:t>CAPITAL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sectPr>
          <w:pgSz w:w="11900" w:h="16838" w:orient="portrait"/>
          <w:cols w:equalWidth="0" w:num="2">
            <w:col w:w="7700" w:space="720"/>
            <w:col w:w="3000"/>
          </w:cols>
          <w:pgMar w:left="240" w:top="125" w:right="239" w:bottom="1440" w:gutter="0" w:footer="0" w:header="0"/>
          <w:type w:val="continuous"/>
        </w:sectPr>
      </w:pPr>
    </w:p>
    <w:p>
      <w:pPr>
        <w:jc w:val="center"/>
        <w:ind w:left="500"/>
        <w:spacing w:after="0"/>
        <w:rPr>
          <w:sz w:val="20"/>
          <w:szCs w:val="20"/>
          <w:color w:val="auto"/>
        </w:rPr>
      </w:pPr>
      <w:r>
        <w:rPr>
          <w:rFonts w:ascii="Arial" w:cs="Arial" w:eastAsia="Arial" w:hAnsi="Arial"/>
          <w:sz w:val="14"/>
          <w:szCs w:val="14"/>
          <w:color w:val="auto"/>
        </w:rPr>
        <w:t>and</w:t>
      </w:r>
    </w:p>
    <w:p>
      <w:pPr>
        <w:sectPr>
          <w:pgSz w:w="11900" w:h="16838" w:orient="portrait"/>
          <w:cols w:equalWidth="0" w:num="1">
            <w:col w:w="11420"/>
          </w:cols>
          <w:pgMar w:left="240" w:top="125" w:right="239" w:bottom="1440" w:gutter="0" w:footer="0" w:header="0"/>
          <w:type w:val="continuous"/>
        </w:sectPr>
      </w:pPr>
    </w:p>
    <w:p>
      <w:pPr>
        <w:spacing w:after="0" w:line="211"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have entered and/or anticipate entering into one or more transactions (each a “Transaction”) that are or will be governed by this Master Agreement, which includes the schedule (the “Schedule”), and the documents and other confirming evidence (each a “Confirmation”) exchanged between the parties confirming those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agree as follows:—</w:t>
      </w:r>
    </w:p>
    <w:p>
      <w:pPr>
        <w:spacing w:after="0" w:line="20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The terms defined in Section 14 and in the Schedule will have the meanings therein specified for the purpose of this Master Agreement.</w:t>
      </w:r>
    </w:p>
    <w:p>
      <w:pPr>
        <w:spacing w:after="0" w:line="194" w:lineRule="exact"/>
        <w:rPr>
          <w:rFonts w:ascii="Arial" w:cs="Arial" w:eastAsia="Arial" w:hAnsi="Arial"/>
          <w:sz w:val="16"/>
          <w:szCs w:val="16"/>
          <w:color w:val="auto"/>
        </w:rPr>
      </w:pPr>
    </w:p>
    <w:p>
      <w:pPr>
        <w:ind w:right="80" w:firstLine="8"/>
        <w:spacing w:after="0" w:line="259"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Inconsistency. </w:t>
      </w:r>
      <w:r>
        <w:rPr>
          <w:rFonts w:ascii="Arial" w:cs="Arial" w:eastAsia="Arial" w:hAnsi="Arial"/>
          <w:sz w:val="18"/>
          <w:szCs w:val="18"/>
          <w:color w:val="auto"/>
        </w:rPr>
        <w:t>In the event of any inconsistency between the provisions of the Schedule and the other provisions of this Master Agreement, the Schedule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prevail. In the event of any inconsistency between the provisions of any Confirmation and this Master Agreement (including the Schedule), such Confirmation will prevail for the purpose of the relevant Transaction.</w:t>
      </w:r>
    </w:p>
    <w:p>
      <w:pPr>
        <w:spacing w:after="0" w:line="140"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Agreement. </w:t>
      </w:r>
      <w:r>
        <w:rPr>
          <w:rFonts w:ascii="Arial" w:cs="Arial" w:eastAsia="Arial" w:hAnsi="Arial"/>
          <w:sz w:val="18"/>
          <w:szCs w:val="18"/>
          <w:color w:val="auto"/>
        </w:rPr>
        <w:t>All Transactions are entered into in reliance on the fact that this Master Agreement and all Confirmations form a single agreement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(collectively referred to as this “Agreement”), and the parties would not otherwise enter into any Transactions.</w:t>
      </w:r>
    </w:p>
    <w:p>
      <w:pPr>
        <w:spacing w:after="0" w:line="24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w:t>
      </w:r>
    </w:p>
    <w:p>
      <w:pPr>
        <w:spacing w:after="0" w:line="90"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General Conditions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680" w:hanging="216"/>
        <w:spacing w:after="0"/>
        <w:tabs>
          <w:tab w:leader="none" w:pos="6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party will make each payment or delivery specified in each Confirmation to be made by it, subject to the other provisions of this Agreement.</w:t>
      </w:r>
    </w:p>
    <w:p>
      <w:pPr>
        <w:spacing w:after="0" w:line="113" w:lineRule="exact"/>
        <w:rPr>
          <w:rFonts w:ascii="Arial" w:cs="Arial" w:eastAsia="Arial" w:hAnsi="Arial"/>
          <w:sz w:val="16"/>
          <w:szCs w:val="16"/>
          <w:color w:val="auto"/>
        </w:rPr>
      </w:pPr>
    </w:p>
    <w:p>
      <w:pPr>
        <w:ind w:left="460" w:right="60" w:firstLine="4"/>
        <w:spacing w:after="0" w:line="298" w:lineRule="auto"/>
        <w:tabs>
          <w:tab w:leader="none" w:pos="719" w:val="left"/>
        </w:tabs>
        <w:numPr>
          <w:ilvl w:val="1"/>
          <w:numId w:val="17"/>
        </w:numPr>
        <w:rPr>
          <w:rFonts w:ascii="Arial" w:cs="Arial" w:eastAsia="Arial" w:hAnsi="Arial"/>
          <w:sz w:val="16"/>
          <w:szCs w:val="16"/>
          <w:color w:val="auto"/>
        </w:rPr>
      </w:pPr>
      <w:r>
        <w:rPr>
          <w:rFonts w:ascii="Arial" w:cs="Arial" w:eastAsia="Arial" w:hAnsi="Arial"/>
          <w:sz w:val="16"/>
          <w:szCs w:val="16"/>
          <w:color w:val="auto"/>
        </w:rPr>
        <w:t>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 (that is, other than by payment), such delivery will be made for receipt on the due date in the manner customary for the relevant obligation unless otherwise specified in the relevant Confirmation or elsewhere in this Agreement.</w:t>
      </w:r>
    </w:p>
    <w:p>
      <w:pPr>
        <w:spacing w:after="0" w:line="31" w:lineRule="exact"/>
        <w:rPr>
          <w:rFonts w:ascii="Arial" w:cs="Arial" w:eastAsia="Arial" w:hAnsi="Arial"/>
          <w:sz w:val="16"/>
          <w:szCs w:val="16"/>
          <w:color w:val="auto"/>
        </w:rPr>
      </w:pPr>
    </w:p>
    <w:p>
      <w:pPr>
        <w:ind w:left="460" w:right="80" w:firstLine="4"/>
        <w:spacing w:after="0" w:line="286" w:lineRule="auto"/>
        <w:tabs>
          <w:tab w:leader="none" w:pos="76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obligation of each party under Section 2(a)(i) is subject to (1) the condition precedent that no Event of Default or Potential Event of Default with respect to the other party has occurred and is continuing, (2) the condition precedent that no Early Termination Date in respect of the</w:t>
      </w:r>
    </w:p>
    <w:p>
      <w:pPr>
        <w:ind w:left="460"/>
        <w:spacing w:after="0"/>
        <w:rPr>
          <w:rFonts w:ascii="Arial" w:cs="Arial" w:eastAsia="Arial" w:hAnsi="Arial"/>
          <w:sz w:val="16"/>
          <w:szCs w:val="16"/>
          <w:color w:val="auto"/>
        </w:rPr>
      </w:pPr>
      <w:r>
        <w:rPr>
          <w:rFonts w:ascii="Arial" w:cs="Arial" w:eastAsia="Arial" w:hAnsi="Arial"/>
          <w:sz w:val="16"/>
          <w:szCs w:val="16"/>
          <w:color w:val="auto"/>
        </w:rPr>
        <w:t>relevant Transaction has occurred or been effectively designated and (3) each other applicable condition precedent specified in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 1992 by International Swap Dealers Association, Inc.</w:t>
      </w:r>
    </w:p>
    <w:p>
      <w:pPr>
        <w:sectPr>
          <w:pgSz w:w="11900" w:h="16838" w:orient="portrait"/>
          <w:cols w:equalWidth="0" w:num="1">
            <w:col w:w="11420"/>
          </w:cols>
          <w:pgMar w:left="240" w:top="125" w:right="239" w:bottom="1440" w:gutter="0" w:footer="0" w:header="0"/>
          <w:type w:val="continuous"/>
        </w:sectPr>
      </w:pPr>
    </w:p>
    <w:bookmarkStart w:id="37" w:name="page38"/>
    <w:bookmarkEnd w:id="37"/>
    <w:p>
      <w:pPr>
        <w:jc w:val="both"/>
        <w:ind w:right="220" w:firstLine="8"/>
        <w:spacing w:after="0" w:line="259"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of Account. </w:t>
      </w:r>
      <w:r>
        <w:rPr>
          <w:rFonts w:ascii="Arial" w:cs="Arial" w:eastAsia="Arial" w:hAnsi="Arial"/>
          <w:sz w:val="18"/>
          <w:szCs w:val="18"/>
          <w:color w:val="auto"/>
        </w:rPr>
        <w:t>Either party may change its account for receiving a payment or delivery by giving notice to the other party at least five Local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prior to the scheduled date for the payment or delivery to which such change applies unless such other party gives timely notice of a reasonable objection to such change.</w:t>
      </w:r>
    </w:p>
    <w:p>
      <w:pPr>
        <w:spacing w:after="0" w:line="140"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w:t>
      </w:r>
      <w:r>
        <w:rPr>
          <w:rFonts w:ascii="Arial" w:cs="Arial" w:eastAsia="Arial" w:hAnsi="Arial"/>
          <w:sz w:val="18"/>
          <w:szCs w:val="18"/>
          <w:color w:val="auto"/>
        </w:rPr>
        <w:t>If on any date amounts would otherwise be payable:—</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same currency;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respect of the same Transaction,</w:t>
      </w:r>
    </w:p>
    <w:p>
      <w:pPr>
        <w:spacing w:after="0" w:line="17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whom the larger aggregate amount would have been payable to pay to the other party the excess of the larger aggregate amount over the smaller aggregate amount.</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parties may elect in respect of two or more Transactions that a net amount will be determined in respect of all amounts payable on the same date in the same currency in respect of such Transactions, regardless of whether such amounts are payable in respect of the same Transaction. The election may be made in the Schedule or a Confirmation by specifying that subparagraph (ii) above will not apply to the Transactions identified as being subject to the election, together with the starting date (in which case subparagraph (ii) above will not, or will cease to, apply to such Transactions from such date). This election may be made separately for different groups of Transactions and will apply separately to each pairing of Offices through which the parties make and receive payments or deliveries.</w:t>
      </w:r>
    </w:p>
    <w:p>
      <w:pPr>
        <w:spacing w:after="0" w:line="144"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Deduction or Withholding for Tax.</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Gross-Up. </w:t>
      </w:r>
      <w:r>
        <w:rPr>
          <w:rFonts w:ascii="Arial" w:cs="Arial" w:eastAsia="Arial" w:hAnsi="Arial"/>
          <w:sz w:val="18"/>
          <w:szCs w:val="18"/>
          <w:color w:val="auto"/>
        </w:rPr>
        <w:t>All payments under this Agreement will be made without any deduction or withholding for or on account of any Tax unless such deduction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is required by any applicable law, as modified by the practice of any relevant governmental revenue authority, then in effect. If a party is so required to deduct or withhold, then that party (“X”) will:—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promptly notify the other party (“Y”) of such requirement;</w:t>
      </w:r>
    </w:p>
    <w:p>
      <w:pPr>
        <w:spacing w:after="0" w:line="90" w:lineRule="exact"/>
        <w:rPr>
          <w:rFonts w:ascii="Arial" w:cs="Arial" w:eastAsia="Arial" w:hAnsi="Arial"/>
          <w:sz w:val="18"/>
          <w:szCs w:val="18"/>
          <w:color w:val="auto"/>
        </w:rPr>
      </w:pPr>
    </w:p>
    <w:p>
      <w:pPr>
        <w:ind w:left="920" w:right="80" w:firstLine="1"/>
        <w:spacing w:after="0" w:line="259" w:lineRule="auto"/>
        <w:tabs>
          <w:tab w:leader="none" w:pos="1169" w:val="left"/>
        </w:tabs>
        <w:numPr>
          <w:ilvl w:val="2"/>
          <w:numId w:val="19"/>
        </w:numPr>
        <w:rPr>
          <w:rFonts w:ascii="Arial" w:cs="Arial" w:eastAsia="Arial" w:hAnsi="Arial"/>
          <w:sz w:val="18"/>
          <w:szCs w:val="18"/>
          <w:color w:val="auto"/>
        </w:rPr>
      </w:pPr>
      <w:r>
        <w:rPr>
          <w:rFonts w:ascii="Arial" w:cs="Arial" w:eastAsia="Arial" w:hAnsi="Arial"/>
          <w:sz w:val="18"/>
          <w:szCs w:val="18"/>
          <w:color w:val="auto"/>
        </w:rPr>
        <w:t>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spacing w:after="0" w:line="59" w:lineRule="exact"/>
        <w:rPr>
          <w:rFonts w:ascii="Arial" w:cs="Arial" w:eastAsia="Arial" w:hAnsi="Arial"/>
          <w:sz w:val="18"/>
          <w:szCs w:val="18"/>
          <w:color w:val="auto"/>
        </w:rPr>
      </w:pPr>
    </w:p>
    <w:p>
      <w:pPr>
        <w:ind w:left="920" w:right="240" w:firstLine="1"/>
        <w:spacing w:after="0" w:line="268" w:lineRule="auto"/>
        <w:tabs>
          <w:tab w:leader="none" w:pos="1169" w:val="left"/>
        </w:tabs>
        <w:numPr>
          <w:ilvl w:val="2"/>
          <w:numId w:val="19"/>
        </w:numPr>
        <w:rPr>
          <w:rFonts w:ascii="Arial" w:cs="Arial" w:eastAsia="Arial" w:hAnsi="Arial"/>
          <w:sz w:val="18"/>
          <w:szCs w:val="18"/>
          <w:color w:val="auto"/>
        </w:rPr>
      </w:pPr>
      <w:r>
        <w:rPr>
          <w:rFonts w:ascii="Arial" w:cs="Arial" w:eastAsia="Arial" w:hAnsi="Arial"/>
          <w:sz w:val="18"/>
          <w:szCs w:val="18"/>
          <w:color w:val="auto"/>
        </w:rPr>
        <w:t>promptly forward to Y an official receipt (or a certified copy), or other documentation reasonably acceptable to Y, evidencing such payment to such authorities; and</w:t>
      </w:r>
    </w:p>
    <w:p>
      <w:pPr>
        <w:spacing w:after="0" w:line="50" w:lineRule="exact"/>
        <w:rPr>
          <w:rFonts w:ascii="Arial" w:cs="Arial" w:eastAsia="Arial" w:hAnsi="Arial"/>
          <w:sz w:val="18"/>
          <w:szCs w:val="18"/>
          <w:color w:val="auto"/>
        </w:rPr>
      </w:pPr>
    </w:p>
    <w:p>
      <w:pPr>
        <w:ind w:left="920" w:right="40" w:firstLine="1"/>
        <w:spacing w:after="0" w:line="298" w:lineRule="auto"/>
        <w:tabs>
          <w:tab w:leader="none" w:pos="1169"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spacing w:after="0" w:line="31" w:lineRule="exact"/>
        <w:rPr>
          <w:rFonts w:ascii="Arial" w:cs="Arial" w:eastAsia="Arial" w:hAnsi="Arial"/>
          <w:sz w:val="16"/>
          <w:szCs w:val="16"/>
          <w:color w:val="auto"/>
        </w:rPr>
      </w:pPr>
    </w:p>
    <w:p>
      <w:pPr>
        <w:ind w:left="1780" w:hanging="288"/>
        <w:spacing w:after="0"/>
        <w:tabs>
          <w:tab w:leader="none" w:pos="178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failure by Y to comply with or perform any agreement contained in Section 4(a)(i), 4(a)(iii) or 4(d); or</w:t>
      </w:r>
    </w:p>
    <w:p>
      <w:pPr>
        <w:spacing w:after="0" w:line="90" w:lineRule="exact"/>
        <w:rPr>
          <w:rFonts w:ascii="Arial" w:cs="Arial" w:eastAsia="Arial" w:hAnsi="Arial"/>
          <w:sz w:val="18"/>
          <w:szCs w:val="18"/>
          <w:color w:val="auto"/>
        </w:rPr>
      </w:pPr>
    </w:p>
    <w:p>
      <w:pPr>
        <w:ind w:left="1500" w:right="20" w:hanging="8"/>
        <w:spacing w:after="0" w:line="286" w:lineRule="auto"/>
        <w:tabs>
          <w:tab w:leader="none" w:pos="1778" w:val="left"/>
        </w:tabs>
        <w:numPr>
          <w:ilvl w:val="3"/>
          <w:numId w:val="19"/>
        </w:numPr>
        <w:rPr>
          <w:rFonts w:ascii="Arial" w:cs="Arial" w:eastAsia="Arial" w:hAnsi="Arial"/>
          <w:sz w:val="16"/>
          <w:szCs w:val="16"/>
          <w:color w:val="auto"/>
        </w:rPr>
      </w:pPr>
      <w:r>
        <w:rPr>
          <w:rFonts w:ascii="Arial" w:cs="Arial" w:eastAsia="Arial" w:hAnsi="Arial"/>
          <w:sz w:val="16"/>
          <w:szCs w:val="16"/>
          <w:color w:val="auto"/>
        </w:rPr>
        <w:t>the failure of a representation made by Y pursuant to Section 3(f) to be accurate and true unless such failure would not have occurred but for (I) any action taken by a taxing authority, or brought in a court of competent jurisdiction, on or after the date on which a</w:t>
      </w:r>
    </w:p>
    <w:p>
      <w:pPr>
        <w:ind w:left="1500" w:right="120"/>
        <w:spacing w:after="0" w:line="261" w:lineRule="auto"/>
        <w:rPr>
          <w:rFonts w:ascii="Arial" w:cs="Arial" w:eastAsia="Arial" w:hAnsi="Arial"/>
          <w:sz w:val="16"/>
          <w:szCs w:val="16"/>
          <w:color w:val="auto"/>
        </w:rPr>
      </w:pPr>
      <w:r>
        <w:rPr>
          <w:rFonts w:ascii="Arial" w:cs="Arial" w:eastAsia="Arial" w:hAnsi="Arial"/>
          <w:sz w:val="18"/>
          <w:szCs w:val="18"/>
          <w:color w:val="auto"/>
        </w:rPr>
        <w:t>Transaction is entered into (regardless of whether such action is taken or brought with respect to a party to this Agreement) or (II) a Change in Tax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8" w:name="page39"/>
    <w:bookmarkEnd w:id="38"/>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Liability.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520" w:firstLine="1"/>
        <w:spacing w:after="0" w:line="332" w:lineRule="auto"/>
        <w:tabs>
          <w:tab w:leader="none" w:pos="1169" w:val="left"/>
        </w:tabs>
        <w:numPr>
          <w:ilvl w:val="1"/>
          <w:numId w:val="20"/>
        </w:numPr>
        <w:rPr>
          <w:rFonts w:ascii="Arial" w:cs="Arial" w:eastAsia="Arial" w:hAnsi="Arial"/>
          <w:sz w:val="16"/>
          <w:szCs w:val="16"/>
          <w:color w:val="auto"/>
        </w:rPr>
      </w:pPr>
      <w:r>
        <w:rPr>
          <w:rFonts w:ascii="Arial" w:cs="Arial" w:eastAsia="Arial" w:hAnsi="Arial"/>
          <w:sz w:val="16"/>
          <w:szCs w:val="16"/>
          <w:color w:val="auto"/>
        </w:rPr>
        <w:t>X is required by any applicable law, as modified by the practice of any relevant governmental revenue authority, to make any deduction or withholding in respect of which X would not be required to pay an additional amount to Y under Section 2(d)(i)(4);</w:t>
      </w:r>
    </w:p>
    <w:p>
      <w:pPr>
        <w:spacing w:after="0" w:line="4" w:lineRule="exact"/>
        <w:rPr>
          <w:rFonts w:ascii="Arial" w:cs="Arial" w:eastAsia="Arial" w:hAnsi="Arial"/>
          <w:sz w:val="16"/>
          <w:szCs w:val="16"/>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X does not so deduct or withhold;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liability resulting from such Tax is assessed directly against X,</w:t>
      </w:r>
    </w:p>
    <w:p>
      <w:pPr>
        <w:spacing w:after="0" w:line="90" w:lineRule="exact"/>
        <w:rPr>
          <w:sz w:val="20"/>
          <w:szCs w:val="20"/>
          <w:color w:val="auto"/>
        </w:rPr>
      </w:pPr>
    </w:p>
    <w:p>
      <w:pPr>
        <w:ind w:left="460" w:right="560"/>
        <w:spacing w:after="0" w:line="259" w:lineRule="auto"/>
        <w:rPr>
          <w:sz w:val="20"/>
          <w:szCs w:val="20"/>
          <w:color w:val="auto"/>
        </w:rPr>
      </w:pPr>
      <w:r>
        <w:rPr>
          <w:rFonts w:ascii="Arial" w:cs="Arial" w:eastAsia="Arial" w:hAnsi="Arial"/>
          <w:sz w:val="18"/>
          <w:szCs w:val="18"/>
          <w:color w:val="auto"/>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spacing w:after="0" w:line="140" w:lineRule="exact"/>
        <w:rPr>
          <w:sz w:val="20"/>
          <w:szCs w:val="20"/>
          <w:color w:val="auto"/>
        </w:rPr>
      </w:pPr>
    </w:p>
    <w:p>
      <w:pPr>
        <w:ind w:right="80" w:firstLine="8"/>
        <w:spacing w:after="0" w:line="286" w:lineRule="auto"/>
        <w:tabs>
          <w:tab w:leader="none" w:pos="239"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Interest; Other Amounts. </w:t>
      </w:r>
      <w:r>
        <w:rPr>
          <w:rFonts w:ascii="Arial" w:cs="Arial" w:eastAsia="Arial" w:hAnsi="Arial"/>
          <w:sz w:val="16"/>
          <w:szCs w:val="16"/>
          <w:color w:val="auto"/>
        </w:rPr>
        <w:t>Prior to the occurrence or effective designation of an Early Termination Date in respect of the relevant Transaction,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defaults in the performance of any payment obligation will, to the extent permitted by law and subject to Section 6(c), be required to pay interest</w:t>
      </w:r>
    </w:p>
    <w:p>
      <w:pPr>
        <w:ind w:right="280"/>
        <w:spacing w:after="0" w:line="292" w:lineRule="auto"/>
        <w:rPr>
          <w:rFonts w:ascii="Arial" w:cs="Arial" w:eastAsia="Arial" w:hAnsi="Arial"/>
          <w:sz w:val="16"/>
          <w:szCs w:val="16"/>
          <w:color w:val="auto"/>
        </w:rPr>
      </w:pPr>
      <w:r>
        <w:rPr>
          <w:rFonts w:ascii="Arial" w:cs="Arial" w:eastAsia="Arial" w:hAnsi="Arial"/>
          <w:sz w:val="16"/>
          <w:szCs w:val="16"/>
          <w:color w:val="auto"/>
        </w:rPr>
        <w:t>(before as well as after judgment) on the overdue amount to the other party on demand in the same currency as such overdue amount, for the period from (and including) the original due date for payment to (but excluding) the date of actual payment, at the Default Rate. Such interest will be calculated on the basis of daily compounding and the actual number of days elapsed. If, prior to the occurrence or effective designation of an Early Termination Date in respect of the relevant Transaction, a party defaults in the performance of any obligation required to be settled by delivery, it will compensate the other party on demand if and to the extent provided for in the relevant Confirmation or elsewhere in this Agreement.</w:t>
      </w:r>
    </w:p>
    <w:p>
      <w:pPr>
        <w:spacing w:after="0" w:line="23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party represents to the other party (which representations will be deemed to be repeated by each party on each date on which a Transaction is entered into and, in the case of the representations in Section 3(f), at all times until the termination of this Agreement) that:—</w:t>
      </w:r>
    </w:p>
    <w:p>
      <w:pPr>
        <w:spacing w:after="0" w:line="51"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Basic Representations.</w:t>
      </w:r>
    </w:p>
    <w:p>
      <w:pPr>
        <w:spacing w:after="0" w:line="90" w:lineRule="exact"/>
        <w:rPr>
          <w:rFonts w:ascii="Arial" w:cs="Arial" w:eastAsia="Arial" w:hAnsi="Arial"/>
          <w:sz w:val="18"/>
          <w:szCs w:val="18"/>
          <w:color w:val="auto"/>
        </w:rPr>
      </w:pPr>
    </w:p>
    <w:p>
      <w:pPr>
        <w:ind w:left="460" w:right="60" w:firstLine="4"/>
        <w:spacing w:after="0" w:line="268" w:lineRule="auto"/>
        <w:tabs>
          <w:tab w:leader="none" w:pos="670"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Status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duly organised and validly existing under the laws of the jurisdiction of its organisation or incorporation and, if relevant under such laws,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w:t>
      </w:r>
    </w:p>
    <w:p>
      <w:pPr>
        <w:spacing w:after="0" w:line="50" w:lineRule="exact"/>
        <w:rPr>
          <w:rFonts w:ascii="Arial" w:cs="Arial" w:eastAsia="Arial" w:hAnsi="Arial"/>
          <w:sz w:val="18"/>
          <w:szCs w:val="18"/>
          <w:color w:val="auto"/>
        </w:rPr>
      </w:pPr>
    </w:p>
    <w:p>
      <w:pPr>
        <w:ind w:left="460" w:right="40" w:firstLine="4"/>
        <w:spacing w:after="0" w:line="256" w:lineRule="auto"/>
        <w:tabs>
          <w:tab w:leader="none" w:pos="718"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Powers. </w:t>
      </w:r>
      <w:r>
        <w:rPr>
          <w:rFonts w:ascii="Arial" w:cs="Arial" w:eastAsia="Arial" w:hAnsi="Arial"/>
          <w:sz w:val="18"/>
          <w:szCs w:val="18"/>
          <w:color w:val="auto"/>
        </w:rPr>
        <w:t>It has the power to execute this Agreement and any other documentation relating to this Agreement to which it is a party, to deliver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spacing w:after="0" w:line="62" w:lineRule="exact"/>
        <w:rPr>
          <w:rFonts w:ascii="Arial" w:cs="Arial" w:eastAsia="Arial" w:hAnsi="Arial"/>
          <w:sz w:val="18"/>
          <w:szCs w:val="18"/>
          <w:color w:val="auto"/>
        </w:rPr>
      </w:pPr>
    </w:p>
    <w:p>
      <w:pPr>
        <w:ind w:left="460" w:right="560" w:firstLine="4"/>
        <w:spacing w:after="0" w:line="259" w:lineRule="auto"/>
        <w:tabs>
          <w:tab w:leader="none" w:pos="767"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No Violation or Conflict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execution, delivery and performance do not violate or conflict with any law applicable to it, any provision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constitutional documents, any order or judgment of any court or other agency of government applicable to it or any of its assets or any contractual restriction binding on or affecting it or any of its assets;</w:t>
      </w:r>
    </w:p>
    <w:p>
      <w:pPr>
        <w:spacing w:after="0" w:line="59" w:lineRule="exact"/>
        <w:rPr>
          <w:rFonts w:ascii="Arial" w:cs="Arial" w:eastAsia="Arial" w:hAnsi="Arial"/>
          <w:sz w:val="18"/>
          <w:szCs w:val="18"/>
          <w:color w:val="auto"/>
        </w:rPr>
      </w:pPr>
    </w:p>
    <w:p>
      <w:pPr>
        <w:ind w:left="460" w:right="220" w:firstLine="4"/>
        <w:spacing w:after="0" w:line="357" w:lineRule="auto"/>
        <w:tabs>
          <w:tab w:leader="none" w:pos="757" w:val="left"/>
        </w:tabs>
        <w:numPr>
          <w:ilvl w:val="1"/>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Consents. </w:t>
      </w:r>
      <w:r>
        <w:rPr>
          <w:rFonts w:ascii="Arial" w:cs="Arial" w:eastAsia="Arial" w:hAnsi="Arial"/>
          <w:sz w:val="15"/>
          <w:szCs w:val="15"/>
          <w:color w:val="auto"/>
        </w:rPr>
        <w:t>All governmental and other consents that are required to have been obtained by it with respect to this Agreement or any Credit Support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Document to which it is a party have been obtained and are in full force and effect and all conditions of any such consents have been complied with; and</w:t>
      </w:r>
    </w:p>
    <w:p>
      <w:pPr>
        <w:jc w:val="both"/>
        <w:ind w:left="460" w:firstLine="4"/>
        <w:spacing w:after="0" w:line="284" w:lineRule="auto"/>
        <w:tabs>
          <w:tab w:leader="none" w:pos="709" w:val="left"/>
        </w:tabs>
        <w:numPr>
          <w:ilvl w:val="1"/>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Obligations Binding. </w:t>
      </w:r>
      <w:r>
        <w:rPr>
          <w:rFonts w:ascii="Arial" w:cs="Arial" w:eastAsia="Arial" w:hAnsi="Arial"/>
          <w:sz w:val="16"/>
          <w:szCs w:val="16"/>
          <w:color w:val="auto"/>
        </w:rPr>
        <w:t>Its obligations under this Agreement and any Credit Support Document to which it is a party constitute its legal, valid and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is sought in a proceeding in equity or at law)).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 w:name="page40"/>
    <w:bookmarkEnd w:id="39"/>
    <w:p>
      <w:pPr>
        <w:ind w:firstLine="8"/>
        <w:spacing w:after="0" w:line="259"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Absence of Certain Events. </w:t>
      </w:r>
      <w:r>
        <w:rPr>
          <w:rFonts w:ascii="Arial" w:cs="Arial" w:eastAsia="Arial" w:hAnsi="Arial"/>
          <w:sz w:val="18"/>
          <w:szCs w:val="18"/>
          <w:color w:val="auto"/>
        </w:rPr>
        <w:t>No Event of Default or Potential Event of Default or, to its knowledge, Termination Event with respect to it has occurred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and no such event or circumstance would occur as a result of its entering into or performing its obligations under this Agreement or any Credit Support Document to which it is a party.</w:t>
      </w:r>
    </w:p>
    <w:p>
      <w:pPr>
        <w:spacing w:after="0" w:line="140" w:lineRule="exact"/>
        <w:rPr>
          <w:rFonts w:ascii="Arial" w:cs="Arial" w:eastAsia="Arial" w:hAnsi="Arial"/>
          <w:sz w:val="18"/>
          <w:szCs w:val="18"/>
          <w:color w:val="auto"/>
        </w:rPr>
      </w:pPr>
    </w:p>
    <w:p>
      <w:pPr>
        <w:ind w:right="120" w:firstLine="8"/>
        <w:spacing w:after="0" w:line="256"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Absence of Litigation. </w:t>
      </w:r>
      <w:r>
        <w:rPr>
          <w:rFonts w:ascii="Arial" w:cs="Arial" w:eastAsia="Arial" w:hAnsi="Arial"/>
          <w:sz w:val="18"/>
          <w:szCs w:val="18"/>
          <w:color w:val="auto"/>
        </w:rPr>
        <w:t>There is not pending or, to its knowledge, threatened against it or any of its Affiliates any action, suit or proceeding at law or in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spacing w:after="0" w:line="143" w:lineRule="exact"/>
        <w:rPr>
          <w:rFonts w:ascii="Arial" w:cs="Arial" w:eastAsia="Arial" w:hAnsi="Arial"/>
          <w:sz w:val="18"/>
          <w:szCs w:val="18"/>
          <w:color w:val="auto"/>
        </w:rPr>
      </w:pPr>
    </w:p>
    <w:p>
      <w:pPr>
        <w:ind w:right="420" w:firstLine="8"/>
        <w:spacing w:after="0" w:line="332"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Accuracy of Specified Information. </w:t>
      </w:r>
      <w:r>
        <w:rPr>
          <w:rFonts w:ascii="Arial" w:cs="Arial" w:eastAsia="Arial" w:hAnsi="Arial"/>
          <w:sz w:val="16"/>
          <w:szCs w:val="16"/>
          <w:color w:val="auto"/>
        </w:rPr>
        <w:t>All applicable information that is furnished in writing by or on behalf of it to the other party and is identified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of this Section 3(d) in the Schedule is, as of the date of the information, true, accurate and complete in every material respect.</w:t>
      </w:r>
    </w:p>
    <w:p>
      <w:pPr>
        <w:spacing w:after="0" w:line="85" w:lineRule="exact"/>
        <w:rPr>
          <w:rFonts w:ascii="Arial" w:cs="Arial" w:eastAsia="Arial" w:hAnsi="Arial"/>
          <w:sz w:val="16"/>
          <w:szCs w:val="16"/>
          <w:color w:val="auto"/>
        </w:rPr>
      </w:pPr>
    </w:p>
    <w:p>
      <w:pPr>
        <w:ind w:left="240" w:hanging="232"/>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Tax Representation. </w:t>
      </w:r>
      <w:r>
        <w:rPr>
          <w:rFonts w:ascii="Arial" w:cs="Arial" w:eastAsia="Arial" w:hAnsi="Arial"/>
          <w:sz w:val="16"/>
          <w:szCs w:val="16"/>
          <w:color w:val="auto"/>
        </w:rPr>
        <w:t>Each representation specified in the Schedule as being made by it for the purpose of this Section 3(e) is accurate and true.</w:t>
      </w:r>
    </w:p>
    <w:p>
      <w:pPr>
        <w:spacing w:after="0" w:line="194" w:lineRule="exact"/>
        <w:rPr>
          <w:rFonts w:ascii="Arial" w:cs="Arial" w:eastAsia="Arial" w:hAnsi="Arial"/>
          <w:sz w:val="16"/>
          <w:szCs w:val="16"/>
          <w:color w:val="auto"/>
        </w:rPr>
      </w:pPr>
    </w:p>
    <w:p>
      <w:pPr>
        <w:ind w:left="220" w:hanging="212"/>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 Tax Representations. </w:t>
      </w:r>
      <w:r>
        <w:rPr>
          <w:rFonts w:ascii="Arial" w:cs="Arial" w:eastAsia="Arial" w:hAnsi="Arial"/>
          <w:sz w:val="16"/>
          <w:szCs w:val="16"/>
          <w:color w:val="auto"/>
        </w:rPr>
        <w:t>Each representation specified in the Schedule as being made by it for the purpose of this Section 3(f) is accurate and true.</w:t>
      </w:r>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Each party agrees with the other that, so long as either party has or may have any obligation under this Agreement or under any Credit Support Document to which it is a party:—</w:t>
      </w:r>
    </w:p>
    <w:p>
      <w:pPr>
        <w:spacing w:after="0" w:line="51" w:lineRule="exact"/>
        <w:rPr>
          <w:sz w:val="20"/>
          <w:szCs w:val="20"/>
          <w:color w:val="auto"/>
        </w:rPr>
      </w:pPr>
    </w:p>
    <w:p>
      <w:pPr>
        <w:ind w:right="80" w:firstLine="8"/>
        <w:spacing w:after="0" w:line="268"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Furnish Specified Information. </w:t>
      </w:r>
      <w:r>
        <w:rPr>
          <w:rFonts w:ascii="Arial" w:cs="Arial" w:eastAsia="Arial" w:hAnsi="Arial"/>
          <w:sz w:val="18"/>
          <w:szCs w:val="18"/>
          <w:color w:val="auto"/>
        </w:rPr>
        <w:t>It will deliver to the other party or, in certain cases under subparagraph (iii) below, to such government or taxing authority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party reasonably directs:—</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forms, documents or certificates relating to taxation specified in the Schedule or any Confirmation;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other documents specified in the Schedule or any Confirmation; and</w:t>
      </w:r>
    </w:p>
    <w:p>
      <w:pPr>
        <w:spacing w:after="0" w:line="90" w:lineRule="exact"/>
        <w:rPr>
          <w:rFonts w:ascii="Arial" w:cs="Arial" w:eastAsia="Arial" w:hAnsi="Arial"/>
          <w:sz w:val="18"/>
          <w:szCs w:val="18"/>
          <w:color w:val="auto"/>
        </w:rPr>
      </w:pPr>
    </w:p>
    <w:p>
      <w:pPr>
        <w:ind w:left="460" w:right="360" w:firstLine="4"/>
        <w:spacing w:after="0" w:line="283" w:lineRule="auto"/>
        <w:tabs>
          <w:tab w:leader="none" w:pos="767" w:val="left"/>
        </w:tabs>
        <w:numPr>
          <w:ilvl w:val="1"/>
          <w:numId w:val="26"/>
        </w:numPr>
        <w:rPr>
          <w:rFonts w:ascii="Arial" w:cs="Arial" w:eastAsia="Arial" w:hAnsi="Arial"/>
          <w:sz w:val="16"/>
          <w:szCs w:val="16"/>
          <w:color w:val="auto"/>
        </w:rPr>
      </w:pPr>
      <w:r>
        <w:rPr>
          <w:rFonts w:ascii="Arial" w:cs="Arial" w:eastAsia="Arial" w:hAnsi="Arial"/>
          <w:sz w:val="16"/>
          <w:szCs w:val="16"/>
          <w:color w:val="auto"/>
        </w:rPr>
        <w:t>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w:t>
      </w:r>
    </w:p>
    <w:p>
      <w:pPr>
        <w:spacing w:after="0" w:line="2" w:lineRule="exact"/>
        <w:rPr>
          <w:rFonts w:ascii="Arial" w:cs="Arial" w:eastAsia="Arial" w:hAnsi="Arial"/>
          <w:sz w:val="16"/>
          <w:szCs w:val="16"/>
          <w:color w:val="auto"/>
        </w:rPr>
      </w:pPr>
    </w:p>
    <w:p>
      <w:pPr>
        <w:ind w:left="460" w:right="640"/>
        <w:spacing w:after="0" w:line="261" w:lineRule="auto"/>
        <w:rPr>
          <w:rFonts w:ascii="Arial" w:cs="Arial" w:eastAsia="Arial" w:hAnsi="Arial"/>
          <w:sz w:val="16"/>
          <w:szCs w:val="16"/>
          <w:color w:val="auto"/>
        </w:rPr>
      </w:pPr>
      <w:r>
        <w:rPr>
          <w:rFonts w:ascii="Arial" w:cs="Arial" w:eastAsia="Arial" w:hAnsi="Arial"/>
          <w:sz w:val="18"/>
          <w:szCs w:val="18"/>
          <w:color w:val="auto"/>
        </w:rPr>
        <w:t>with any such form or document to be accurate and completed in a manner reasonably satisfactory to such other party and to be executed and to be delivered with any reasonably required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each case by the date specified in the Schedule or such Confirmation or, if none is specified, as soon as reasonably practicable.</w:t>
      </w:r>
    </w:p>
    <w:p>
      <w:pPr>
        <w:spacing w:after="0" w:line="171" w:lineRule="exact"/>
        <w:rPr>
          <w:sz w:val="20"/>
          <w:szCs w:val="20"/>
          <w:color w:val="auto"/>
        </w:rPr>
      </w:pPr>
    </w:p>
    <w:p>
      <w:pPr>
        <w:ind w:right="340" w:firstLine="8"/>
        <w:spacing w:after="0" w:line="259"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Authorisations. </w:t>
      </w:r>
      <w:r>
        <w:rPr>
          <w:rFonts w:ascii="Arial" w:cs="Arial" w:eastAsia="Arial" w:hAnsi="Arial"/>
          <w:sz w:val="18"/>
          <w:szCs w:val="18"/>
          <w:color w:val="auto"/>
        </w:rPr>
        <w:t>It will use all reasonable efforts to maintain in full force and effect all consents of any governmental or other authority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be obtained by it with respect to this Agreement or any Credit Support Document to which it is a party and will use all reasonable efforts to obtain any that may become necessary in the future.</w:t>
      </w:r>
    </w:p>
    <w:p>
      <w:pPr>
        <w:spacing w:after="0" w:line="140" w:lineRule="exact"/>
        <w:rPr>
          <w:rFonts w:ascii="Arial" w:cs="Arial" w:eastAsia="Arial" w:hAnsi="Arial"/>
          <w:sz w:val="18"/>
          <w:szCs w:val="18"/>
          <w:color w:val="auto"/>
        </w:rPr>
      </w:pPr>
    </w:p>
    <w:p>
      <w:pPr>
        <w:ind w:right="660" w:firstLine="8"/>
        <w:spacing w:after="0" w:line="332"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Comply with Laws. </w:t>
      </w:r>
      <w:r>
        <w:rPr>
          <w:rFonts w:ascii="Arial" w:cs="Arial" w:eastAsia="Arial" w:hAnsi="Arial"/>
          <w:sz w:val="16"/>
          <w:szCs w:val="16"/>
          <w:color w:val="auto"/>
        </w:rPr>
        <w:t>It will comply in all material respects with all applicable laws and orders to which it may be subject if failure so to comply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materially impair its ability to perform its obligations under this Agreement or any Credit Support Document to which it is a party.</w:t>
      </w:r>
    </w:p>
    <w:p>
      <w:pPr>
        <w:spacing w:after="0" w:line="85" w:lineRule="exact"/>
        <w:rPr>
          <w:rFonts w:ascii="Arial" w:cs="Arial" w:eastAsia="Arial" w:hAnsi="Arial"/>
          <w:sz w:val="16"/>
          <w:szCs w:val="16"/>
          <w:color w:val="auto"/>
        </w:rPr>
      </w:pPr>
    </w:p>
    <w:p>
      <w:pPr>
        <w:ind w:right="400" w:firstLine="8"/>
        <w:spacing w:after="0" w:line="268"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Agreement. </w:t>
      </w:r>
      <w:r>
        <w:rPr>
          <w:rFonts w:ascii="Arial" w:cs="Arial" w:eastAsia="Arial" w:hAnsi="Arial"/>
          <w:sz w:val="18"/>
          <w:szCs w:val="18"/>
          <w:color w:val="auto"/>
        </w:rPr>
        <w:t>It will give notice of any failure of a representation made by it under Section 3(f) to be accurate and true promptly upon learning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w:t>
      </w:r>
    </w:p>
    <w:p>
      <w:pPr>
        <w:spacing w:after="0" w:line="131" w:lineRule="exact"/>
        <w:rPr>
          <w:rFonts w:ascii="Arial" w:cs="Arial" w:eastAsia="Arial" w:hAnsi="Arial"/>
          <w:sz w:val="18"/>
          <w:szCs w:val="18"/>
          <w:color w:val="auto"/>
        </w:rPr>
      </w:pPr>
    </w:p>
    <w:p>
      <w:pPr>
        <w:ind w:right="580" w:firstLine="8"/>
        <w:spacing w:after="0" w:line="268"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Stamp Tax. </w:t>
      </w:r>
      <w:r>
        <w:rPr>
          <w:rFonts w:ascii="Arial" w:cs="Arial" w:eastAsia="Arial" w:hAnsi="Arial"/>
          <w:sz w:val="18"/>
          <w:szCs w:val="18"/>
          <w:color w:val="auto"/>
        </w:rPr>
        <w:t>Subject to Section 11, it will pay any Stamp Tax levied or imposed upon it or in respect of its execution or performance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by a jurisdiction in which it is incorporated, organised, managed and controlled, or considered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0" w:name="page41"/>
    <w:bookmarkEnd w:id="40"/>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its seat, or in which a branch or office through which it is acting for the purpose of this Agreement is located (“Stamp Tax Jurisdiction”) and will indemnify the other party against any Stamp Tax levied or imposed upon the other party or in respect of the other party’s execution or performance of this Agreement by any such Stamp Tax Jurisdiction which is not also a Stamp Tax Jurisdiction with respect to the other party.</w:t>
      </w:r>
    </w:p>
    <w:p>
      <w:pPr>
        <w:spacing w:after="0" w:line="25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and Termination Events</w:t>
      </w:r>
    </w:p>
    <w:p>
      <w:pPr>
        <w:spacing w:after="0" w:line="96" w:lineRule="exact"/>
        <w:rPr>
          <w:sz w:val="20"/>
          <w:szCs w:val="20"/>
          <w:color w:val="auto"/>
        </w:rPr>
      </w:pPr>
    </w:p>
    <w:p>
      <w:pPr>
        <w:ind w:right="260" w:firstLine="8"/>
        <w:spacing w:after="0" w:line="332" w:lineRule="auto"/>
        <w:tabs>
          <w:tab w:leader="none" w:pos="239"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The occurrence at any time with respect to a party or, if applicable, any Credit Support Provider of such party or any Specified Entity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party of any of the following events constitutes an event of default (an “Event of Default”) with respect to such party:—</w:t>
      </w:r>
    </w:p>
    <w:p>
      <w:pPr>
        <w:spacing w:after="0" w:line="4" w:lineRule="exact"/>
        <w:rPr>
          <w:rFonts w:ascii="Arial" w:cs="Arial" w:eastAsia="Arial" w:hAnsi="Arial"/>
          <w:sz w:val="16"/>
          <w:szCs w:val="16"/>
          <w:color w:val="auto"/>
        </w:rPr>
      </w:pPr>
    </w:p>
    <w:p>
      <w:pPr>
        <w:ind w:left="460" w:right="80" w:firstLine="4"/>
        <w:spacing w:after="0" w:line="332" w:lineRule="auto"/>
        <w:tabs>
          <w:tab w:leader="none" w:pos="670"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Pay or Deliver. </w:t>
      </w:r>
      <w:r>
        <w:rPr>
          <w:rFonts w:ascii="Arial" w:cs="Arial" w:eastAsia="Arial" w:hAnsi="Arial"/>
          <w:sz w:val="16"/>
          <w:szCs w:val="16"/>
          <w:color w:val="auto"/>
        </w:rPr>
        <w:t>Failure by the party to make, when due, any payment under this Agreement or delivery under Section 2(a)(i) or 2(e) required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made by it if such failure is not remedied on or before the third Local Business Day after notice of such failure is given to the party;</w:t>
      </w:r>
    </w:p>
    <w:p>
      <w:pPr>
        <w:spacing w:after="0" w:line="4" w:lineRule="exact"/>
        <w:rPr>
          <w:rFonts w:ascii="Arial" w:cs="Arial" w:eastAsia="Arial" w:hAnsi="Arial"/>
          <w:sz w:val="16"/>
          <w:szCs w:val="16"/>
          <w:color w:val="auto"/>
        </w:rPr>
      </w:pPr>
    </w:p>
    <w:p>
      <w:pPr>
        <w:ind w:left="460" w:right="200" w:firstLine="4"/>
        <w:spacing w:after="0" w:line="256" w:lineRule="auto"/>
        <w:tabs>
          <w:tab w:leader="none" w:pos="718" w:val="left"/>
        </w:tabs>
        <w:numPr>
          <w:ilvl w:val="1"/>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Breach of Agreement. </w:t>
      </w:r>
      <w:r>
        <w:rPr>
          <w:rFonts w:ascii="Arial" w:cs="Arial" w:eastAsia="Arial" w:hAnsi="Arial"/>
          <w:sz w:val="18"/>
          <w:szCs w:val="18"/>
          <w:color w:val="auto"/>
        </w:rPr>
        <w:t>Failure by the party to comply with or perform any agreement or obligation (other than an obligation to make any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Agreement or delivery under Section 2(a)(i) or 2(e) or to give notice of a Termination Event or any agreement or obligation under Section 4(a) (i), 4(a)(iii) or 4(d)) to be complied with or performed by the party in accordance with this Agreement if such failure is not remedied on or before the thirtieth day after notice of such failure is given to the party;</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Credit Support Default.</w:t>
      </w:r>
    </w:p>
    <w:p>
      <w:pPr>
        <w:spacing w:after="0" w:line="90" w:lineRule="exact"/>
        <w:rPr>
          <w:rFonts w:ascii="Arial" w:cs="Arial" w:eastAsia="Arial" w:hAnsi="Arial"/>
          <w:sz w:val="18"/>
          <w:szCs w:val="18"/>
          <w:color w:val="auto"/>
        </w:rPr>
      </w:pPr>
    </w:p>
    <w:p>
      <w:pPr>
        <w:ind w:left="920" w:right="140" w:firstLine="1"/>
        <w:spacing w:after="0" w:line="332" w:lineRule="auto"/>
        <w:tabs>
          <w:tab w:leader="none" w:pos="1169" w:val="left"/>
        </w:tabs>
        <w:numPr>
          <w:ilvl w:val="2"/>
          <w:numId w:val="29"/>
        </w:numPr>
        <w:rPr>
          <w:rFonts w:ascii="Arial" w:cs="Arial" w:eastAsia="Arial" w:hAnsi="Arial"/>
          <w:sz w:val="16"/>
          <w:szCs w:val="16"/>
          <w:color w:val="auto"/>
        </w:rPr>
      </w:pPr>
      <w:r>
        <w:rPr>
          <w:rFonts w:ascii="Arial" w:cs="Arial" w:eastAsia="Arial" w:hAnsi="Arial"/>
          <w:sz w:val="16"/>
          <w:szCs w:val="16"/>
          <w:color w:val="auto"/>
        </w:rPr>
        <w:t>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spacing w:after="0" w:line="4" w:lineRule="exact"/>
        <w:rPr>
          <w:rFonts w:ascii="Arial" w:cs="Arial" w:eastAsia="Arial" w:hAnsi="Arial"/>
          <w:sz w:val="16"/>
          <w:szCs w:val="16"/>
          <w:color w:val="auto"/>
        </w:rPr>
      </w:pPr>
    </w:p>
    <w:p>
      <w:pPr>
        <w:ind w:left="920" w:right="140" w:firstLine="1"/>
        <w:spacing w:after="0" w:line="286" w:lineRule="auto"/>
        <w:tabs>
          <w:tab w:leader="none" w:pos="1169"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expiration or termination of such Credit Support Document or the failing or ceasing of such Credit Support Document to be in full force and effect for the purpose of this Agreement (in either case other than in accordance with its terms) prior to the satisfaction of all obligations</w:t>
      </w:r>
    </w:p>
    <w:p>
      <w:pPr>
        <w:ind w:left="920"/>
        <w:spacing w:after="0"/>
        <w:rPr>
          <w:rFonts w:ascii="Arial" w:cs="Arial" w:eastAsia="Arial" w:hAnsi="Arial"/>
          <w:sz w:val="16"/>
          <w:szCs w:val="16"/>
          <w:color w:val="auto"/>
        </w:rPr>
      </w:pPr>
      <w:r>
        <w:rPr>
          <w:rFonts w:ascii="Arial" w:cs="Arial" w:eastAsia="Arial" w:hAnsi="Arial"/>
          <w:sz w:val="16"/>
          <w:szCs w:val="16"/>
          <w:color w:val="auto"/>
        </w:rPr>
        <w:t>of such party under each Transaction to which such Credit Support Document relates without the written consent of the other party; or</w:t>
      </w:r>
    </w:p>
    <w:p>
      <w:pPr>
        <w:spacing w:after="0" w:line="106" w:lineRule="exact"/>
        <w:rPr>
          <w:rFonts w:ascii="Arial" w:cs="Arial" w:eastAsia="Arial" w:hAnsi="Arial"/>
          <w:sz w:val="16"/>
          <w:szCs w:val="16"/>
          <w:color w:val="auto"/>
        </w:rPr>
      </w:pPr>
    </w:p>
    <w:p>
      <w:pPr>
        <w:ind w:left="920" w:right="20" w:firstLine="1"/>
        <w:spacing w:after="0" w:line="268" w:lineRule="auto"/>
        <w:tabs>
          <w:tab w:leader="none" w:pos="1169"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party or such Credit Support Provider disaffirms, disclaims, repudiates or rejects, in whole or in part, or challenges the validity of, such Credit Support Document;</w:t>
      </w:r>
    </w:p>
    <w:p>
      <w:pPr>
        <w:spacing w:after="0" w:line="50" w:lineRule="exact"/>
        <w:rPr>
          <w:rFonts w:ascii="Arial" w:cs="Arial" w:eastAsia="Arial" w:hAnsi="Arial"/>
          <w:sz w:val="18"/>
          <w:szCs w:val="18"/>
          <w:color w:val="auto"/>
        </w:rPr>
      </w:pPr>
    </w:p>
    <w:p>
      <w:pPr>
        <w:ind w:left="460" w:right="100" w:firstLine="4"/>
        <w:spacing w:after="0" w:line="259" w:lineRule="auto"/>
        <w:tabs>
          <w:tab w:leader="none" w:pos="757" w:val="left"/>
        </w:tabs>
        <w:numPr>
          <w:ilvl w:val="1"/>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Misrepresentation. </w:t>
      </w:r>
      <w:r>
        <w:rPr>
          <w:rFonts w:ascii="Arial" w:cs="Arial" w:eastAsia="Arial" w:hAnsi="Arial"/>
          <w:sz w:val="18"/>
          <w:szCs w:val="18"/>
          <w:color w:val="auto"/>
        </w:rPr>
        <w:t>A representation (other than a representation under Section 3(e) or (f)) made or repeated or deemed to have been made or repeated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party or any Credit Support Provider of such party in this Agreement or any Credit Support Document proves to have been incorrect or misleading in any material respect when made or repeated or deemed to have been made or repeated;</w:t>
      </w:r>
    </w:p>
    <w:p>
      <w:pPr>
        <w:spacing w:after="0" w:line="59" w:lineRule="exact"/>
        <w:rPr>
          <w:rFonts w:ascii="Arial" w:cs="Arial" w:eastAsia="Arial" w:hAnsi="Arial"/>
          <w:sz w:val="18"/>
          <w:szCs w:val="18"/>
          <w:color w:val="auto"/>
        </w:rPr>
      </w:pPr>
    </w:p>
    <w:p>
      <w:pPr>
        <w:ind w:left="460" w:right="40" w:firstLine="4"/>
        <w:spacing w:after="0" w:line="286" w:lineRule="auto"/>
        <w:tabs>
          <w:tab w:leader="none" w:pos="709"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under Specified Transaction. </w:t>
      </w:r>
      <w:r>
        <w:rPr>
          <w:rFonts w:ascii="Arial" w:cs="Arial" w:eastAsia="Arial" w:hAnsi="Arial"/>
          <w:sz w:val="16"/>
          <w:szCs w:val="16"/>
          <w:color w:val="auto"/>
        </w:rPr>
        <w:t>The party, any Credit Support Provider of such party or any applicable Specified Entity of such party (1) defaults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a Specified Transaction and, after giving effect to any applicable notice requirement or grace period, there occurs a liquidation of, an</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acceleration of obligations under, or an early termination of, that Specified Transaction, (2) defaults, after giving effect to any applicable notice requirement or grace period, in making any payment or delivery due on the last payment, delivery or exchange date of, or any payment on early termination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of, a Specified Transaction (or such default continues for at least three Local Business Days if there is no applicable notice requirement or grace period) or</w:t>
      </w:r>
    </w:p>
    <w:p>
      <w:pPr>
        <w:spacing w:after="0" w:line="32" w:lineRule="exact"/>
        <w:rPr>
          <w:rFonts w:ascii="Arial" w:cs="Arial" w:eastAsia="Arial" w:hAnsi="Arial"/>
          <w:sz w:val="16"/>
          <w:szCs w:val="16"/>
          <w:color w:val="auto"/>
        </w:rPr>
      </w:pPr>
    </w:p>
    <w:p>
      <w:pPr>
        <w:ind w:left="460" w:right="1280"/>
        <w:spacing w:after="0" w:line="261" w:lineRule="auto"/>
        <w:rPr>
          <w:rFonts w:ascii="Arial" w:cs="Arial" w:eastAsia="Arial" w:hAnsi="Arial"/>
          <w:sz w:val="16"/>
          <w:szCs w:val="16"/>
          <w:color w:val="auto"/>
        </w:rPr>
      </w:pPr>
      <w:r>
        <w:rPr>
          <w:rFonts w:ascii="Arial" w:cs="Arial" w:eastAsia="Arial" w:hAnsi="Arial"/>
          <w:sz w:val="18"/>
          <w:szCs w:val="18"/>
          <w:color w:val="auto"/>
        </w:rPr>
        <w:t>(3) disaffirms, disclaims, repudiates or rejects, in whole or in part, a Specified Transaction (or such action is taken by any person or entity appointed or empowered to operate it or act on its behalf);</w:t>
      </w:r>
    </w:p>
    <w:p>
      <w:pPr>
        <w:spacing w:after="0" w:line="56" w:lineRule="exact"/>
        <w:rPr>
          <w:rFonts w:ascii="Arial" w:cs="Arial" w:eastAsia="Arial" w:hAnsi="Arial"/>
          <w:sz w:val="16"/>
          <w:szCs w:val="16"/>
          <w:color w:val="auto"/>
        </w:rPr>
      </w:pPr>
    </w:p>
    <w:p>
      <w:pPr>
        <w:ind w:left="460" w:right="160" w:firstLine="4"/>
        <w:spacing w:after="0" w:line="268" w:lineRule="auto"/>
        <w:tabs>
          <w:tab w:leader="none" w:pos="757" w:val="left"/>
        </w:tabs>
        <w:numPr>
          <w:ilvl w:val="1"/>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Cross Default. </w:t>
      </w:r>
      <w:r>
        <w:rPr>
          <w:rFonts w:ascii="Arial" w:cs="Arial" w:eastAsia="Arial" w:hAnsi="Arial"/>
          <w:sz w:val="18"/>
          <w:szCs w:val="18"/>
          <w:color w:val="auto"/>
        </w:rPr>
        <w:t>If “Cross Default” is specified in the Schedule as applying to the party, the occurrence or existence of (1) a default, event of default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condition or event (however described) in respect of such party, any Credit Support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1" w:name="page42"/>
    <w:bookmarkEnd w:id="4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Provider of such party or any applicable Specified Entity of such party under one or more agreements or instruments relating to Specified</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Indebtedness of any of them (individually or collectively) in an aggregate amount of not less than the applicable Threshold Amount (as specified in the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Schedule) which has resulted in such Specified Indebtedness becoming, or becoming capable at such time of being declared, due and payable under</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5"/>
          <w:szCs w:val="15"/>
          <w:color w:val="auto"/>
        </w:rPr>
        <w:t>such agreements or instruments, before it would otherwise have been due and payable or (2) a default by such party, such Credit Support Provider or such</w:t>
      </w:r>
    </w:p>
    <w:p>
      <w:pPr>
        <w:spacing w:after="0" w:line="44" w:lineRule="exact"/>
        <w:rPr>
          <w:sz w:val="20"/>
          <w:szCs w:val="20"/>
          <w:color w:val="auto"/>
        </w:rPr>
      </w:pPr>
    </w:p>
    <w:p>
      <w:pPr>
        <w:ind w:left="452"/>
        <w:spacing w:after="0"/>
        <w:rPr>
          <w:sz w:val="20"/>
          <w:szCs w:val="20"/>
          <w:color w:val="auto"/>
        </w:rPr>
      </w:pPr>
      <w:r>
        <w:rPr>
          <w:rFonts w:ascii="Arial" w:cs="Arial" w:eastAsia="Arial" w:hAnsi="Arial"/>
          <w:sz w:val="16"/>
          <w:szCs w:val="16"/>
          <w:color w:val="auto"/>
        </w:rPr>
        <w:t>Specified Entity (individually or collectively) in making one or more payments on the due date thereof in an aggregate amount of not less than the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applicable Threshold Amount under such agreements or instruments (after giving effect to any applicable notice requirement or grace period);</w:t>
      </w:r>
    </w:p>
    <w:p>
      <w:pPr>
        <w:spacing w:after="0" w:line="107" w:lineRule="exact"/>
        <w:rPr>
          <w:sz w:val="20"/>
          <w:szCs w:val="20"/>
          <w:color w:val="auto"/>
        </w:rPr>
      </w:pPr>
    </w:p>
    <w:p>
      <w:pPr>
        <w:ind w:left="812" w:hanging="356"/>
        <w:spacing w:after="0"/>
        <w:tabs>
          <w:tab w:leader="none" w:pos="81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The party, any Credit Support Provider of such party or any applicable Specified Entity of such party:—</w:t>
      </w:r>
    </w:p>
    <w:p>
      <w:pPr>
        <w:spacing w:after="0" w:line="90" w:lineRule="exact"/>
        <w:rPr>
          <w:rFonts w:ascii="Arial" w:cs="Arial" w:eastAsia="Arial" w:hAnsi="Arial"/>
          <w:sz w:val="18"/>
          <w:szCs w:val="18"/>
          <w:color w:val="auto"/>
        </w:rPr>
      </w:pPr>
    </w:p>
    <w:p>
      <w:pPr>
        <w:ind w:left="912" w:right="20" w:firstLine="1"/>
        <w:spacing w:after="0" w:line="283" w:lineRule="auto"/>
        <w:tabs>
          <w:tab w:leader="none" w:pos="1161" w:val="left"/>
        </w:tabs>
        <w:numPr>
          <w:ilvl w:val="1"/>
          <w:numId w:val="30"/>
        </w:numPr>
        <w:rPr>
          <w:rFonts w:ascii="Arial" w:cs="Arial" w:eastAsia="Arial" w:hAnsi="Arial"/>
          <w:sz w:val="16"/>
          <w:szCs w:val="16"/>
          <w:color w:val="auto"/>
        </w:rPr>
      </w:pPr>
      <w:r>
        <w:rPr>
          <w:rFonts w:ascii="Arial" w:cs="Arial" w:eastAsia="Arial" w:hAnsi="Arial"/>
          <w:sz w:val="16"/>
          <w:szCs w:val="16"/>
          <w:color w:val="auto"/>
        </w:rPr>
        <w:t>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 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 results in a judgment</w:t>
      </w:r>
    </w:p>
    <w:p>
      <w:pPr>
        <w:spacing w:after="0" w:line="2" w:lineRule="exact"/>
        <w:rPr>
          <w:rFonts w:ascii="Arial" w:cs="Arial" w:eastAsia="Arial" w:hAnsi="Arial"/>
          <w:sz w:val="16"/>
          <w:szCs w:val="16"/>
          <w:color w:val="auto"/>
        </w:rPr>
      </w:pPr>
    </w:p>
    <w:p>
      <w:pPr>
        <w:ind w:left="912" w:right="340"/>
        <w:spacing w:after="0" w:line="281" w:lineRule="auto"/>
        <w:rPr>
          <w:rFonts w:ascii="Arial" w:cs="Arial" w:eastAsia="Arial" w:hAnsi="Arial"/>
          <w:sz w:val="16"/>
          <w:szCs w:val="16"/>
          <w:color w:val="auto"/>
        </w:rPr>
      </w:pPr>
      <w:r>
        <w:rPr>
          <w:rFonts w:ascii="Arial" w:cs="Arial" w:eastAsia="Arial" w:hAnsi="Arial"/>
          <w:sz w:val="16"/>
          <w:szCs w:val="16"/>
          <w:color w:val="auto"/>
        </w:rPr>
        <w:t>of insolvency or bankruptcy or the entry of an order for relief or the making of an order for its winding-up or liquidation or (B) is not dismissed, discharged, stayed or restrained in each case within 30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w:t>
      </w:r>
    </w:p>
    <w:p>
      <w:pPr>
        <w:spacing w:after="0" w:line="2" w:lineRule="exact"/>
        <w:rPr>
          <w:rFonts w:ascii="Arial" w:cs="Arial" w:eastAsia="Arial" w:hAnsi="Arial"/>
          <w:sz w:val="16"/>
          <w:szCs w:val="16"/>
          <w:color w:val="auto"/>
        </w:rPr>
      </w:pPr>
    </w:p>
    <w:p>
      <w:pPr>
        <w:ind w:left="912" w:right="220"/>
        <w:spacing w:after="0" w:line="281" w:lineRule="auto"/>
        <w:rPr>
          <w:rFonts w:ascii="Arial" w:cs="Arial" w:eastAsia="Arial" w:hAnsi="Arial"/>
          <w:sz w:val="16"/>
          <w:szCs w:val="16"/>
          <w:color w:val="auto"/>
        </w:rPr>
      </w:pPr>
      <w:r>
        <w:rPr>
          <w:rFonts w:ascii="Arial" w:cs="Arial" w:eastAsia="Arial" w:hAnsi="Arial"/>
          <w:sz w:val="16"/>
          <w:szCs w:val="16"/>
          <w:color w:val="auto"/>
        </w:rPr>
        <w:t>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w:t>
      </w:r>
    </w:p>
    <w:p>
      <w:pPr>
        <w:spacing w:after="0" w:line="1" w:lineRule="exact"/>
        <w:rPr>
          <w:rFonts w:ascii="Arial" w:cs="Arial" w:eastAsia="Arial" w:hAnsi="Arial"/>
          <w:sz w:val="16"/>
          <w:szCs w:val="16"/>
          <w:color w:val="auto"/>
        </w:rPr>
      </w:pPr>
    </w:p>
    <w:p>
      <w:pPr>
        <w:ind w:left="912" w:right="160"/>
        <w:spacing w:after="0" w:line="254" w:lineRule="auto"/>
        <w:rPr>
          <w:rFonts w:ascii="Arial" w:cs="Arial" w:eastAsia="Arial" w:hAnsi="Arial"/>
          <w:sz w:val="16"/>
          <w:szCs w:val="16"/>
          <w:color w:val="auto"/>
        </w:rPr>
      </w:pPr>
      <w:r>
        <w:rPr>
          <w:rFonts w:ascii="Arial" w:cs="Arial" w:eastAsia="Arial" w:hAnsi="Arial"/>
          <w:sz w:val="18"/>
          <w:szCs w:val="18"/>
          <w:color w:val="auto"/>
        </w:rPr>
        <w:t>maintains possession, or any such process is not dismissed, discharged, stayed or restrained, in each case within 30 days thereafter; (8) causes or is subject to any event with respect to it which, under the applicable laws of any jurisdiction, has an analogous effect to any of the events specified in clauses (1) to (7) (inclusive); or (9) takes any action in furtherance of, or indicating its consent to, approval of, or acquiescence in, any of the foregoing acts; or</w:t>
      </w:r>
    </w:p>
    <w:p>
      <w:pPr>
        <w:spacing w:after="0" w:line="62" w:lineRule="exact"/>
        <w:rPr>
          <w:rFonts w:ascii="Arial" w:cs="Arial" w:eastAsia="Arial" w:hAnsi="Arial"/>
          <w:sz w:val="16"/>
          <w:szCs w:val="16"/>
          <w:color w:val="auto"/>
        </w:rPr>
      </w:pPr>
    </w:p>
    <w:p>
      <w:pPr>
        <w:ind w:left="452" w:right="220" w:firstLine="4"/>
        <w:spacing w:after="0" w:line="332" w:lineRule="auto"/>
        <w:tabs>
          <w:tab w:leader="none" w:pos="847"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Merger Without Assumption. </w:t>
      </w:r>
      <w:r>
        <w:rPr>
          <w:rFonts w:ascii="Arial" w:cs="Arial" w:eastAsia="Arial" w:hAnsi="Arial"/>
          <w:sz w:val="16"/>
          <w:szCs w:val="16"/>
          <w:color w:val="auto"/>
        </w:rPr>
        <w:t>The party or any Credit Support Provider of such party consolidates or amalgamates with, or merges with or into,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transfers all or substantially all its assets to, another entity and, at the time of such consolidation, amalgamation, merger or transfer:—</w:t>
      </w:r>
    </w:p>
    <w:p>
      <w:pPr>
        <w:spacing w:after="0" w:line="4" w:lineRule="exact"/>
        <w:rPr>
          <w:rFonts w:ascii="Arial" w:cs="Arial" w:eastAsia="Arial" w:hAnsi="Arial"/>
          <w:sz w:val="16"/>
          <w:szCs w:val="16"/>
          <w:color w:val="auto"/>
        </w:rPr>
      </w:pPr>
    </w:p>
    <w:p>
      <w:pPr>
        <w:jc w:val="both"/>
        <w:ind w:left="912" w:firstLine="1"/>
        <w:spacing w:after="0" w:line="259" w:lineRule="auto"/>
        <w:tabs>
          <w:tab w:leader="none" w:pos="11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resulting, surviving or transferee entity fails to assume all the obligations of such party or such Credit Support Provider under this Agreement or any Credit Support Document to which it or its predecessor was a party by operation of law or pursuant to an agreement reasonably satisfactory to the other party to this Agreement; or</w:t>
      </w:r>
    </w:p>
    <w:p>
      <w:pPr>
        <w:spacing w:after="0" w:line="59" w:lineRule="exact"/>
        <w:rPr>
          <w:rFonts w:ascii="Arial" w:cs="Arial" w:eastAsia="Arial" w:hAnsi="Arial"/>
          <w:sz w:val="18"/>
          <w:szCs w:val="18"/>
          <w:color w:val="auto"/>
        </w:rPr>
      </w:pPr>
    </w:p>
    <w:p>
      <w:pPr>
        <w:ind w:left="912" w:right="620" w:firstLine="1"/>
        <w:spacing w:after="0" w:line="268" w:lineRule="auto"/>
        <w:tabs>
          <w:tab w:leader="none" w:pos="11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benefits of any Credit Support Document fail to extend (without the consent of the other party) to the performance by such resulting, surviving or transferee entity of its obligations under this Agreement.</w:t>
      </w:r>
    </w:p>
    <w:p>
      <w:pPr>
        <w:spacing w:after="0" w:line="132" w:lineRule="exact"/>
        <w:rPr>
          <w:sz w:val="20"/>
          <w:szCs w:val="20"/>
          <w:color w:val="auto"/>
        </w:rPr>
      </w:pPr>
    </w:p>
    <w:p>
      <w:pPr>
        <w:ind w:left="-8" w:right="60" w:firstLine="8"/>
        <w:spacing w:after="0" w:line="298" w:lineRule="auto"/>
        <w:tabs>
          <w:tab w:leader="none" w:pos="241"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Termination Events. </w:t>
      </w:r>
      <w:r>
        <w:rPr>
          <w:rFonts w:ascii="Arial" w:cs="Arial" w:eastAsia="Arial" w:hAnsi="Arial"/>
          <w:sz w:val="16"/>
          <w:szCs w:val="16"/>
          <w:color w:val="auto"/>
        </w:rPr>
        <w:t>The occurrence at any time with respect to a party or, if applicable, any Credit Support Provider of such party or any Specified Entity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party of any event specified below constitutes an Illegality if the event is specified in (i) below, a Tax Event if the event is specified in (ii) below or a Tax Event Upon Merger if the event is specified in (iii) below, and, if specified to be applicable, a Credit Event Upon Merger if the event is specified pursuant to (iv) below or an Additional Termination Event if the event is specified pursuant to (v) below:—</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42" w:name="page43"/>
    <w:bookmarkEnd w:id="42"/>
    <w:p>
      <w:pPr>
        <w:ind w:left="460" w:right="140" w:firstLine="4"/>
        <w:spacing w:after="0" w:line="286" w:lineRule="auto"/>
        <w:tabs>
          <w:tab w:leader="none" w:pos="67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Illegality. </w:t>
      </w:r>
      <w:r>
        <w:rPr>
          <w:rFonts w:ascii="Arial" w:cs="Arial" w:eastAsia="Arial" w:hAnsi="Arial"/>
          <w:sz w:val="16"/>
          <w:szCs w:val="16"/>
          <w:color w:val="auto"/>
        </w:rPr>
        <w:t>Due to the adoption of, or any change in, any applicable law after the date on which a Transaction is entered into, or due to the promulgation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any change in, the interpretation by any court, tribunal or regulatory authority with competent jurisdiction of any applicable law after</w:t>
      </w:r>
    </w:p>
    <w:p>
      <w:pPr>
        <w:ind w:left="460"/>
        <w:spacing w:after="0"/>
        <w:rPr>
          <w:rFonts w:ascii="Arial" w:cs="Arial" w:eastAsia="Arial" w:hAnsi="Arial"/>
          <w:sz w:val="16"/>
          <w:szCs w:val="16"/>
          <w:color w:val="auto"/>
        </w:rPr>
      </w:pPr>
      <w:r>
        <w:rPr>
          <w:rFonts w:ascii="Arial" w:cs="Arial" w:eastAsia="Arial" w:hAnsi="Arial"/>
          <w:sz w:val="16"/>
          <w:szCs w:val="16"/>
          <w:color w:val="auto"/>
        </w:rPr>
        <w:t>such date, it becomes unlawful (other than as a result of a breach by the party of Section 4(b)) for such party (which will be the Affected Party):—</w:t>
      </w:r>
    </w:p>
    <w:p>
      <w:pPr>
        <w:spacing w:after="0" w:line="106" w:lineRule="exact"/>
        <w:rPr>
          <w:rFonts w:ascii="Arial" w:cs="Arial" w:eastAsia="Arial" w:hAnsi="Arial"/>
          <w:sz w:val="16"/>
          <w:szCs w:val="16"/>
          <w:color w:val="auto"/>
        </w:rPr>
      </w:pPr>
    </w:p>
    <w:p>
      <w:pPr>
        <w:ind w:left="920" w:right="20" w:firstLine="1"/>
        <w:spacing w:after="0" w:line="268" w:lineRule="auto"/>
        <w:tabs>
          <w:tab w:leader="none" w:pos="11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perform any absolute or contingent obligation to make a payment or delivery or to receive a payment or delivery in respect of such Transaction or to comply with any other material provision of this Agreement relating to such Transaction; or</w:t>
      </w:r>
    </w:p>
    <w:p>
      <w:pPr>
        <w:spacing w:after="0" w:line="50" w:lineRule="exact"/>
        <w:rPr>
          <w:rFonts w:ascii="Arial" w:cs="Arial" w:eastAsia="Arial" w:hAnsi="Arial"/>
          <w:sz w:val="18"/>
          <w:szCs w:val="18"/>
          <w:color w:val="auto"/>
        </w:rPr>
      </w:pPr>
    </w:p>
    <w:p>
      <w:pPr>
        <w:ind w:left="920" w:right="540" w:firstLine="1"/>
        <w:spacing w:after="0" w:line="268" w:lineRule="auto"/>
        <w:tabs>
          <w:tab w:leader="none" w:pos="11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perform, or for any Credit Support Provider of such party to perform, any contingent or other obligation which the party (or such Credit Support Provider) has under any Credit Support Document relating to such Transaction;</w:t>
      </w:r>
    </w:p>
    <w:p>
      <w:pPr>
        <w:spacing w:after="0" w:line="50" w:lineRule="exact"/>
        <w:rPr>
          <w:rFonts w:ascii="Arial" w:cs="Arial" w:eastAsia="Arial" w:hAnsi="Arial"/>
          <w:sz w:val="18"/>
          <w:szCs w:val="18"/>
          <w:color w:val="auto"/>
        </w:rPr>
      </w:pPr>
    </w:p>
    <w:p>
      <w:pPr>
        <w:ind w:left="460" w:right="40" w:firstLine="4"/>
        <w:spacing w:after="0" w:line="286" w:lineRule="auto"/>
        <w:tabs>
          <w:tab w:leader="none" w:pos="718"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w:t>
      </w:r>
      <w:r>
        <w:rPr>
          <w:rFonts w:ascii="Arial" w:cs="Arial" w:eastAsia="Arial" w:hAnsi="Arial"/>
          <w:sz w:val="16"/>
          <w:szCs w:val="16"/>
          <w:color w:val="auto"/>
        </w:rPr>
        <w:t>Due to (x) any action taken by a taxing authority, or brought in a court of competent jurisdiction, on or after the date on which a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entered into (regardless of whether such action is taken or brought with respect to a party to this Agreement) or (y) a Change in Tax Law,</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the party (which will be the Affected Party) will, or there is a substantial likelihood that it will, on the next succeeding Scheduled Payment Date (1) be required to pay to the other party an additional amount in respect of an Indemnifiable Tax under Section 2(d)(i)(4) (except in respect of interest under Section 2(e), 6(d)(ii) or 6(e)) or (2) receive a payment from which an amount is required to be deducted or withheld for or on account of a Tax (except in respect of interest under Section 2(e), 6(d)(ii) or 6(e)) and no additional amount is required to be paid in respect of such Tax under Section 2(d)(i)</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 (other than by reason of Section 2(d)(i)(4)(A) or (B));</w:t>
      </w:r>
    </w:p>
    <w:p>
      <w:pPr>
        <w:spacing w:after="0" w:line="83" w:lineRule="exact"/>
        <w:rPr>
          <w:rFonts w:ascii="Arial" w:cs="Arial" w:eastAsia="Arial" w:hAnsi="Arial"/>
          <w:sz w:val="16"/>
          <w:szCs w:val="16"/>
          <w:color w:val="auto"/>
        </w:rPr>
      </w:pPr>
    </w:p>
    <w:p>
      <w:pPr>
        <w:ind w:left="460" w:right="480" w:firstLine="4"/>
        <w:spacing w:after="0" w:line="286" w:lineRule="auto"/>
        <w:tabs>
          <w:tab w:leader="none" w:pos="767"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Upon Merger. </w:t>
      </w:r>
      <w:r>
        <w:rPr>
          <w:rFonts w:ascii="Arial" w:cs="Arial" w:eastAsia="Arial" w:hAnsi="Arial"/>
          <w:sz w:val="16"/>
          <w:szCs w:val="16"/>
          <w:color w:val="auto"/>
        </w:rPr>
        <w:t>The party (the “Burdened Party”) on the next succeeding Scheduled Payment Date will either (1) be required to pay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amount in respect of an Indemnifiable Tax under Section 2(d)(i)(4) (except in respect of interest under Section 2(e), 6(d)(ii) or 6(e)) or</w:t>
      </w: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(2) receive a payment from which an amount has been deducted or withheld for or on account of any Indemnifiable Tax in respect of which the other party is not required to pay an additional amount (other than by reason of Section 2(d)(i)(4)(A) or (B)), in either case as a result of a party</w:t>
      </w:r>
    </w:p>
    <w:p>
      <w:pPr>
        <w:spacing w:after="0" w:line="1" w:lineRule="exact"/>
        <w:rPr>
          <w:rFonts w:ascii="Arial" w:cs="Arial" w:eastAsia="Arial" w:hAnsi="Arial"/>
          <w:sz w:val="16"/>
          <w:szCs w:val="16"/>
          <w:color w:val="auto"/>
        </w:rPr>
      </w:pP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consolidating or amalgamating with, or merging with or into, or transferring all or substantially all its assets to, another entity (which will be the Affected Party) where such action does not constitute an event described in Section 5(a)(viii);</w:t>
      </w:r>
    </w:p>
    <w:p>
      <w:pPr>
        <w:spacing w:after="0" w:line="56" w:lineRule="exact"/>
        <w:rPr>
          <w:rFonts w:ascii="Arial" w:cs="Arial" w:eastAsia="Arial" w:hAnsi="Arial"/>
          <w:sz w:val="16"/>
          <w:szCs w:val="16"/>
          <w:color w:val="auto"/>
        </w:rPr>
      </w:pPr>
    </w:p>
    <w:p>
      <w:pPr>
        <w:ind w:left="460" w:right="20" w:firstLine="4"/>
        <w:spacing w:after="0" w:line="283" w:lineRule="auto"/>
        <w:tabs>
          <w:tab w:leader="none" w:pos="757"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Event Upon Merger. </w:t>
      </w:r>
      <w:r>
        <w:rPr>
          <w:rFonts w:ascii="Arial" w:cs="Arial" w:eastAsia="Arial" w:hAnsi="Arial"/>
          <w:sz w:val="16"/>
          <w:szCs w:val="16"/>
          <w:color w:val="auto"/>
        </w:rPr>
        <w:t>If “Credit Event Upon Merger” is specified in the Schedule as applying to the party, such party (“X”), any Credit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X or any applicable Specified Entity of X consolidates or amalgamates with, or merges with or into, or transfers all or substantially all its assets to, another entity and such action does not constitute an event described in Section 5(a)(viii) but the creditworthiness of the resulting, surviving or transferee entity is materially weaker than that of X, such Credit Support Provider or such Specified Entity, as the case may be, immediately prior</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to such action (and, in such event, X or its successor or transferee, as appropriate, will be the Affected Party); or</w:t>
      </w:r>
    </w:p>
    <w:p>
      <w:pPr>
        <w:spacing w:after="0" w:line="83" w:lineRule="exact"/>
        <w:rPr>
          <w:rFonts w:ascii="Arial" w:cs="Arial" w:eastAsia="Arial" w:hAnsi="Arial"/>
          <w:sz w:val="16"/>
          <w:szCs w:val="16"/>
          <w:color w:val="auto"/>
        </w:rPr>
      </w:pPr>
    </w:p>
    <w:p>
      <w:pPr>
        <w:jc w:val="both"/>
        <w:ind w:left="460" w:right="140" w:firstLine="4"/>
        <w:spacing w:after="0" w:line="259" w:lineRule="auto"/>
        <w:tabs>
          <w:tab w:leader="none" w:pos="709"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If any “Additional Termination Event” is specified in the Schedule or any Confirmation as applying, the occurrence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event (and, in such event, the Affected Party or Affected Parties shall be as specified for such Additional Termination Event in the Schedule or such Confirmation).</w:t>
      </w:r>
    </w:p>
    <w:p>
      <w:pPr>
        <w:spacing w:after="0" w:line="140" w:lineRule="exact"/>
        <w:rPr>
          <w:sz w:val="20"/>
          <w:szCs w:val="20"/>
          <w:color w:val="auto"/>
        </w:rPr>
      </w:pPr>
    </w:p>
    <w:p>
      <w:pPr>
        <w:ind w:right="80" w:firstLine="8"/>
        <w:spacing w:after="0" w:line="268"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 of Default and Illegality. </w:t>
      </w:r>
      <w:r>
        <w:rPr>
          <w:rFonts w:ascii="Arial" w:cs="Arial" w:eastAsia="Arial" w:hAnsi="Arial"/>
          <w:sz w:val="18"/>
          <w:szCs w:val="18"/>
          <w:color w:val="auto"/>
        </w:rPr>
        <w:t>If an event or circumstance which would otherwise constitute or give rise to an Event of Default also constitutes an Illegality,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will be treated as an Illegality and will not constitute an Event of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3" w:name="page44"/>
    <w:bookmarkEnd w:id="43"/>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Early Termination</w:t>
      </w:r>
    </w:p>
    <w:p>
      <w:pPr>
        <w:spacing w:after="0" w:line="96" w:lineRule="exact"/>
        <w:rPr>
          <w:sz w:val="20"/>
          <w:szCs w:val="20"/>
          <w:color w:val="auto"/>
        </w:rPr>
      </w:pPr>
    </w:p>
    <w:p>
      <w:pPr>
        <w:ind w:firstLine="8"/>
        <w:spacing w:after="0" w:line="283" w:lineRule="auto"/>
        <w:tabs>
          <w:tab w:leader="none" w:pos="239"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Following Event of Default. </w:t>
      </w:r>
      <w:r>
        <w:rPr>
          <w:rFonts w:ascii="Arial" w:cs="Arial" w:eastAsia="Arial" w:hAnsi="Arial"/>
          <w:sz w:val="16"/>
          <w:szCs w:val="16"/>
          <w:color w:val="auto"/>
        </w:rPr>
        <w:t>If at any time an Event of Default with respect to a party (the “Defaulting Party”) has occurred and is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5(a)(vii)(l), (3), (5)</w:t>
      </w:r>
      <w:r>
        <w:rPr>
          <w:rFonts w:ascii="Arial" w:cs="Arial" w:eastAsia="Arial" w:hAnsi="Arial"/>
          <w:sz w:val="16"/>
          <w:szCs w:val="16"/>
          <w:i w:val="1"/>
          <w:iCs w:val="1"/>
          <w:color w:val="auto"/>
        </w:rPr>
        <w:t>,</w:t>
      </w:r>
      <w:r>
        <w:rPr>
          <w:rFonts w:ascii="Arial" w:cs="Arial" w:eastAsia="Arial" w:hAnsi="Arial"/>
          <w:sz w:val="16"/>
          <w:szCs w:val="16"/>
          <w:color w:val="auto"/>
        </w:rPr>
        <w:t xml:space="preserve"> (6) or, to the extent analogous thereto,</w:t>
      </w:r>
    </w:p>
    <w:p>
      <w:pPr>
        <w:spacing w:after="0" w:line="2" w:lineRule="exact"/>
        <w:rPr>
          <w:rFonts w:ascii="Arial" w:cs="Arial" w:eastAsia="Arial" w:hAnsi="Arial"/>
          <w:sz w:val="16"/>
          <w:szCs w:val="16"/>
          <w:color w:val="auto"/>
        </w:rPr>
      </w:pPr>
    </w:p>
    <w:p>
      <w:pPr>
        <w:ind w:right="1640"/>
        <w:spacing w:after="0" w:line="323" w:lineRule="auto"/>
        <w:rPr>
          <w:rFonts w:ascii="Arial" w:cs="Arial" w:eastAsia="Arial" w:hAnsi="Arial"/>
          <w:sz w:val="16"/>
          <w:szCs w:val="16"/>
          <w:color w:val="auto"/>
        </w:rPr>
      </w:pPr>
      <w:r>
        <w:rPr>
          <w:rFonts w:ascii="Arial" w:cs="Arial" w:eastAsia="Arial" w:hAnsi="Arial"/>
          <w:sz w:val="16"/>
          <w:szCs w:val="16"/>
          <w:color w:val="auto"/>
        </w:rPr>
        <w:t>(8), and as of the time immediately preceding the institution of the relevant proceeding or the presentation of the relevant petition upon the occurrence with respect to such party of an Event of Default specified in Section 5(a)(vii)(4) or, to the extent analogous thereto, (8).</w:t>
      </w:r>
    </w:p>
    <w:p>
      <w:pPr>
        <w:spacing w:after="0" w:line="92"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Right to Terminate Following Termination Event.</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Notice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Termination Event occurs, an Affected Party will, promptly upon becoming aware of it, notify the other party, specifying the nature of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 and each Affected Transaction and will also give such other information about that Termination Event as the other party may reasonably require.</w:t>
      </w:r>
    </w:p>
    <w:p>
      <w:pPr>
        <w:spacing w:after="0" w:line="59" w:lineRule="exact"/>
        <w:rPr>
          <w:rFonts w:ascii="Arial" w:cs="Arial" w:eastAsia="Arial" w:hAnsi="Arial"/>
          <w:sz w:val="18"/>
          <w:szCs w:val="18"/>
          <w:color w:val="auto"/>
        </w:rPr>
      </w:pPr>
    </w:p>
    <w:p>
      <w:pPr>
        <w:ind w:left="460" w:right="140" w:firstLine="4"/>
        <w:spacing w:after="0" w:line="286" w:lineRule="auto"/>
        <w:tabs>
          <w:tab w:leader="none" w:pos="718" w:val="left"/>
        </w:tabs>
        <w:numPr>
          <w:ilvl w:val="1"/>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 to Avoid Termination Event. </w:t>
      </w:r>
      <w:r>
        <w:rPr>
          <w:rFonts w:ascii="Arial" w:cs="Arial" w:eastAsia="Arial" w:hAnsi="Arial"/>
          <w:sz w:val="16"/>
          <w:szCs w:val="16"/>
          <w:color w:val="auto"/>
        </w:rPr>
        <w:t>If either an Illegality under Section 5(b)(i)(l) or a Tax Event occurs and there is only one Affected Party, or if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Event Upon Merger occurs and the Burdened Party is the Affected Party, the Affected Party will, as a condition to its right to designate</w:t>
      </w:r>
    </w:p>
    <w:p>
      <w:pPr>
        <w:ind w:left="460" w:right="260"/>
        <w:spacing w:after="0" w:line="302" w:lineRule="auto"/>
        <w:rPr>
          <w:rFonts w:ascii="Arial" w:cs="Arial" w:eastAsia="Arial" w:hAnsi="Arial"/>
          <w:sz w:val="16"/>
          <w:szCs w:val="16"/>
          <w:color w:val="auto"/>
        </w:rPr>
      </w:pPr>
      <w:r>
        <w:rPr>
          <w:rFonts w:ascii="Arial" w:cs="Arial" w:eastAsia="Arial" w:hAnsi="Arial"/>
          <w:sz w:val="16"/>
          <w:szCs w:val="16"/>
          <w:color w:val="auto"/>
        </w:rPr>
        <w:t>an Early Termination Date under Section 6(b)(iv), use all reasonable efforts (which will not require such party to incur a loss, excluding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spacing w:after="0" w:line="28"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If the Affected Party is not able to make such a transfer it will give notice to the other party to that effect within such 20 day period, whereupon the other party may effect such a transfer within 30 days after the notice is given under Section 6(b)(i).</w:t>
      </w:r>
    </w:p>
    <w:p>
      <w:pPr>
        <w:spacing w:after="0" w:line="51"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spacing w:after="0" w:line="4" w:lineRule="exact"/>
        <w:rPr>
          <w:sz w:val="20"/>
          <w:szCs w:val="20"/>
          <w:color w:val="auto"/>
        </w:rPr>
      </w:pPr>
    </w:p>
    <w:p>
      <w:pPr>
        <w:ind w:left="460" w:right="620" w:firstLine="4"/>
        <w:spacing w:after="0" w:line="357" w:lineRule="auto"/>
        <w:tabs>
          <w:tab w:leader="none" w:pos="767" w:val="left"/>
        </w:tabs>
        <w:numPr>
          <w:ilvl w:val="0"/>
          <w:numId w:val="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Two Affected Parties. </w:t>
      </w:r>
      <w:r>
        <w:rPr>
          <w:rFonts w:ascii="Arial" w:cs="Arial" w:eastAsia="Arial" w:hAnsi="Arial"/>
          <w:sz w:val="15"/>
          <w:szCs w:val="15"/>
          <w:color w:val="auto"/>
        </w:rPr>
        <w:t>If an Illegality under Section 5(b)(i)( 1) or a Tax Event occurs and there are two Affected Parties, each party will use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reasonable efforts to reach agreement within 30 days after notice thereof is given under Section 6(b)(i) on action to avoid that Termination Event.</w:t>
      </w:r>
    </w:p>
    <w:p>
      <w:pPr>
        <w:ind w:left="760" w:hanging="296"/>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to Terminate.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280" w:firstLine="1"/>
        <w:spacing w:after="0" w:line="268" w:lineRule="auto"/>
        <w:tabs>
          <w:tab w:leader="none" w:pos="11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transfer under Section 6(b)(ii) or an agreement under Section 6(b)(iii), as the case may be, has not been effected with respect to all Affected Transactions within 30 days after an Affected Party gives notice under Section 6(b)(i); or</w:t>
      </w:r>
    </w:p>
    <w:p>
      <w:pPr>
        <w:spacing w:after="0" w:line="50" w:lineRule="exact"/>
        <w:rPr>
          <w:rFonts w:ascii="Arial" w:cs="Arial" w:eastAsia="Arial" w:hAnsi="Arial"/>
          <w:sz w:val="18"/>
          <w:szCs w:val="18"/>
          <w:color w:val="auto"/>
        </w:rPr>
      </w:pPr>
    </w:p>
    <w:p>
      <w:pPr>
        <w:ind w:left="920" w:right="400" w:firstLine="1"/>
        <w:spacing w:after="0" w:line="268" w:lineRule="auto"/>
        <w:tabs>
          <w:tab w:leader="none" w:pos="11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Illegality under Section 5(b)(i)(2), a Credit Event Upon Merger or an Additional Termination Event occurs, or a Tax Event Upon Merger occurs and the Burdened Party is not the Affected Party,</w:t>
      </w:r>
    </w:p>
    <w:p>
      <w:pPr>
        <w:spacing w:after="0" w:line="51" w:lineRule="exact"/>
        <w:rPr>
          <w:sz w:val="20"/>
          <w:szCs w:val="20"/>
          <w:color w:val="auto"/>
        </w:rPr>
      </w:pPr>
    </w:p>
    <w:p>
      <w:pPr>
        <w:ind w:left="460" w:right="320"/>
        <w:spacing w:after="0" w:line="286" w:lineRule="auto"/>
        <w:rPr>
          <w:sz w:val="20"/>
          <w:szCs w:val="20"/>
          <w:color w:val="auto"/>
        </w:rPr>
      </w:pPr>
      <w:r>
        <w:rPr>
          <w:rFonts w:ascii="Arial" w:cs="Arial" w:eastAsia="Arial" w:hAnsi="Arial"/>
          <w:sz w:val="16"/>
          <w:szCs w:val="16"/>
          <w:color w:val="auto"/>
        </w:rPr>
        <w:t>either party in the case of an Illegality, the Burdened Party in the case of a Tax Event Upon Merger, any Affected Party in the case of a Tax Event or an Additional Termination Event if there is more than one Affected Party, or the party which is not the Affected Party in the case of a Credit Event</w:t>
      </w:r>
    </w:p>
    <w:p>
      <w:pPr>
        <w:ind w:left="460" w:right="100"/>
        <w:spacing w:after="0" w:line="255" w:lineRule="auto"/>
        <w:rPr>
          <w:sz w:val="20"/>
          <w:szCs w:val="20"/>
          <w:color w:val="auto"/>
        </w:rPr>
      </w:pPr>
      <w:r>
        <w:rPr>
          <w:rFonts w:ascii="Arial" w:cs="Arial" w:eastAsia="Arial" w:hAnsi="Arial"/>
          <w:sz w:val="18"/>
          <w:szCs w:val="18"/>
          <w:color w:val="auto"/>
        </w:rPr>
        <w:t>Upon Merger or an Additional Termination Event if there is only one Affected Party may, by not more than 20 days notice to the other party and provided that the relevant Termination Event is then continuing, designate a day not earlier than the day such notice is effective as an Early Termination Date in respect of all Affected Transactions.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44" w:name="page45"/>
    <w:bookmarkEnd w:id="44"/>
    <w:p>
      <w:pPr>
        <w:ind w:left="232" w:hanging="232"/>
        <w:spacing w:after="0"/>
        <w:tabs>
          <w:tab w:leader="none" w:pos="232"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Designation.</w:t>
      </w:r>
    </w:p>
    <w:p>
      <w:pPr>
        <w:spacing w:after="0" w:line="90" w:lineRule="exact"/>
        <w:rPr>
          <w:rFonts w:ascii="Arial" w:cs="Arial" w:eastAsia="Arial" w:hAnsi="Arial"/>
          <w:sz w:val="18"/>
          <w:szCs w:val="18"/>
          <w:color w:val="auto"/>
        </w:rPr>
      </w:pPr>
    </w:p>
    <w:p>
      <w:pPr>
        <w:ind w:left="452" w:right="400" w:firstLine="4"/>
        <w:spacing w:after="0" w:line="268" w:lineRule="auto"/>
        <w:tabs>
          <w:tab w:leader="none" w:pos="6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notice designating an Early Termination Date is given under Section 6(a) or (b), the Early Termination Date will occur on the date so designated, whether or not the relevant Event of Default or Termination Event is then continuing.</w:t>
      </w:r>
    </w:p>
    <w:p>
      <w:pPr>
        <w:spacing w:after="0" w:line="50" w:lineRule="exact"/>
        <w:rPr>
          <w:rFonts w:ascii="Arial" w:cs="Arial" w:eastAsia="Arial" w:hAnsi="Arial"/>
          <w:sz w:val="18"/>
          <w:szCs w:val="18"/>
          <w:color w:val="auto"/>
        </w:rPr>
      </w:pPr>
    </w:p>
    <w:p>
      <w:pPr>
        <w:ind w:left="452" w:right="60" w:firstLine="4"/>
        <w:spacing w:after="0" w:line="259" w:lineRule="auto"/>
        <w:tabs>
          <w:tab w:leader="none" w:pos="711" w:val="left"/>
        </w:tabs>
        <w:numPr>
          <w:ilvl w:val="1"/>
          <w:numId w:val="37"/>
        </w:numPr>
        <w:rPr>
          <w:rFonts w:ascii="Arial" w:cs="Arial" w:eastAsia="Arial" w:hAnsi="Arial"/>
          <w:sz w:val="18"/>
          <w:szCs w:val="18"/>
          <w:color w:val="auto"/>
        </w:rPr>
      </w:pPr>
      <w:r>
        <w:rPr>
          <w:rFonts w:ascii="Arial" w:cs="Arial" w:eastAsia="Arial" w:hAnsi="Arial"/>
          <w:sz w:val="18"/>
          <w:szCs w:val="18"/>
          <w:color w:val="auto"/>
        </w:rPr>
        <w:t>Upon the occurrence or effective designation of an Early Termination Date, no further payments or deliveries under Section 2(a)(i) or 2(e) in respect of the Terminated Transactions will be required to be made, but without prejudice to the other provisions of this Agreement. The amount, if any, payable in respect of an Early Termination Date shall be determined pursuant to Section 6(e).</w:t>
      </w:r>
    </w:p>
    <w:p>
      <w:pPr>
        <w:spacing w:after="0" w:line="140" w:lineRule="exact"/>
        <w:rPr>
          <w:rFonts w:ascii="Arial" w:cs="Arial" w:eastAsia="Arial" w:hAnsi="Arial"/>
          <w:sz w:val="18"/>
          <w:szCs w:val="18"/>
          <w:color w:val="auto"/>
        </w:rPr>
      </w:pPr>
    </w:p>
    <w:p>
      <w:pPr>
        <w:ind w:left="252" w:hanging="252"/>
        <w:spacing w:after="0"/>
        <w:tabs>
          <w:tab w:leader="none" w:pos="252"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Calculations.</w:t>
      </w:r>
    </w:p>
    <w:p>
      <w:pPr>
        <w:spacing w:after="0" w:line="90" w:lineRule="exact"/>
        <w:rPr>
          <w:rFonts w:ascii="Arial" w:cs="Arial" w:eastAsia="Arial" w:hAnsi="Arial"/>
          <w:sz w:val="18"/>
          <w:szCs w:val="18"/>
          <w:color w:val="auto"/>
        </w:rPr>
      </w:pPr>
    </w:p>
    <w:p>
      <w:pPr>
        <w:ind w:left="452" w:right="120" w:firstLine="4"/>
        <w:spacing w:after="0" w:line="283" w:lineRule="auto"/>
        <w:tabs>
          <w:tab w:leader="none" w:pos="662"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Statement. </w:t>
      </w:r>
      <w:r>
        <w:rPr>
          <w:rFonts w:ascii="Arial" w:cs="Arial" w:eastAsia="Arial" w:hAnsi="Arial"/>
          <w:sz w:val="16"/>
          <w:szCs w:val="16"/>
          <w:color w:val="auto"/>
        </w:rPr>
        <w:t>On or as soon as reasonably practicable following the occurrence of an Early Termination Date, each party will make the calculations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if any, contemplated by Section 6(e) and will provide to the other party a statement (1) showing, in reasonable detail, such calculations (including all relevant quotations and specifying any amount payable under Section 6(e)) and (2) giving details of the relevant account to which any amount payable to it is to be paid. In the absence of written confirmation from the source of a quotation obtained in determining a Market</w:t>
      </w:r>
    </w:p>
    <w:p>
      <w:pPr>
        <w:spacing w:after="0" w:line="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Quotation, the records of the party obtaining such quotation will be conclusive evidence of the existence and accuracy of such quotation.</w:t>
      </w:r>
    </w:p>
    <w:p>
      <w:pPr>
        <w:spacing w:after="0" w:line="83" w:lineRule="exact"/>
        <w:rPr>
          <w:rFonts w:ascii="Arial" w:cs="Arial" w:eastAsia="Arial" w:hAnsi="Arial"/>
          <w:sz w:val="16"/>
          <w:szCs w:val="16"/>
          <w:color w:val="auto"/>
        </w:rPr>
      </w:pPr>
    </w:p>
    <w:p>
      <w:pPr>
        <w:ind w:left="452" w:firstLine="4"/>
        <w:spacing w:after="0" w:line="283" w:lineRule="auto"/>
        <w:tabs>
          <w:tab w:leader="none" w:pos="710"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Date. </w:t>
      </w:r>
      <w:r>
        <w:rPr>
          <w:rFonts w:ascii="Arial" w:cs="Arial" w:eastAsia="Arial" w:hAnsi="Arial"/>
          <w:sz w:val="16"/>
          <w:szCs w:val="16"/>
          <w:color w:val="auto"/>
        </w:rPr>
        <w:t>An amount calculated as being due in respect of any Early Termination Date under Section 6(e) will be payable on the day that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payable is effective (in the case of an Early Termination Date which is designated or occurs as a result of an Event of Default) and on the day which is two Local Business Days after the day on which notice of the amount payable is effective (in the case of an Early Termination Date which is designated as a result of a Termination Event). Such amount will be paid together with (to the extent permitted under applicable law)</w:t>
      </w:r>
    </w:p>
    <w:p>
      <w:pPr>
        <w:spacing w:after="0" w:line="2" w:lineRule="exact"/>
        <w:rPr>
          <w:rFonts w:ascii="Arial" w:cs="Arial" w:eastAsia="Arial" w:hAnsi="Arial"/>
          <w:sz w:val="16"/>
          <w:szCs w:val="16"/>
          <w:color w:val="auto"/>
        </w:rPr>
      </w:pPr>
    </w:p>
    <w:p>
      <w:pPr>
        <w:ind w:left="452"/>
        <w:spacing w:after="0" w:line="281" w:lineRule="auto"/>
        <w:rPr>
          <w:rFonts w:ascii="Arial" w:cs="Arial" w:eastAsia="Arial" w:hAnsi="Arial"/>
          <w:sz w:val="16"/>
          <w:szCs w:val="16"/>
          <w:color w:val="auto"/>
        </w:rPr>
      </w:pPr>
      <w:r>
        <w:rPr>
          <w:rFonts w:ascii="Arial" w:cs="Arial" w:eastAsia="Arial" w:hAnsi="Arial"/>
          <w:sz w:val="16"/>
          <w:szCs w:val="16"/>
          <w:color w:val="auto"/>
        </w:rPr>
        <w:t>interest thereon (before as well as after judgment) in the Termination Currency, from (and including) the relevant Early Termination Date to (but excluding) the date such amount is paid, at the Applicable Rate. Such interest will be calculated on the basis of daily compounding and the actual</w:t>
      </w:r>
    </w:p>
    <w:p>
      <w:pPr>
        <w:spacing w:after="0" w:line="1"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number of days elapsed.</w:t>
      </w:r>
    </w:p>
    <w:p>
      <w:pPr>
        <w:spacing w:after="0" w:line="164" w:lineRule="exact"/>
        <w:rPr>
          <w:rFonts w:ascii="Arial" w:cs="Arial" w:eastAsia="Arial" w:hAnsi="Arial"/>
          <w:sz w:val="16"/>
          <w:szCs w:val="16"/>
          <w:color w:val="auto"/>
        </w:rPr>
      </w:pPr>
    </w:p>
    <w:p>
      <w:pPr>
        <w:ind w:left="-8" w:right="80" w:firstLine="8"/>
        <w:spacing w:after="0" w:line="298" w:lineRule="auto"/>
        <w:tabs>
          <w:tab w:leader="none" w:pos="231"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Payments on Early Termination. </w:t>
      </w:r>
      <w:r>
        <w:rPr>
          <w:rFonts w:ascii="Arial" w:cs="Arial" w:eastAsia="Arial" w:hAnsi="Arial"/>
          <w:sz w:val="16"/>
          <w:szCs w:val="16"/>
          <w:color w:val="auto"/>
        </w:rPr>
        <w:t>If an Early Termination Date occurs, the following provisions shall apply based on the parties’ election in the Schedule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measure, either “Market Quotation” or “Loss”, and a payment method, either the “First Method” or the “Second Method”. If the parties fail to designate a payment measure or payment method in the Schedule, it will be deemed that “Market Quotation” or the “Second Method”, as the case may be, shall apply. The amount, if any, payable in respect of an Early Termination Date and determined pursuant to this Section will be subject to any Set-off.</w:t>
      </w:r>
    </w:p>
    <w:p>
      <w:pPr>
        <w:spacing w:after="0" w:line="31" w:lineRule="exact"/>
        <w:rPr>
          <w:rFonts w:ascii="Arial" w:cs="Arial" w:eastAsia="Arial" w:hAnsi="Arial"/>
          <w:sz w:val="16"/>
          <w:szCs w:val="16"/>
          <w:color w:val="auto"/>
        </w:rPr>
      </w:pPr>
    </w:p>
    <w:p>
      <w:pPr>
        <w:ind w:left="672" w:hanging="216"/>
        <w:spacing w:after="0"/>
        <w:tabs>
          <w:tab w:leader="none" w:pos="672"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If the Early Termination Date results from an Event of Default:—</w:t>
      </w:r>
    </w:p>
    <w:p>
      <w:pPr>
        <w:spacing w:after="0" w:line="90" w:lineRule="exact"/>
        <w:rPr>
          <w:rFonts w:ascii="Arial" w:cs="Arial" w:eastAsia="Arial" w:hAnsi="Arial"/>
          <w:sz w:val="18"/>
          <w:szCs w:val="18"/>
          <w:color w:val="auto"/>
        </w:rPr>
      </w:pPr>
    </w:p>
    <w:p>
      <w:pPr>
        <w:ind w:left="912" w:right="160" w:firstLine="1"/>
        <w:spacing w:after="0" w:line="256" w:lineRule="auto"/>
        <w:tabs>
          <w:tab w:leader="none" w:pos="1160"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Market Quotation. </w:t>
      </w:r>
      <w:r>
        <w:rPr>
          <w:rFonts w:ascii="Arial" w:cs="Arial" w:eastAsia="Arial" w:hAnsi="Arial"/>
          <w:sz w:val="18"/>
          <w:szCs w:val="18"/>
          <w:color w:val="auto"/>
        </w:rPr>
        <w:t>If the First Method and Market Quotation apply, the Defaulting Party will pay to the Non-defaulting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excess, if a positive number, of (A) the sum of the Settlement Amount (determined by the Non-defaulting Party) in respect of the Terminated Transactions and the Termination Currency Equivalent of the Unpaid Amounts owing to the Non-defaulting Party over (B) the Termination Currency Equivalent of the Unpaid Amounts owing to the Defaulting Party.</w:t>
      </w:r>
    </w:p>
    <w:p>
      <w:pPr>
        <w:spacing w:after="0" w:line="62" w:lineRule="exact"/>
        <w:rPr>
          <w:rFonts w:ascii="Arial" w:cs="Arial" w:eastAsia="Arial" w:hAnsi="Arial"/>
          <w:sz w:val="18"/>
          <w:szCs w:val="18"/>
          <w:color w:val="auto"/>
        </w:rPr>
      </w:pPr>
    </w:p>
    <w:p>
      <w:pPr>
        <w:ind w:left="912" w:right="240" w:firstLine="1"/>
        <w:spacing w:after="0" w:line="268" w:lineRule="auto"/>
        <w:tabs>
          <w:tab w:leader="none" w:pos="1160"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Loss. </w:t>
      </w:r>
      <w:r>
        <w:rPr>
          <w:rFonts w:ascii="Arial" w:cs="Arial" w:eastAsia="Arial" w:hAnsi="Arial"/>
          <w:sz w:val="18"/>
          <w:szCs w:val="18"/>
          <w:color w:val="auto"/>
        </w:rPr>
        <w:t>If the First Method and Loss apply, the Defaulting Party will pay to the Non-defaulting Party, if a positive number,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Non-defaulting Party’s Loss in respect of this Agreement.</w:t>
      </w:r>
    </w:p>
    <w:p>
      <w:pPr>
        <w:spacing w:after="0" w:line="50" w:lineRule="exact"/>
        <w:rPr>
          <w:rFonts w:ascii="Arial" w:cs="Arial" w:eastAsia="Arial" w:hAnsi="Arial"/>
          <w:sz w:val="18"/>
          <w:szCs w:val="18"/>
          <w:color w:val="auto"/>
        </w:rPr>
      </w:pPr>
    </w:p>
    <w:p>
      <w:pPr>
        <w:ind w:left="912" w:right="20" w:firstLine="1"/>
        <w:spacing w:after="0" w:line="268" w:lineRule="auto"/>
        <w:tabs>
          <w:tab w:leader="none" w:pos="1160"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Market Quotation. </w:t>
      </w:r>
      <w:r>
        <w:rPr>
          <w:rFonts w:ascii="Arial" w:cs="Arial" w:eastAsia="Arial" w:hAnsi="Arial"/>
          <w:sz w:val="18"/>
          <w:szCs w:val="18"/>
          <w:color w:val="auto"/>
        </w:rPr>
        <w:t>If the Second Method and Market Quotation apply, an amount will be payable equal to (A)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Amount (determined by the Non-defaulting Party) in respect of the Terminated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45" w:name="page46"/>
    <w:bookmarkEnd w:id="45"/>
    <w:p>
      <w:pPr>
        <w:ind w:left="460"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and the Termination Currency Equivalent of the Unpaid Amounts owing to the Non-defaulting Party less (B) the Termination Currency Equivalent of the Unpaid Amounts owing to the Defaulting Party. If that amount is a positive number, the Defaulting Party will pay it to the Non-defaulting Party; if it is a negative number, the Non-defaulting Party will pay the absolute value of that amount to the Defaulting Party.</w:t>
      </w:r>
    </w:p>
    <w:p>
      <w:pPr>
        <w:spacing w:after="0" w:line="26" w:lineRule="exact"/>
        <w:rPr>
          <w:sz w:val="20"/>
          <w:szCs w:val="20"/>
          <w:color w:val="auto"/>
        </w:rPr>
      </w:pPr>
    </w:p>
    <w:p>
      <w:pPr>
        <w:jc w:val="both"/>
        <w:ind w:left="460" w:firstLine="1"/>
        <w:spacing w:after="0" w:line="259" w:lineRule="auto"/>
        <w:tabs>
          <w:tab w:leader="none" w:pos="708"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Loss. </w:t>
      </w:r>
      <w:r>
        <w:rPr>
          <w:rFonts w:ascii="Arial" w:cs="Arial" w:eastAsia="Arial" w:hAnsi="Arial"/>
          <w:sz w:val="18"/>
          <w:szCs w:val="18"/>
          <w:color w:val="auto"/>
        </w:rPr>
        <w:t>If the Second Method and Loss apply, an amount will be payable equal to the Non-defaulting Party’s Loss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If that amount is a positive number, the Defaulting Party will pay it to the Non-defaulting Party; if it is a negative number, the Non-defaulting Party will pay the absolute value of that amount to the Defaulting Party.</w:t>
      </w:r>
    </w:p>
    <w:p>
      <w:pPr>
        <w:spacing w:after="0" w:line="59" w:lineRule="exact"/>
        <w:rPr>
          <w:rFonts w:ascii="Arial" w:cs="Arial" w:eastAsia="Arial" w:hAnsi="Arial"/>
          <w:sz w:val="18"/>
          <w:szCs w:val="18"/>
          <w:color w:val="auto"/>
        </w:rPr>
      </w:pPr>
    </w:p>
    <w:p>
      <w:pPr>
        <w:ind w:left="260" w:hanging="256"/>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If the Early Termination Date results from a Termination Event:—</w:t>
      </w:r>
    </w:p>
    <w:p>
      <w:pPr>
        <w:spacing w:after="0" w:line="90" w:lineRule="exact"/>
        <w:rPr>
          <w:rFonts w:ascii="Arial" w:cs="Arial" w:eastAsia="Arial" w:hAnsi="Arial"/>
          <w:sz w:val="18"/>
          <w:szCs w:val="18"/>
          <w:color w:val="auto"/>
        </w:rPr>
      </w:pPr>
    </w:p>
    <w:p>
      <w:pPr>
        <w:ind w:left="460" w:right="20" w:firstLine="1"/>
        <w:spacing w:after="0" w:line="298" w:lineRule="auto"/>
        <w:tabs>
          <w:tab w:leader="none" w:pos="708"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One Affected Party. </w:t>
      </w:r>
      <w:r>
        <w:rPr>
          <w:rFonts w:ascii="Arial" w:cs="Arial" w:eastAsia="Arial" w:hAnsi="Arial"/>
          <w:sz w:val="16"/>
          <w:szCs w:val="16"/>
          <w:color w:val="auto"/>
        </w:rPr>
        <w:t>If there is one Affected Party, the amount payable will be determined in accordance with Section 6(e)(i)(3), if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 applies, or Section 6(e)(i)(4), if Loss applies, except that, in either case, references to the Defaulting Party and to the Non-defaulting Party will be deemed to be references to the Affected Party and the party which is not the Affected Party, respectively, and, if Loss applies and fewer than all the Transactions are being terminated, Loss shall be calculated in respect of all Terminated Transactions.</w:t>
      </w:r>
    </w:p>
    <w:p>
      <w:pPr>
        <w:spacing w:after="0" w:line="31" w:lineRule="exact"/>
        <w:rPr>
          <w:rFonts w:ascii="Arial" w:cs="Arial" w:eastAsia="Arial" w:hAnsi="Arial"/>
          <w:sz w:val="16"/>
          <w:szCs w:val="16"/>
          <w:color w:val="auto"/>
        </w:rPr>
      </w:pPr>
    </w:p>
    <w:p>
      <w:pPr>
        <w:ind w:left="700" w:hanging="239"/>
        <w:spacing w:after="0"/>
        <w:tabs>
          <w:tab w:leader="none" w:pos="70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Two Affected Parties. </w:t>
      </w:r>
      <w:r>
        <w:rPr>
          <w:rFonts w:ascii="Arial" w:cs="Arial" w:eastAsia="Arial" w:hAnsi="Arial"/>
          <w:sz w:val="18"/>
          <w:szCs w:val="18"/>
          <w:color w:val="auto"/>
        </w:rPr>
        <w:t>If there are two Affected Parties:—</w:t>
      </w:r>
    </w:p>
    <w:p>
      <w:pPr>
        <w:spacing w:after="0" w:line="90" w:lineRule="exact"/>
        <w:rPr>
          <w:rFonts w:ascii="Arial" w:cs="Arial" w:eastAsia="Arial" w:hAnsi="Arial"/>
          <w:sz w:val="18"/>
          <w:szCs w:val="18"/>
          <w:color w:val="auto"/>
        </w:rPr>
      </w:pPr>
    </w:p>
    <w:p>
      <w:pPr>
        <w:ind w:left="1040" w:right="180" w:hanging="8"/>
        <w:spacing w:after="0" w:line="286" w:lineRule="auto"/>
        <w:tabs>
          <w:tab w:leader="none" w:pos="1327" w:val="left"/>
        </w:tabs>
        <w:numPr>
          <w:ilvl w:val="2"/>
          <w:numId w:val="39"/>
        </w:numPr>
        <w:rPr>
          <w:rFonts w:ascii="Arial" w:cs="Arial" w:eastAsia="Arial" w:hAnsi="Arial"/>
          <w:sz w:val="16"/>
          <w:szCs w:val="16"/>
          <w:color w:val="auto"/>
        </w:rPr>
      </w:pPr>
      <w:r>
        <w:rPr>
          <w:rFonts w:ascii="Arial" w:cs="Arial" w:eastAsia="Arial" w:hAnsi="Arial"/>
          <w:sz w:val="16"/>
          <w:szCs w:val="16"/>
          <w:color w:val="auto"/>
        </w:rPr>
        <w:t>if Market Quotation applies, each party will determine a Settlement Amount in respect of the Terminated Transactions, and an amount will be payable equal to (I) the sum of (a) one-half of the difference between the Settlement Amount of the party with</w:t>
      </w:r>
    </w:p>
    <w:p>
      <w:pPr>
        <w:jc w:val="both"/>
        <w:ind w:left="1040" w:right="760"/>
        <w:spacing w:after="0" w:line="255" w:lineRule="auto"/>
        <w:rPr>
          <w:rFonts w:ascii="Arial" w:cs="Arial" w:eastAsia="Arial" w:hAnsi="Arial"/>
          <w:sz w:val="16"/>
          <w:szCs w:val="16"/>
          <w:color w:val="auto"/>
        </w:rPr>
      </w:pPr>
      <w:r>
        <w:rPr>
          <w:rFonts w:ascii="Arial" w:cs="Arial" w:eastAsia="Arial" w:hAnsi="Arial"/>
          <w:sz w:val="18"/>
          <w:szCs w:val="18"/>
          <w:color w:val="auto"/>
        </w:rPr>
        <w:t>the higher Settlement Amount (“X”) and the Settlement Amount of the party with the lower Settlement Amount (“Y”) and (b) the Termination Currency Equivalent of the Unpaid Amounts owing to X less (II) the Termination Currency Equivalent of the Unpaid Amounts owing to Y; and</w:t>
      </w:r>
    </w:p>
    <w:p>
      <w:pPr>
        <w:spacing w:after="0" w:line="63" w:lineRule="exact"/>
        <w:rPr>
          <w:rFonts w:ascii="Arial" w:cs="Arial" w:eastAsia="Arial" w:hAnsi="Arial"/>
          <w:sz w:val="16"/>
          <w:szCs w:val="16"/>
          <w:color w:val="auto"/>
        </w:rPr>
      </w:pPr>
    </w:p>
    <w:p>
      <w:pPr>
        <w:ind w:left="1040" w:right="60" w:hanging="8"/>
        <w:spacing w:after="0" w:line="259" w:lineRule="auto"/>
        <w:tabs>
          <w:tab w:leader="none" w:pos="1318" w:val="left"/>
        </w:tabs>
        <w:numPr>
          <w:ilvl w:val="2"/>
          <w:numId w:val="39"/>
        </w:numPr>
        <w:rPr>
          <w:rFonts w:ascii="Arial" w:cs="Arial" w:eastAsia="Arial" w:hAnsi="Arial"/>
          <w:sz w:val="18"/>
          <w:szCs w:val="18"/>
          <w:color w:val="auto"/>
        </w:rPr>
      </w:pPr>
      <w:r>
        <w:rPr>
          <w:rFonts w:ascii="Arial" w:cs="Arial" w:eastAsia="Arial" w:hAnsi="Arial"/>
          <w:sz w:val="18"/>
          <w:szCs w:val="18"/>
          <w:color w:val="auto"/>
        </w:rPr>
        <w:t>if Loss applies, each party will determine its Loss in respect of this Agreement (or, if fewer than all the Transactions are being terminated, in respect of all Terminated Transactions) and an amount will be payable equal to one-half of the difference between the Loss of the party with the higher Loss (“X”) and the Loss of the party with the lower Loss (“Y”).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If the amount payable is a positive number, Y will pay it to X; if it is a negative number, X will pay the absolute value of that amount to Y.</w:t>
      </w:r>
    </w:p>
    <w:p>
      <w:pPr>
        <w:spacing w:after="0" w:line="90" w:lineRule="exact"/>
        <w:rPr>
          <w:sz w:val="20"/>
          <w:szCs w:val="20"/>
          <w:color w:val="auto"/>
        </w:rPr>
      </w:pPr>
    </w:p>
    <w:p>
      <w:pPr>
        <w:jc w:val="both"/>
        <w:ind w:right="20" w:firstLine="4"/>
        <w:spacing w:after="0" w:line="256" w:lineRule="auto"/>
        <w:tabs>
          <w:tab w:leader="none" w:pos="307"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for Bankruptcy. </w:t>
      </w:r>
      <w:r>
        <w:rPr>
          <w:rFonts w:ascii="Arial" w:cs="Arial" w:eastAsia="Arial" w:hAnsi="Arial"/>
          <w:sz w:val="18"/>
          <w:szCs w:val="18"/>
          <w:color w:val="auto"/>
        </w:rPr>
        <w:t>In circumstances where an Early Termination Date occurs because “Automatic Early Termination” applies in respect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the amount determined under this Section 6(e) will be subject to such adjustments as are appropriate and permitted by law to reflect any payments or deliveries made by one party to the other under this Agreement (and retained by such other party) during the period from the relevant Early Termination Date to the date for payment determined under Section 6(d)(ii).</w:t>
      </w:r>
    </w:p>
    <w:p>
      <w:pPr>
        <w:spacing w:after="0" w:line="62" w:lineRule="exact"/>
        <w:rPr>
          <w:rFonts w:ascii="Arial" w:cs="Arial" w:eastAsia="Arial" w:hAnsi="Arial"/>
          <w:sz w:val="18"/>
          <w:szCs w:val="18"/>
          <w:color w:val="auto"/>
        </w:rPr>
      </w:pPr>
    </w:p>
    <w:p>
      <w:pPr>
        <w:ind w:firstLine="4"/>
        <w:spacing w:after="0" w:line="286" w:lineRule="auto"/>
        <w:tabs>
          <w:tab w:leader="none" w:pos="297"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Pre-Estimate. </w:t>
      </w:r>
      <w:r>
        <w:rPr>
          <w:rFonts w:ascii="Arial" w:cs="Arial" w:eastAsia="Arial" w:hAnsi="Arial"/>
          <w:sz w:val="16"/>
          <w:szCs w:val="16"/>
          <w:color w:val="auto"/>
        </w:rPr>
        <w:t>The parties agree that if Market Quotation applies an amount recoverable under this Section 6(e) is a reasonable pre-estimate of loss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 penalty. Such amount is payable for the loss of bargain and the loss of protection against future risks and except as otherwise provided</w:t>
      </w:r>
    </w:p>
    <w:p>
      <w:pPr>
        <w:spacing w:after="0"/>
        <w:rPr>
          <w:rFonts w:ascii="Arial" w:cs="Arial" w:eastAsia="Arial" w:hAnsi="Arial"/>
          <w:sz w:val="16"/>
          <w:szCs w:val="16"/>
          <w:color w:val="auto"/>
        </w:rPr>
      </w:pPr>
      <w:r>
        <w:rPr>
          <w:rFonts w:ascii="Arial" w:cs="Arial" w:eastAsia="Arial" w:hAnsi="Arial"/>
          <w:sz w:val="18"/>
          <w:szCs w:val="18"/>
          <w:color w:val="auto"/>
        </w:rPr>
        <w:t>in this Agreement neither party will be entitled to recover any additional damages as a consequence of such losses.</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46" w:name="page47"/>
    <w:bookmarkEnd w:id="46"/>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Subject to Section 6(b)(ii), neither this Agreement nor any interest or obligation in or under this Agreement may be transferred (whether by way of security or otherwise) by either party without the prior written consent of the other party, except that: —</w:t>
      </w:r>
    </w:p>
    <w:p>
      <w:pPr>
        <w:spacing w:after="0" w:line="132" w:lineRule="exact"/>
        <w:rPr>
          <w:sz w:val="20"/>
          <w:szCs w:val="20"/>
          <w:color w:val="auto"/>
        </w:rPr>
      </w:pPr>
    </w:p>
    <w:p>
      <w:pPr>
        <w:ind w:firstLine="8"/>
        <w:spacing w:after="0" w:line="268"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party may make such a transfer of all or any part of its interest in any amount payable to it from a Defaulting Party under Section 6(e).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purported transfer that is not in compliance with this Section will be void.</w:t>
      </w:r>
    </w:p>
    <w:p>
      <w:pPr>
        <w:spacing w:after="0" w:line="28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Currency</w:t>
      </w:r>
    </w:p>
    <w:p>
      <w:pPr>
        <w:spacing w:after="0" w:line="96" w:lineRule="exact"/>
        <w:rPr>
          <w:sz w:val="20"/>
          <w:szCs w:val="20"/>
          <w:color w:val="auto"/>
        </w:rPr>
      </w:pPr>
    </w:p>
    <w:p>
      <w:pPr>
        <w:ind w:right="40" w:firstLine="8"/>
        <w:spacing w:after="0" w:line="301" w:lineRule="auto"/>
        <w:tabs>
          <w:tab w:leader="none" w:pos="239"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 in the Contractual Currency. </w:t>
      </w:r>
      <w:r>
        <w:rPr>
          <w:rFonts w:ascii="Arial" w:cs="Arial" w:eastAsia="Arial" w:hAnsi="Arial"/>
          <w:sz w:val="15"/>
          <w:szCs w:val="15"/>
          <w:color w:val="auto"/>
        </w:rPr>
        <w:t>Each payment under this Agreement will be made in the relevant currency specified in this Agreement for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a reasonable manner and in good faith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 the party receiving the payment will refund promptly the amount of such excess.</w:t>
      </w:r>
    </w:p>
    <w:p>
      <w:pPr>
        <w:spacing w:after="0" w:line="164" w:lineRule="exact"/>
        <w:rPr>
          <w:rFonts w:ascii="Arial" w:cs="Arial" w:eastAsia="Arial" w:hAnsi="Arial"/>
          <w:sz w:val="15"/>
          <w:szCs w:val="15"/>
          <w:color w:val="auto"/>
        </w:rPr>
      </w:pPr>
    </w:p>
    <w:p>
      <w:pPr>
        <w:ind w:firstLine="8"/>
        <w:spacing w:after="0" w:line="283"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Judgments. </w:t>
      </w:r>
      <w:r>
        <w:rPr>
          <w:rFonts w:ascii="Arial" w:cs="Arial" w:eastAsia="Arial" w:hAnsi="Arial"/>
          <w:sz w:val="16"/>
          <w:szCs w:val="16"/>
          <w:color w:val="auto"/>
        </w:rPr>
        <w:t>To the extent permitted by applicable law, if any judgment or order expressed in a currency other than the Contractual Currency is rendered (i)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payment of any amount owing in respect of this Agreement, (ii) for the payment of any amount relating to any early termination in respect of this Agreement or (iii) in respect of a judgment or order of another court for the payment of any amount described in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w:t>
      </w:r>
    </w:p>
    <w:p>
      <w:pPr>
        <w:spacing w:after="0" w:line="1" w:lineRule="exact"/>
        <w:rPr>
          <w:rFonts w:ascii="Arial" w:cs="Arial" w:eastAsia="Arial" w:hAnsi="Arial"/>
          <w:sz w:val="16"/>
          <w:szCs w:val="16"/>
          <w:color w:val="auto"/>
        </w:rPr>
      </w:pPr>
    </w:p>
    <w:p>
      <w:pPr>
        <w:ind w:right="40"/>
        <w:spacing w:after="0" w:line="300" w:lineRule="auto"/>
        <w:rPr>
          <w:rFonts w:ascii="Arial" w:cs="Arial" w:eastAsia="Arial" w:hAnsi="Arial"/>
          <w:sz w:val="16"/>
          <w:szCs w:val="16"/>
          <w:color w:val="auto"/>
        </w:rPr>
      </w:pPr>
      <w:r>
        <w:rPr>
          <w:rFonts w:ascii="Arial" w:cs="Arial" w:eastAsia="Arial" w:hAnsi="Arial"/>
          <w:sz w:val="15"/>
          <w:szCs w:val="15"/>
          <w:color w:val="auto"/>
        </w:rPr>
        <w:t>if such shortfall or such excess arises or results from any variation between the rate of exchange at which the Contractual Currency is converted into the currency of the judgment or order for the purposes of such judgment or order and the rate of exchange at which such party is able, acting in a reasonable manner and</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in good faith in converting the currency received into the Contractual Currency, to purchase the Contractual Currency with the amount of the currency of the judgment or order actually received by such party. The term “rate of exchange” includes, without limitation, any premiums and costs of exchange payable in connection with the purchase of or conversion into the Contractual Currency.</w:t>
      </w:r>
    </w:p>
    <w:p>
      <w:pPr>
        <w:spacing w:after="0" w:line="144" w:lineRule="exact"/>
        <w:rPr>
          <w:rFonts w:ascii="Arial" w:cs="Arial" w:eastAsia="Arial" w:hAnsi="Arial"/>
          <w:sz w:val="16"/>
          <w:szCs w:val="16"/>
          <w:color w:val="auto"/>
        </w:rPr>
      </w:pPr>
    </w:p>
    <w:p>
      <w:pPr>
        <w:ind w:right="60" w:firstLine="8"/>
        <w:spacing w:after="0" w:line="286" w:lineRule="auto"/>
        <w:tabs>
          <w:tab w:leader="none" w:pos="239"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Separate Indemnities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permitted by applicable law, these indemnities constitute separate and independent obligations from the other obligations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will be enforceable as separate and independent causes of action, will apply notwithstanding any indulgence granted by the party</w:t>
      </w: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to which any payment is owed and will not be affected by judgment being obtained or claim or proof being made for any other sums payable in respect of this Agreement.</w:t>
      </w:r>
    </w:p>
    <w:p>
      <w:pPr>
        <w:spacing w:after="0" w:line="137" w:lineRule="exact"/>
        <w:rPr>
          <w:rFonts w:ascii="Arial" w:cs="Arial" w:eastAsia="Arial" w:hAnsi="Arial"/>
          <w:sz w:val="16"/>
          <w:szCs w:val="16"/>
          <w:color w:val="auto"/>
        </w:rPr>
      </w:pPr>
    </w:p>
    <w:p>
      <w:pPr>
        <w:ind w:right="20" w:firstLine="8"/>
        <w:spacing w:after="0" w:line="268"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Evidence of Loss. </w:t>
      </w:r>
      <w:r>
        <w:rPr>
          <w:rFonts w:ascii="Arial" w:cs="Arial" w:eastAsia="Arial" w:hAnsi="Arial"/>
          <w:sz w:val="18"/>
          <w:szCs w:val="18"/>
          <w:color w:val="auto"/>
        </w:rPr>
        <w:t>For the purpose of this Section 8, it will be sufficient for a party to demonstrate that it would have suffered a loss had an actual exchange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been made.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47" w:name="page48"/>
    <w:bookmarkEnd w:id="47"/>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6" w:lineRule="exact"/>
        <w:rPr>
          <w:sz w:val="20"/>
          <w:szCs w:val="20"/>
          <w:color w:val="auto"/>
        </w:rPr>
      </w:pPr>
    </w:p>
    <w:p>
      <w:pPr>
        <w:ind w:right="100" w:firstLine="8"/>
        <w:spacing w:after="0" w:line="268"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of the parties with respect to its subject matter and supersedes all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and prior writings with respect thereto.</w:t>
      </w:r>
    </w:p>
    <w:p>
      <w:pPr>
        <w:spacing w:after="0" w:line="131" w:lineRule="exact"/>
        <w:rPr>
          <w:rFonts w:ascii="Arial" w:cs="Arial" w:eastAsia="Arial" w:hAnsi="Arial"/>
          <w:sz w:val="18"/>
          <w:szCs w:val="18"/>
          <w:color w:val="auto"/>
        </w:rPr>
      </w:pPr>
    </w:p>
    <w:p>
      <w:pPr>
        <w:ind w:right="260" w:firstLine="8"/>
        <w:spacing w:after="0" w:line="370" w:lineRule="auto"/>
        <w:tabs>
          <w:tab w:leader="none" w:pos="249" w:val="left"/>
        </w:tabs>
        <w:numPr>
          <w:ilvl w:val="0"/>
          <w:numId w:val="46"/>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 amendment, modification or waiver in respect of this Agreement will be effective unless in writing (including a writing evidenced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facsimile transmission) and executed by each of the parties or confirmed by an exchange of telexes or electronic messages on an electronic messaging system.</w:t>
      </w:r>
    </w:p>
    <w:p>
      <w:pPr>
        <w:spacing w:after="0" w:line="62" w:lineRule="exact"/>
        <w:rPr>
          <w:rFonts w:ascii="Arial" w:cs="Arial" w:eastAsia="Arial" w:hAnsi="Arial"/>
          <w:sz w:val="15"/>
          <w:szCs w:val="15"/>
          <w:color w:val="auto"/>
        </w:rPr>
      </w:pPr>
    </w:p>
    <w:p>
      <w:pPr>
        <w:ind w:right="40" w:firstLine="8"/>
        <w:spacing w:after="0" w:line="268"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of Obligations. </w:t>
      </w:r>
      <w:r>
        <w:rPr>
          <w:rFonts w:ascii="Arial" w:cs="Arial" w:eastAsia="Arial" w:hAnsi="Arial"/>
          <w:sz w:val="18"/>
          <w:szCs w:val="18"/>
          <w:color w:val="auto"/>
        </w:rPr>
        <w:t>Without prejudice to Sections 2(a)(iii) and 6(c)(ii), the obligations of the parties under this Agreement will survive the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Transaction.</w:t>
      </w:r>
    </w:p>
    <w:p>
      <w:pPr>
        <w:spacing w:after="0" w:line="131" w:lineRule="exact"/>
        <w:rPr>
          <w:rFonts w:ascii="Arial" w:cs="Arial" w:eastAsia="Arial" w:hAnsi="Arial"/>
          <w:sz w:val="18"/>
          <w:szCs w:val="18"/>
          <w:color w:val="auto"/>
        </w:rPr>
      </w:pPr>
    </w:p>
    <w:p>
      <w:pPr>
        <w:ind w:right="100" w:firstLine="8"/>
        <w:spacing w:after="0" w:line="268"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Remedies Cumulative. </w:t>
      </w:r>
      <w:r>
        <w:rPr>
          <w:rFonts w:ascii="Arial" w:cs="Arial" w:eastAsia="Arial" w:hAnsi="Arial"/>
          <w:sz w:val="18"/>
          <w:szCs w:val="18"/>
          <w:color w:val="auto"/>
        </w:rPr>
        <w:t>Except as provided in this Agreement, the rights, powers, remedies and privileges provided in this Agreement are cumulative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of any rights, powers, remedies and privileges provided by law.</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 and Confirmations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
        <w:spacing w:after="0" w:line="268" w:lineRule="auto"/>
        <w:tabs>
          <w:tab w:leader="none" w:pos="6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Agreement (and each amendment, modification and waiver in respect of it) may be executed and delivered in counterparts (including by facsimile transmission), each of which will be deemed an original.</w:t>
      </w:r>
    </w:p>
    <w:p>
      <w:pPr>
        <w:spacing w:after="0" w:line="50" w:lineRule="exact"/>
        <w:rPr>
          <w:rFonts w:ascii="Arial" w:cs="Arial" w:eastAsia="Arial" w:hAnsi="Arial"/>
          <w:sz w:val="18"/>
          <w:szCs w:val="18"/>
          <w:color w:val="auto"/>
        </w:rPr>
      </w:pPr>
    </w:p>
    <w:p>
      <w:pPr>
        <w:ind w:left="460" w:firstLine="4"/>
        <w:spacing w:after="0" w:line="283" w:lineRule="auto"/>
        <w:tabs>
          <w:tab w:leader="none" w:pos="719"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parties intend that they are legally bound by the terms of each Transaction from the moment they agree to those terms (whether orally or otherwise). A Confirmation shall be entered into as soon as practicable and may be executed and delivered in counterparts (including by facsimile transmission) or be created by an exchange of telexes or by an exchange of electronic messages on an electronic messaging system, which in each case will be sufficient for all purposes to evidence a binding supplement to this Agreement. The parties will specify therein or through another effective</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means that any such counterpart, telex or electronic message constitutes a Confirmation.</w:t>
      </w:r>
    </w:p>
    <w:p>
      <w:pPr>
        <w:spacing w:after="0" w:line="164" w:lineRule="exact"/>
        <w:rPr>
          <w:rFonts w:ascii="Arial" w:cs="Arial" w:eastAsia="Arial" w:hAnsi="Arial"/>
          <w:sz w:val="16"/>
          <w:szCs w:val="16"/>
          <w:color w:val="auto"/>
        </w:rPr>
      </w:pPr>
    </w:p>
    <w:p>
      <w:pPr>
        <w:ind w:right="200" w:firstLine="8"/>
        <w:spacing w:after="0" w:line="259" w:lineRule="auto"/>
        <w:tabs>
          <w:tab w:leader="none" w:pos="219"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No Waiver of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failure or delay in exercising any right, power or privilege in respect of this Agreement will not be presumed to operate as a 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single or partial exercise of any right, power or privilege will not be presumed to preclude any subsequent or further exercise, of that right, power or privilege or the exercise of any other right, power or privilege.</w:t>
      </w:r>
    </w:p>
    <w:p>
      <w:pPr>
        <w:spacing w:after="0" w:line="140" w:lineRule="exact"/>
        <w:rPr>
          <w:rFonts w:ascii="Arial" w:cs="Arial" w:eastAsia="Arial" w:hAnsi="Arial"/>
          <w:sz w:val="18"/>
          <w:szCs w:val="18"/>
          <w:color w:val="auto"/>
        </w:rPr>
      </w:pPr>
    </w:p>
    <w:p>
      <w:pPr>
        <w:ind w:right="940" w:firstLine="8"/>
        <w:spacing w:after="0" w:line="268"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Headings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headings used in this Agreement are for convenience of reference only and are not to affect the construction of or to be taken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in interpreting this Agreement.</w:t>
      </w:r>
    </w:p>
    <w:p>
      <w:pPr>
        <w:spacing w:after="0" w:line="24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Offices; Multibranch Parties</w:t>
      </w:r>
    </w:p>
    <w:p>
      <w:pPr>
        <w:spacing w:after="0" w:line="96" w:lineRule="exact"/>
        <w:rPr>
          <w:sz w:val="20"/>
          <w:szCs w:val="20"/>
          <w:color w:val="auto"/>
        </w:rPr>
      </w:pPr>
    </w:p>
    <w:p>
      <w:pPr>
        <w:ind w:firstLine="8"/>
        <w:spacing w:after="0" w:line="256" w:lineRule="auto"/>
        <w:tabs>
          <w:tab w:leader="none" w:pos="2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Section 10(a) is specified in the Schedule as applying, each party that enters into a Transaction through an Office other than its head or home office represents to the other party that, notwithstanding the place of booking office or jurisdiction of incorporation or organisation of such party, the obligations of such party are the same as if it had entered into the Transaction through its head or home office. This representation will be deemed to be repeated by such party on each date on which a Transaction is entered into.</w:t>
      </w:r>
    </w:p>
    <w:p>
      <w:pPr>
        <w:spacing w:after="0" w:line="143" w:lineRule="exact"/>
        <w:rPr>
          <w:rFonts w:ascii="Arial" w:cs="Arial" w:eastAsia="Arial" w:hAnsi="Arial"/>
          <w:sz w:val="18"/>
          <w:szCs w:val="18"/>
          <w:color w:val="auto"/>
        </w:rPr>
      </w:pPr>
    </w:p>
    <w:p>
      <w:pPr>
        <w:ind w:right="260" w:firstLine="8"/>
        <w:spacing w:after="0" w:line="268"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party may change the Office through which it makes and receives payments or deliveries for the purpose of a Transaction without the prior written consent of the other party.</w:t>
      </w:r>
    </w:p>
    <w:p>
      <w:pPr>
        <w:spacing w:after="0" w:line="131" w:lineRule="exact"/>
        <w:rPr>
          <w:rFonts w:ascii="Arial" w:cs="Arial" w:eastAsia="Arial" w:hAnsi="Arial"/>
          <w:sz w:val="18"/>
          <w:szCs w:val="18"/>
          <w:color w:val="auto"/>
        </w:rPr>
      </w:pPr>
    </w:p>
    <w:p>
      <w:pPr>
        <w:ind w:right="300" w:firstLine="8"/>
        <w:spacing w:after="0" w:line="259" w:lineRule="auto"/>
        <w:tabs>
          <w:tab w:leader="none" w:pos="2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party is specified as a Multibranch Party in the Schedule, such Multibranch Party may make and receive payments or deliveries under any Transaction through any Office listed in the Schedule, and the Office through which it makes and receives payments or deliveries with respect to a Transaction will be specified in the relevant Confirmation.</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Defaulting Party will, on demand, indemnify and hold harmless the other party for and against all reasonable out-of-pocket expenses, including legal fees and Stamp Tax, incurred by such other party by reason of the enforcement and protection of its rights under this Agreement or any Credit Support Document to which the Defaulting Party is a party or by reason of the early termination of any Transaction, including, but not limited to, costs of collection.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48" w:name="page49"/>
    <w:bookmarkEnd w:id="48"/>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6" w:lineRule="exact"/>
        <w:rPr>
          <w:sz w:val="20"/>
          <w:szCs w:val="20"/>
          <w:color w:val="auto"/>
        </w:rPr>
      </w:pPr>
    </w:p>
    <w:p>
      <w:pPr>
        <w:ind w:right="120" w:firstLine="8"/>
        <w:spacing w:after="0" w:line="306" w:lineRule="auto"/>
        <w:tabs>
          <w:tab w:leader="none" w:pos="239"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Effectiveness. </w:t>
      </w:r>
      <w:r>
        <w:rPr>
          <w:rFonts w:ascii="Arial" w:cs="Arial" w:eastAsia="Arial" w:hAnsi="Arial"/>
          <w:sz w:val="16"/>
          <w:szCs w:val="16"/>
          <w:color w:val="auto"/>
        </w:rPr>
        <w:t>Any notice or other communication in respect of this Agreement may be given in any manner set forth below (except that a notice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under Section 5 or 6 may not be given by facsimile transmission or electronic messaging system) to the address or number or in accordance with the electronic messaging system details provided (see the Schedule) and will be deemed effective as indicated:—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in writing and delivered in person or by courier, on the date it is delivered;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sent by telex, on the date the recipient’s answerback is received;</w:t>
      </w:r>
    </w:p>
    <w:p>
      <w:pPr>
        <w:spacing w:after="0" w:line="90" w:lineRule="exact"/>
        <w:rPr>
          <w:rFonts w:ascii="Arial" w:cs="Arial" w:eastAsia="Arial" w:hAnsi="Arial"/>
          <w:sz w:val="18"/>
          <w:szCs w:val="18"/>
          <w:color w:val="auto"/>
        </w:rPr>
      </w:pPr>
    </w:p>
    <w:p>
      <w:pPr>
        <w:ind w:left="900" w:right="100" w:hanging="446"/>
        <w:spacing w:after="0" w:line="357" w:lineRule="auto"/>
        <w:tabs>
          <w:tab w:leader="none" w:pos="900" w:val="left"/>
        </w:tabs>
        <w:numPr>
          <w:ilvl w:val="1"/>
          <w:numId w:val="51"/>
        </w:numPr>
        <w:rPr>
          <w:rFonts w:ascii="Arial" w:cs="Arial" w:eastAsia="Arial" w:hAnsi="Arial"/>
          <w:sz w:val="15"/>
          <w:szCs w:val="15"/>
          <w:color w:val="auto"/>
        </w:rPr>
      </w:pPr>
      <w:r>
        <w:rPr>
          <w:rFonts w:ascii="Arial" w:cs="Arial" w:eastAsia="Arial" w:hAnsi="Arial"/>
          <w:sz w:val="15"/>
          <w:szCs w:val="15"/>
          <w:color w:val="auto"/>
        </w:rPr>
        <w:t>if sent by facsimile transmission, on the date that transmission is received by a responsible employee of the recipient in legible form (it being agreed that the burden of proving receipt will be on the sender and will not be met by a transmission report generated by the sender’s facsimile machine);</w:t>
      </w: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sent by certified or registered mail (airmail, if overseas) or the equivalent (return receipt requested), on the date that mail is delivered or its delivery is attempted;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sent by electronic messaging system, on the date that electronic message is received,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shall be deemed given and effective on the first following day that is a Local Business Day.</w:t>
      </w:r>
    </w:p>
    <w:p>
      <w:pPr>
        <w:spacing w:after="0" w:line="140" w:lineRule="exact"/>
        <w:rPr>
          <w:sz w:val="20"/>
          <w:szCs w:val="20"/>
          <w:color w:val="auto"/>
        </w:rPr>
      </w:pPr>
    </w:p>
    <w:p>
      <w:pPr>
        <w:ind w:right="200" w:firstLine="8"/>
        <w:spacing w:after="0" w:line="268"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of Addresses. </w:t>
      </w:r>
      <w:r>
        <w:rPr>
          <w:rFonts w:ascii="Arial" w:cs="Arial" w:eastAsia="Arial" w:hAnsi="Arial"/>
          <w:sz w:val="18"/>
          <w:szCs w:val="18"/>
          <w:color w:val="auto"/>
        </w:rPr>
        <w:t>Either party may by notice to the other change the address, telex or facsimile number or electronic messaging system details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notices or other communications are to be given to it.</w:t>
      </w:r>
    </w:p>
    <w:p>
      <w:pPr>
        <w:spacing w:after="0" w:line="24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p>
      <w:pPr>
        <w:ind w:left="240" w:hanging="232"/>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will be governed by and construed in accordance with the law specified in the Schedule.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Jurisdiction. </w:t>
      </w:r>
      <w:r>
        <w:rPr>
          <w:rFonts w:ascii="Arial" w:cs="Arial" w:eastAsia="Arial" w:hAnsi="Arial"/>
          <w:sz w:val="18"/>
          <w:szCs w:val="18"/>
          <w:color w:val="auto"/>
        </w:rPr>
        <w:t>With respect to any suit, action or proceedings relating to this Agreement (“Proceedings”), each party irrevocably:—</w:t>
      </w:r>
    </w:p>
    <w:p>
      <w:pPr>
        <w:spacing w:after="0" w:line="90" w:lineRule="exact"/>
        <w:rPr>
          <w:rFonts w:ascii="Arial" w:cs="Arial" w:eastAsia="Arial" w:hAnsi="Arial"/>
          <w:sz w:val="18"/>
          <w:szCs w:val="18"/>
          <w:color w:val="auto"/>
        </w:rPr>
      </w:pPr>
    </w:p>
    <w:p>
      <w:pPr>
        <w:jc w:val="both"/>
        <w:ind w:left="460" w:right="40" w:firstLine="4"/>
        <w:spacing w:after="0" w:line="259" w:lineRule="auto"/>
        <w:tabs>
          <w:tab w:leader="none" w:pos="67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submits to the jurisdiction of the English courts, if this Agreement is expressed to be governed by English law, or to the non-exclusive jurisdiction of the courts of the State of New York and the United States District Court located in the Borough of Manhattan in New York City, if this Agreement is expressed to be governed by the laws of the State of New York; and</w:t>
      </w:r>
    </w:p>
    <w:p>
      <w:pPr>
        <w:spacing w:after="0" w:line="59" w:lineRule="exact"/>
        <w:rPr>
          <w:rFonts w:ascii="Arial" w:cs="Arial" w:eastAsia="Arial" w:hAnsi="Arial"/>
          <w:sz w:val="18"/>
          <w:szCs w:val="18"/>
          <w:color w:val="auto"/>
        </w:rPr>
      </w:pPr>
    </w:p>
    <w:p>
      <w:pPr>
        <w:ind w:left="460" w:right="160" w:firstLine="4"/>
        <w:spacing w:after="0" w:line="259" w:lineRule="auto"/>
        <w:tabs>
          <w:tab w:leader="none" w:pos="719" w:val="left"/>
        </w:tabs>
        <w:numPr>
          <w:ilvl w:val="1"/>
          <w:numId w:val="54"/>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Nothing in this Agreement precludes either party from bringing Proceedings in any other jurisdiction (outside, if this Agreement is expressed to be governed by English law, the Contracting States, as defined in Section 1(3) of the Civil Jurisdiction and Judgments Act 1982 or any modification, extension or reenactment thereof for the time being in force) nor will the bringing of Proceedings in any one or more jurisdictions preclude the bringing of Proceedings in any other jurisdiction.</w:t>
      </w:r>
    </w:p>
    <w:p>
      <w:pPr>
        <w:spacing w:after="0" w:line="143" w:lineRule="exact"/>
        <w:rPr>
          <w:sz w:val="20"/>
          <w:szCs w:val="20"/>
          <w:color w:val="auto"/>
        </w:rPr>
      </w:pPr>
    </w:p>
    <w:p>
      <w:pPr>
        <w:ind w:right="160" w:firstLine="8"/>
        <w:spacing w:after="0" w:line="268" w:lineRule="auto"/>
        <w:tabs>
          <w:tab w:leader="none" w:pos="239"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of Process. </w:t>
      </w:r>
      <w:r>
        <w:rPr>
          <w:rFonts w:ascii="Arial" w:cs="Arial" w:eastAsia="Arial" w:hAnsi="Arial"/>
          <w:sz w:val="18"/>
          <w:szCs w:val="18"/>
          <w:color w:val="auto"/>
        </w:rPr>
        <w:t>Each party irrevocably appoints the Process Agent (if any) specified opposite its name in the Schedule to receive, for it and on its behalf,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of process in any Proceedings. If for any reason any party’s Process Agent is unable to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such, such party will promptly notify the other party and within 30 days appoint a substitute process agent acceptable to the other party. The parties irrevocably consent to service of process given in the manner provided for notices in Section 12. Nothing in this Agreement will affect the right of either party to serve process in any other manner permitted by law.</w:t>
      </w:r>
    </w:p>
    <w:p>
      <w:pPr>
        <w:spacing w:after="0" w:line="140" w:lineRule="exact"/>
        <w:rPr>
          <w:sz w:val="20"/>
          <w:szCs w:val="20"/>
          <w:color w:val="auto"/>
        </w:rPr>
      </w:pPr>
    </w:p>
    <w:p>
      <w:pPr>
        <w:ind w:right="460" w:firstLine="8"/>
        <w:spacing w:after="0" w:line="305" w:lineRule="auto"/>
        <w:tabs>
          <w:tab w:leader="none" w:pos="249"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Waiver of Immunities. </w:t>
      </w:r>
      <w:r>
        <w:rPr>
          <w:rFonts w:ascii="Arial" w:cs="Arial" w:eastAsia="Arial" w:hAnsi="Arial"/>
          <w:sz w:val="15"/>
          <w:szCs w:val="15"/>
          <w:color w:val="auto"/>
        </w:rPr>
        <w:t>Each party irrevocably waives, to the fullest extent permitted by applicable law, with respect to itself and its revenues and assets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(irrespective of their use or intended use), all immunity on the grounds of sovereignty or other similar grounds from (i) suit, (ii) jurisdiction of any court,</w:t>
      </w:r>
    </w:p>
    <w:p>
      <w:pPr>
        <w:jc w:val="both"/>
        <w:ind w:firstLine="8"/>
        <w:spacing w:after="0" w:line="302" w:lineRule="auto"/>
        <w:tabs>
          <w:tab w:leader="none" w:pos="3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relief by way of injunction, order for specific performance or for recovery of property, (iv) attachment of its assets (whether before or after judgment) and (v) execution or enforcement of any judgment to which it or its revenues or assets might otherwise be entitled in any Proceedings in the courts of any jurisdiction and irrevocably agrees, to the extent permitted by applicable law, that it will not claim any such immunity in any Proceedings.</w:t>
      </w:r>
    </w:p>
    <w:p>
      <w:pPr>
        <w:spacing w:after="0" w:line="22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“Affected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 xml:space="preserve">“Affected Transactions” </w:t>
      </w:r>
      <w:r>
        <w:rPr>
          <w:rFonts w:ascii="Arial" w:cs="Arial" w:eastAsia="Arial" w:hAnsi="Arial"/>
          <w:sz w:val="16"/>
          <w:szCs w:val="16"/>
          <w:color w:val="auto"/>
        </w:rPr>
        <w:t>means (a) with respect to any Termination Event consisting of an Illegality, Tax Event or Tax Event Upon Merger, all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the occurrence of such Termination Event and (b) with respect to any other Termination Event, all Transactions.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subject to the Schedule, in relation to any person, any entity controlled, directly or indirectly, by the person, any entity that controls,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the person or any entity directly or indirectly under common control with the person. For this purpose, “control” of any entity or person means ownership of a majority of the voting power of the entity or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“Applicable Rate” </w:t>
      </w:r>
      <w:r>
        <w:rPr>
          <w:rFonts w:ascii="Arial" w:cs="Arial" w:eastAsia="Arial" w:hAnsi="Arial"/>
          <w:sz w:val="18"/>
          <w:szCs w:val="18"/>
          <w:color w:val="auto"/>
        </w:rPr>
        <w:t>means:—</w:t>
      </w:r>
    </w:p>
    <w:p>
      <w:pPr>
        <w:spacing w:after="0" w:line="90"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respect of obligations payable or deliverable (or which would have been but for Section 2(a)(iii)) by a Defaulting Party, the Default Rate;</w:t>
      </w:r>
    </w:p>
    <w:p>
      <w:pPr>
        <w:spacing w:after="0" w:line="171" w:lineRule="exact"/>
        <w:rPr>
          <w:rFonts w:ascii="Arial" w:cs="Arial" w:eastAsia="Arial" w:hAnsi="Arial"/>
          <w:sz w:val="18"/>
          <w:szCs w:val="18"/>
          <w:color w:val="auto"/>
        </w:rPr>
      </w:pPr>
    </w:p>
    <w:p>
      <w:pPr>
        <w:ind w:right="340" w:firstLine="8"/>
        <w:spacing w:after="0" w:line="268"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respect of an obligation to pay an amount under Section 6(e) of either party from and after the date (determined in accordance with Section 6(d)(ii)) on which that amount is payable, the Default Rate;</w:t>
      </w:r>
    </w:p>
    <w:p>
      <w:pPr>
        <w:spacing w:after="0" w:line="131" w:lineRule="exact"/>
        <w:rPr>
          <w:rFonts w:ascii="Arial" w:cs="Arial" w:eastAsia="Arial" w:hAnsi="Arial"/>
          <w:sz w:val="18"/>
          <w:szCs w:val="18"/>
          <w:color w:val="auto"/>
        </w:rPr>
      </w:pPr>
    </w:p>
    <w:p>
      <w:pPr>
        <w:ind w:right="60" w:firstLine="8"/>
        <w:spacing w:after="0" w:line="268" w:lineRule="auto"/>
        <w:tabs>
          <w:tab w:leader="none" w:pos="2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respect of all other obligations payable or deliverable (or which would have been but for Section 2(a)(iii)) by a Non-defaulting Party, the Non-default Rate;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all other cases, the Termination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“Burdened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“Change in Tax Law” </w:t>
      </w:r>
      <w:r>
        <w:rPr>
          <w:rFonts w:ascii="Arial" w:cs="Arial" w:eastAsia="Arial" w:hAnsi="Arial"/>
          <w:sz w:val="18"/>
          <w:szCs w:val="18"/>
          <w:color w:val="auto"/>
        </w:rPr>
        <w:t>means the enactment, promulgation, execution or ratification of, or any change in or amendment to, any law (or in the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interpretation of any law) that occurs on or after the date on which the relevant Transaction is entered into.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“consent” </w:t>
      </w:r>
      <w:r>
        <w:rPr>
          <w:rFonts w:ascii="Arial" w:cs="Arial" w:eastAsia="Arial" w:hAnsi="Arial"/>
          <w:sz w:val="18"/>
          <w:szCs w:val="18"/>
          <w:color w:val="auto"/>
        </w:rPr>
        <w:t>includes a consent, approval, action, authorisation, exemption, notice, filing, registration or exchange control consent.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Document” </w:t>
      </w:r>
      <w:r>
        <w:rPr>
          <w:rFonts w:ascii="Arial" w:cs="Arial" w:eastAsia="Arial" w:hAnsi="Arial"/>
          <w:sz w:val="18"/>
          <w:szCs w:val="18"/>
          <w:color w:val="auto"/>
        </w:rPr>
        <w:t>means any agreement or instrument that is specified as such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Provider”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“Default Rate” </w:t>
      </w:r>
      <w:r>
        <w:rPr>
          <w:rFonts w:ascii="Arial" w:cs="Arial" w:eastAsia="Arial" w:hAnsi="Arial"/>
          <w:sz w:val="18"/>
          <w:szCs w:val="18"/>
          <w:color w:val="auto"/>
        </w:rPr>
        <w:t>means a rate per annum equal to the cost (without proof or evidence of any actual cost) to the relevant payee (as certified by it) if it were to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of funding the relevant amount plus 1% per annum.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“Early Termination Date” </w:t>
      </w:r>
      <w:r>
        <w:rPr>
          <w:rFonts w:ascii="Arial" w:cs="Arial" w:eastAsia="Arial" w:hAnsi="Arial"/>
          <w:sz w:val="18"/>
          <w:szCs w:val="18"/>
          <w:color w:val="auto"/>
        </w:rPr>
        <w:t>means the date determined in accordance with Section 6(a) or 6(b)(iv).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has the meaning specified in Section 5(a) and, if applicable, in the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“Illegality” </w:t>
      </w:r>
      <w:r>
        <w:rPr>
          <w:rFonts w:ascii="Arial" w:cs="Arial" w:eastAsia="Arial" w:hAnsi="Arial"/>
          <w:sz w:val="18"/>
          <w:szCs w:val="18"/>
          <w:color w:val="auto"/>
        </w:rPr>
        <w:t>has the meaning specified in Section 5(b).</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“Indemnifiable </w:t>
      </w:r>
      <w:r>
        <w:rPr>
          <w:rFonts w:ascii="Arial" w:cs="Arial" w:eastAsia="Arial" w:hAnsi="Arial"/>
          <w:sz w:val="16"/>
          <w:szCs w:val="16"/>
          <w:b w:val="1"/>
          <w:bCs w:val="1"/>
          <w:color w:val="auto"/>
        </w:rPr>
        <w:t>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any Tax other than a Tax that would not be imposed in respect of a payment under this Agreement but for a present or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includes any treaty, law, rule or regulation (as modified, in the case of tax matters, by the practice of any relevant governmental revenue authority) and</w:t>
      </w:r>
      <w:r>
        <w:rPr>
          <w:rFonts w:ascii="Arial" w:cs="Arial" w:eastAsia="Arial" w:hAnsi="Arial"/>
          <w:sz w:val="18"/>
          <w:szCs w:val="18"/>
          <w:b w:val="1"/>
          <w:bCs w:val="1"/>
          <w:i w:val="1"/>
          <w:iCs w:val="1"/>
          <w:color w:val="auto"/>
        </w:rPr>
        <w:t xml:space="preserve"> “lawful”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“unlawful” </w:t>
      </w:r>
      <w:r>
        <w:rPr>
          <w:rFonts w:ascii="Arial" w:cs="Arial" w:eastAsia="Arial" w:hAnsi="Arial"/>
          <w:sz w:val="18"/>
          <w:szCs w:val="18"/>
          <w:color w:val="auto"/>
        </w:rPr>
        <w:t>will be construed accordingly.</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 xml:space="preserve">“Local Business Day” </w:t>
      </w:r>
      <w:r>
        <w:rPr>
          <w:rFonts w:ascii="Arial" w:cs="Arial" w:eastAsia="Arial" w:hAnsi="Arial"/>
          <w:sz w:val="16"/>
          <w:szCs w:val="16"/>
          <w:color w:val="auto"/>
        </w:rPr>
        <w:t>means, subject to the Schedule, a day on which commercial banks are open for business (including dealings in foreign exchange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deposits) (a) in relation to any obligation under Section 2(a)(i), in the place(s) specified in the relevant Confirmation or, if not so specified, as otherwise agreed by the parties in writing or determined pursuant to provisions contained, or incorporated by reference, in this Agreement, (b) in relation to any other payment, in the place where the relevant account is located and, if different, in the principal financial centre, if any, of the currency of such payment, (c) in relation to any notice or other communication, including notice contemplated under Section 5(a)(i), in the city specified in the address for notice provided by the recipient and, in the case of a notice contemplated by Section 2(b), in the place where the relevant new account is to be located and (d) in relation to Section 5(a) (v)(2), in the relevant locations for performance with respect to such Specified Transaction.</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“Loss” </w:t>
      </w:r>
      <w:r>
        <w:rPr>
          <w:rFonts w:ascii="Arial" w:cs="Arial" w:eastAsia="Arial" w:hAnsi="Arial"/>
          <w:sz w:val="16"/>
          <w:szCs w:val="16"/>
          <w:color w:val="auto"/>
        </w:rPr>
        <w:t>means, with respect to this Agreement or one or more Terminated Transactions, as the case may be, and a party, the Termination Currency Equivalent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amount that party reasonably determines in good faith to be its total losses and costs (or gain, in which case expressed as a negative number) in connection with this Agreement or that Terminated Transaction or group of Terminated Transactions, as the case may be, including any loss of bargain, cost of funding or, at the election of such party but without duplication, loss or cost incurred as a result of its terminating, liquidating, obtaining or reestablishing any hedge or related trading position (or any gain resulting from any of them). Loss includes losses and costs (or gains) in respect of any payment or delivery required to have been made (assuming satisfaction of each applicable condition precedent) on or before the relevant Early Termination Date and not made, except, so as to avoid duplication, if Section 6(e)(i)(1) or (3) or 6(e)(ii)(2)(A) applies. Loss does not include a party’s legal fees and out-of-pocket expenses referred to under Section 11. A party will determine its Loss as of the relevant Early Termination Date, or, if that is not reasonably practicable, as of the earliest date thereafter as is reasonably practicable. A party may (but need not) determine its Loss by reference to quotations of relevant rates or prices from one or more leading dealers in the relevant markets.</w:t>
      </w:r>
    </w:p>
    <w:p>
      <w:pPr>
        <w:spacing w:after="0" w:line="1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“Market Quotation” </w:t>
      </w:r>
      <w:r>
        <w:rPr>
          <w:rFonts w:ascii="Arial" w:cs="Arial" w:eastAsia="Arial" w:hAnsi="Arial"/>
          <w:sz w:val="16"/>
          <w:szCs w:val="16"/>
          <w:color w:val="auto"/>
        </w:rPr>
        <w:t>means, with respect to one or more Terminated Transactions and a party making the determination, an amount determined on the basis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quotations from Reference Market-makers. Each quotation will be for an amount, if any, that would be paid to such party (expressed as a negative number) or by such party (expressed as a positive number) in consideration of an agreement between such party (taking into account any existing Credit Support Document with respect to the obligations of such party) and the quoting Reference Market-maker to enter into a transaction (the “Replacement Transaction”) that would have the effect of preserving for such party the economic equivalent of any payment or delivery (whether the underlying obligation was absolute or contingent and assuming the satisfaction of each applicable condition precedent) by the parties under Section 2(a)(i) in respect of such Terminated Transaction or group of Terminated Transactions that would, but for the occurrence of the relevant Early Termination Date, have been required after that date. For this purpose, Unpaid Amounts in respect of the Terminated Transaction or group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Terminated Transactions are to be excluded but, without limitation, any payment or delivery that would, but for the relevant Early Termination Date, have been required (assuming satisfaction of each applicable condition precedent) after that Early Termination Date is to be included. The Replacement Transaction would be subject to such documentation as such party and the Reference Market-maker may, in good faith, agree. The party making the determination (or its agent) will request each Reference Market maker to provide its quotation to the extent reasonably practicable as of the same day and time (without regard to different time zones) on or as soon as reasonably practicable after the relevant Early Termination Date. The day and time as of which those quotations are to be obtained will be selected in good faith by the party obliged to make a determination under Section 6(e), and, if each party is so obliged, after consultation with the other. If more than three quotations are provided, the Market Quotation will be the arithmetic mean of the quotations, without regard to the quotations having the highest and lowest values. If exactly three such quotations are provided, the Market Quotation will be the quotation remaining after disregarding the highest and lowest quotations. For this purpose, if more than one quotation has the same highest value or lowest value, then one of such quotations shall be disregarded. If fewer than three quotations are provided, it will be deemed that the Market Quotation in respect of such Terminated Transaction or group of Terminated Transactions cannot be determined.</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“Non-default Rate” </w:t>
      </w:r>
      <w:r>
        <w:rPr>
          <w:rFonts w:ascii="Arial" w:cs="Arial" w:eastAsia="Arial" w:hAnsi="Arial"/>
          <w:sz w:val="18"/>
          <w:szCs w:val="18"/>
          <w:color w:val="auto"/>
        </w:rPr>
        <w:t>means a rate per annum equal to the cost (without proof or evidence of any actual cost) to the Non-defaulting Party (as certified by it) if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to fund the relevant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“Office” </w:t>
      </w:r>
      <w:r>
        <w:rPr>
          <w:rFonts w:ascii="Arial" w:cs="Arial" w:eastAsia="Arial" w:hAnsi="Arial"/>
          <w:sz w:val="18"/>
          <w:szCs w:val="18"/>
          <w:color w:val="auto"/>
        </w:rPr>
        <w:t>means a branch or office of a party, which may be such party’s head or home office.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“Potential Event of Default” </w:t>
      </w:r>
      <w:r>
        <w:rPr>
          <w:rFonts w:ascii="Arial" w:cs="Arial" w:eastAsia="Arial" w:hAnsi="Arial"/>
          <w:sz w:val="16"/>
          <w:szCs w:val="16"/>
          <w:color w:val="auto"/>
        </w:rPr>
        <w:t>means any event which, with the giving of notice or the lapse of time or both, would constitute an Event of Default.</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 xml:space="preserve">“Reference Market-makers” </w:t>
      </w:r>
      <w:r>
        <w:rPr>
          <w:rFonts w:ascii="Arial" w:cs="Arial" w:eastAsia="Arial" w:hAnsi="Arial"/>
          <w:sz w:val="16"/>
          <w:szCs w:val="16"/>
          <w:color w:val="auto"/>
        </w:rPr>
        <w:t>means four leading dealers in the relevant market selected by the party determining a Market Quotation in good faith (a)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dealers of the highest credit standing which satisfy all the criteria that such party applies generally at the time in deciding whether to offer or to make an extension of credit and (b) to the extent practicable, from among such dealers having an office in the same city.</w:t>
      </w:r>
    </w:p>
    <w:p>
      <w:pPr>
        <w:spacing w:after="0" w:line="10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 xml:space="preserve">“Relevant Jurisdiction” </w:t>
      </w:r>
      <w:r>
        <w:rPr>
          <w:rFonts w:ascii="Arial" w:cs="Arial" w:eastAsia="Arial" w:hAnsi="Arial"/>
          <w:sz w:val="18"/>
          <w:szCs w:val="18"/>
          <w:color w:val="auto"/>
        </w:rPr>
        <w:t>means, with respect to a party, the jurisdictions (a) in which the party is incorporated, organised, managed and controlled or considered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its seat, (b) where an Office through which the party is acting for purposes of this Agreement is located, (c) in which the party executes this Agreement and (d) in relation to any payment, from or through which such payment is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“Scheduled Payment Date” </w:t>
      </w:r>
      <w:r>
        <w:rPr>
          <w:rFonts w:ascii="Arial" w:cs="Arial" w:eastAsia="Arial" w:hAnsi="Arial"/>
          <w:sz w:val="18"/>
          <w:szCs w:val="18"/>
          <w:color w:val="auto"/>
        </w:rPr>
        <w:t>means a date on which a payment or delivery is to be made under Section 2(a)(i) with respect to a Transaction.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“Set-off” </w:t>
      </w:r>
      <w:r>
        <w:rPr>
          <w:rFonts w:ascii="Arial" w:cs="Arial" w:eastAsia="Arial" w:hAnsi="Arial"/>
          <w:sz w:val="18"/>
          <w:szCs w:val="18"/>
          <w:color w:val="auto"/>
        </w:rPr>
        <w:t>means set-off, offset, combination of accounts, right of retention or withholding or similar right or requirement to which the payer of an amount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 is entitled or subject (whether arising under this Agreement, another contract, applicable law or otherwise) that is exercised by, or imposed on, such payer.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“Settlement Amount” </w:t>
      </w:r>
      <w:r>
        <w:rPr>
          <w:rFonts w:ascii="Arial" w:cs="Arial" w:eastAsia="Arial" w:hAnsi="Arial"/>
          <w:sz w:val="18"/>
          <w:szCs w:val="18"/>
          <w:color w:val="auto"/>
        </w:rPr>
        <w:t>means, with respect to a party and any Early Termination Date, the sum of:—</w:t>
      </w:r>
    </w:p>
    <w:p>
      <w:pPr>
        <w:spacing w:after="0" w:line="90" w:lineRule="exact"/>
        <w:rPr>
          <w:sz w:val="20"/>
          <w:szCs w:val="20"/>
          <w:color w:val="auto"/>
        </w:rPr>
      </w:pPr>
    </w:p>
    <w:p>
      <w:pPr>
        <w:ind w:right="600" w:firstLine="8"/>
        <w:spacing w:after="0" w:line="268" w:lineRule="auto"/>
        <w:tabs>
          <w:tab w:leader="none" w:pos="2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Termination Currency Equivalent of the Market Quotations (whether positive or negative) for each Terminated Transaction or group of Terminated Transactions for which a Market Quotation is determined; and</w:t>
      </w:r>
    </w:p>
    <w:p>
      <w:pPr>
        <w:spacing w:after="0" w:line="131" w:lineRule="exact"/>
        <w:rPr>
          <w:rFonts w:ascii="Arial" w:cs="Arial" w:eastAsia="Arial" w:hAnsi="Arial"/>
          <w:sz w:val="18"/>
          <w:szCs w:val="18"/>
          <w:color w:val="auto"/>
        </w:rPr>
      </w:pPr>
    </w:p>
    <w:p>
      <w:pPr>
        <w:ind w:right="500" w:firstLine="8"/>
        <w:spacing w:after="0" w:line="259"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party’s Loss (whether positive or negative and without reference to any Unpaid Amounts) for each Terminated Transaction or group of Terminated Transactions for which a Market Quotation cannot be determined or would not (in the reasonable belief of the party making the determination) produce a commercially reasonable result.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“Specified Entity” </w:t>
      </w:r>
      <w:r>
        <w:rPr>
          <w:rFonts w:ascii="Arial" w:cs="Arial" w:eastAsia="Arial" w:hAnsi="Arial"/>
          <w:sz w:val="18"/>
          <w:szCs w:val="18"/>
          <w:color w:val="auto"/>
        </w:rPr>
        <w:t>has the meaning specified in the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2" w:name="page53"/>
    <w:bookmarkEnd w:id="52"/>
    <w:p>
      <w:pPr>
        <w:ind w:right="1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“Specified Indebtedness” </w:t>
      </w:r>
      <w:r>
        <w:rPr>
          <w:rFonts w:ascii="Arial" w:cs="Arial" w:eastAsia="Arial" w:hAnsi="Arial"/>
          <w:sz w:val="18"/>
          <w:szCs w:val="18"/>
          <w:color w:val="auto"/>
        </w:rPr>
        <w:t>means, subject to the Schedule, any obligation (whether present or future, contingent or otherwise, as principal or surety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respect of borrowed money.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“Specified Transaction”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Schedule, (a) any transaction (including an agreement with respect thereto) now existing or hereafter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these transactions), (b) any combination of these transactions and (c) any other transaction identified as a Specified Transaction in this Agreement or the relevant confirmation.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“Stamp Tax” </w:t>
      </w:r>
      <w:r>
        <w:rPr>
          <w:rFonts w:ascii="Arial" w:cs="Arial" w:eastAsia="Arial" w:hAnsi="Arial"/>
          <w:sz w:val="18"/>
          <w:szCs w:val="18"/>
          <w:color w:val="auto"/>
        </w:rPr>
        <w:t>means any stamp, registration, documentation or similar tax.</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charge, assessment or fee of any nature (including interest, penalties and additions thereto)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by any government or other taxing authority in respect of any payment under this Agreement other than a stamp, registration, documentation or similar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“Terminated Transactions” </w:t>
      </w:r>
      <w:r>
        <w:rPr>
          <w:rFonts w:ascii="Arial" w:cs="Arial" w:eastAsia="Arial" w:hAnsi="Arial"/>
          <w:sz w:val="18"/>
          <w:szCs w:val="18"/>
          <w:color w:val="auto"/>
        </w:rPr>
        <w:t>means with respect to any Early Termination Date (a) if resulting from a Termination Event, all Affected Transactions and (b)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an Event of Default, all Transactions (in either case) in effect immediately before the effectiveness of the notice designating that Early Termination Date (or, if “Automatic Early Termination” applies, immediately before that Early Termination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Currency”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“Termination Currency Equivalent” </w:t>
      </w:r>
      <w:r>
        <w:rPr>
          <w:rFonts w:ascii="Arial" w:cs="Arial" w:eastAsia="Arial" w:hAnsi="Arial"/>
          <w:sz w:val="18"/>
          <w:szCs w:val="18"/>
          <w:color w:val="auto"/>
        </w:rPr>
        <w:t>means, in respect of any amount denominated in the Termination Currency, such Termination Currency amount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Market Quotation or Loss (as the case may be),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“Termination Event” </w:t>
      </w:r>
      <w:r>
        <w:rPr>
          <w:rFonts w:ascii="Arial" w:cs="Arial" w:eastAsia="Arial" w:hAnsi="Arial"/>
          <w:sz w:val="18"/>
          <w:szCs w:val="18"/>
          <w:color w:val="auto"/>
        </w:rPr>
        <w:t>means an Illegality, a Tax Event or a Tax Event Upon Merger or, if specified to be applicable, a Credit Event Upon Merger or an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“Termination Rate” </w:t>
      </w:r>
      <w:r>
        <w:rPr>
          <w:rFonts w:ascii="Arial" w:cs="Arial" w:eastAsia="Arial" w:hAnsi="Arial"/>
          <w:sz w:val="18"/>
          <w:szCs w:val="18"/>
          <w:color w:val="auto"/>
        </w:rPr>
        <w:t>means a rate per annum equal to the arithmetic mean of the cost (without proof or evidence of any actual cost) to each party (as certified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if it were to fund or of funding such amounts.</w:t>
      </w:r>
    </w:p>
    <w:p>
      <w:pPr>
        <w:spacing w:after="0" w:line="13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 xml:space="preserve">“Unpaid Amounts” </w:t>
      </w:r>
      <w:r>
        <w:rPr>
          <w:rFonts w:ascii="Arial" w:cs="Arial" w:eastAsia="Arial" w:hAnsi="Arial"/>
          <w:sz w:val="16"/>
          <w:szCs w:val="16"/>
          <w:color w:val="auto"/>
        </w:rPr>
        <w:t>owing to any party means, with respect to an Early Termination Date, the aggregate of (a) in respect of all Terminated Transactions,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became payable (or that would have become payable but for Section 2(a)(iii)) to such party under Section 2(a)(i) on or prior to such Early Termination Date and which remain unpaid as at such Early Termination Date and (b) in respect of each Terminated Transaction, for each obligation under Section 2(a)(i) which was (or would have been but for Section 2(a) (iii)) required to be settled by delivery to such party on or prior to such Early Termination Date and which has not been so settled as at such Early Termination Date, an amount equal to the fair market value of that which was (or would have been)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3" w:name="page54"/>
    <w:bookmarkEnd w:id="53"/>
    <w:p>
      <w:pPr>
        <w:ind w:right="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delivered as of the originally scheduled date for delivery, in each case together with (to the extent permitted under applicable law) interest, in the currency of such amounts, from (and including) the date such amounts or obligations were or would have been required to have been paid or performed to (but excluding) such Early Termination Date, at the Applicable Rate. Such amounts of interest will be calculated on the basis of daily compounding and the actual number of days elapsed. The fair market value of any obligation referred to in clause (b) above shall be reasonably determined by the party obliged to make the determination under Section 6(e) or, if each party is so obliged, it shall be the average of the Termination Currency Equivalents of the fair market values reasonably determined by both parties.</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WITNESS WHEREOF the parties have executed this document on the respective dates specified below with effect from the date specified on the first page of this document.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MORGAN STANLEY CAPITAL SERVICES INC.</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NATIONAL CINEMEDIA, LLC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Charmaine Fearon</w:t>
            </w:r>
          </w:p>
        </w:tc>
        <w:tc>
          <w:tcPr>
            <w:tcW w:w="920" w:type="dxa"/>
            <w:vAlign w:val="bottom"/>
          </w:tcPr>
          <w:p>
            <w:pPr>
              <w:ind w:left="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Charmaine Fearon</w:t>
            </w:r>
          </w:p>
        </w:tc>
        <w:tc>
          <w:tcPr>
            <w:tcW w:w="920" w:type="dxa"/>
            <w:vAlign w:val="bottom"/>
          </w:tcPr>
          <w:p>
            <w:pPr>
              <w:ind w:left="34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Gary W. Ferrera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Signatory</w:t>
            </w:r>
          </w:p>
        </w:tc>
        <w:tc>
          <w:tcPr>
            <w:tcW w:w="920" w:type="dxa"/>
            <w:vAlign w:val="bottom"/>
          </w:tcPr>
          <w:p>
            <w:pPr>
              <w:ind w:left="3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June 20, 2007</w:t>
            </w:r>
          </w:p>
        </w:tc>
      </w:tr>
      <w:tr>
        <w:trPr>
          <w:trHeight w:val="365"/>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18</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4" w:name="page55"/>
    <w:bookmarkEnd w:id="54"/>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1992 ISDA MASTER AGREEMENT</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dated as of March 2, 2007</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between</w:t>
      </w:r>
    </w:p>
    <w:p>
      <w:pPr>
        <w:spacing w:after="0" w:line="15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MORGAN STANLEY CAPITAL SERVICES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(“Party 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40" w:type="dxa"/>
            <w:vAlign w:val="bottom"/>
          </w:tcPr>
          <w:p>
            <w:pPr>
              <w:jc w:val="center"/>
              <w:ind w:left="892"/>
              <w:spacing w:after="0"/>
              <w:rPr>
                <w:sz w:val="20"/>
                <w:szCs w:val="20"/>
                <w:color w:val="auto"/>
              </w:rPr>
            </w:pPr>
            <w:r>
              <w:rPr>
                <w:rFonts w:ascii="Arial" w:cs="Arial" w:eastAsia="Arial" w:hAnsi="Arial"/>
                <w:sz w:val="18"/>
                <w:szCs w:val="18"/>
                <w:color w:val="auto"/>
                <w:w w:val="86"/>
              </w:rPr>
              <w:t>and</w:t>
            </w:r>
          </w:p>
        </w:tc>
        <w:tc>
          <w:tcPr>
            <w:tcW w:w="2820" w:type="dxa"/>
            <w:vAlign w:val="bottom"/>
          </w:tcPr>
          <w:p>
            <w:pPr>
              <w:spacing w:after="0"/>
              <w:rPr>
                <w:sz w:val="19"/>
                <w:szCs w:val="19"/>
                <w:color w:val="auto"/>
              </w:rPr>
            </w:pPr>
          </w:p>
        </w:tc>
      </w:tr>
      <w:tr>
        <w:trPr>
          <w:trHeight w:val="366"/>
        </w:trPr>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40" w:type="dxa"/>
            <w:vAlign w:val="bottom"/>
          </w:tcPr>
          <w:p>
            <w:pPr>
              <w:jc w:val="center"/>
              <w:ind w:left="892"/>
              <w:spacing w:after="0"/>
              <w:rPr>
                <w:sz w:val="20"/>
                <w:szCs w:val="20"/>
                <w:color w:val="auto"/>
              </w:rPr>
            </w:pPr>
            <w:r>
              <w:rPr>
                <w:rFonts w:ascii="Arial" w:cs="Arial" w:eastAsia="Arial" w:hAnsi="Arial"/>
                <w:sz w:val="18"/>
                <w:szCs w:val="18"/>
                <w:b w:val="1"/>
                <w:bCs w:val="1"/>
                <w:color w:val="auto"/>
              </w:rPr>
              <w:t>NATIONAL CINEMEDIA, LLC</w:t>
            </w:r>
          </w:p>
        </w:tc>
        <w:tc>
          <w:tcPr>
            <w:tcW w:w="282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40" w:type="dxa"/>
            <w:vAlign w:val="bottom"/>
          </w:tcPr>
          <w:p>
            <w:pPr>
              <w:jc w:val="center"/>
              <w:ind w:left="912"/>
              <w:spacing w:after="0"/>
              <w:rPr>
                <w:sz w:val="20"/>
                <w:szCs w:val="20"/>
                <w:color w:val="auto"/>
              </w:rPr>
            </w:pPr>
            <w:r>
              <w:rPr>
                <w:rFonts w:ascii="Arial" w:cs="Arial" w:eastAsia="Arial" w:hAnsi="Arial"/>
                <w:sz w:val="18"/>
                <w:szCs w:val="18"/>
                <w:b w:val="1"/>
                <w:bCs w:val="1"/>
                <w:color w:val="auto"/>
                <w:w w:val="89"/>
              </w:rPr>
              <w:t>a Delaware limited liability company</w:t>
            </w:r>
          </w:p>
        </w:tc>
        <w:tc>
          <w:tcPr>
            <w:tcW w:w="282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40" w:type="dxa"/>
            <w:vAlign w:val="bottom"/>
          </w:tcPr>
          <w:p>
            <w:pPr>
              <w:jc w:val="center"/>
              <w:ind w:left="912"/>
              <w:spacing w:after="0"/>
              <w:rPr>
                <w:sz w:val="20"/>
                <w:szCs w:val="20"/>
                <w:color w:val="auto"/>
              </w:rPr>
            </w:pPr>
            <w:r>
              <w:rPr>
                <w:rFonts w:ascii="Arial" w:cs="Arial" w:eastAsia="Arial" w:hAnsi="Arial"/>
                <w:sz w:val="18"/>
                <w:szCs w:val="18"/>
                <w:color w:val="auto"/>
                <w:w w:val="96"/>
              </w:rPr>
              <w:t>(“Party B”)</w:t>
            </w:r>
          </w:p>
        </w:tc>
        <w:tc>
          <w:tcPr>
            <w:tcW w:w="2820" w:type="dxa"/>
            <w:vAlign w:val="bottom"/>
          </w:tcPr>
          <w:p>
            <w:pPr>
              <w:spacing w:after="0"/>
              <w:rPr>
                <w:sz w:val="19"/>
                <w:szCs w:val="19"/>
                <w:color w:val="auto"/>
              </w:rPr>
            </w:pPr>
          </w:p>
        </w:tc>
      </w:tr>
      <w:tr>
        <w:trPr>
          <w:trHeight w:val="340"/>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Part 1. Termination Provisions.</w:t>
            </w:r>
          </w:p>
        </w:tc>
        <w:tc>
          <w:tcPr>
            <w:tcW w:w="282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6"/>
        </w:trPr>
        <w:tc>
          <w:tcPr>
            <w:tcW w:w="8140" w:type="dxa"/>
            <w:vAlign w:val="bottom"/>
            <w:gridSpan w:val="3"/>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“Specified Entity”</w:t>
            </w:r>
            <w:r>
              <w:rPr>
                <w:rFonts w:ascii="Arial" w:cs="Arial" w:eastAsia="Arial" w:hAnsi="Arial"/>
                <w:sz w:val="18"/>
                <w:szCs w:val="18"/>
                <w:color w:val="auto"/>
              </w:rPr>
              <w:t xml:space="preserve"> means in relation to Party A for the purpose of:</w:t>
            </w:r>
          </w:p>
        </w:tc>
        <w:tc>
          <w:tcPr>
            <w:tcW w:w="2820" w:type="dxa"/>
            <w:vAlign w:val="bottom"/>
          </w:tcPr>
          <w:p>
            <w:pPr>
              <w:spacing w:after="0"/>
              <w:rPr>
                <w:sz w:val="24"/>
                <w:szCs w:val="24"/>
                <w:color w:val="auto"/>
              </w:rPr>
            </w:pPr>
          </w:p>
        </w:tc>
      </w:tr>
      <w:tr>
        <w:trPr>
          <w:trHeight w:val="419"/>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5(a)(v) (Default Under Specified Transaction)</w:t>
            </w:r>
          </w:p>
        </w:tc>
        <w:tc>
          <w:tcPr>
            <w:tcW w:w="2820" w:type="dxa"/>
            <w:vAlign w:val="bottom"/>
          </w:tcPr>
          <w:p>
            <w:pPr>
              <w:jc w:val="right"/>
              <w:spacing w:after="0"/>
              <w:rPr>
                <w:sz w:val="20"/>
                <w:szCs w:val="20"/>
                <w:color w:val="auto"/>
              </w:rPr>
            </w:pPr>
            <w:r>
              <w:rPr>
                <w:rFonts w:ascii="Arial" w:cs="Arial" w:eastAsia="Arial" w:hAnsi="Arial"/>
                <w:sz w:val="18"/>
                <w:szCs w:val="18"/>
                <w:color w:val="auto"/>
              </w:rPr>
              <w:t>Affiliates</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5(a)(vi) (Cross Default)</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5(a)(vii) (Bankruptcy)</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5(b)(v) (Credit Event Upon Merger)</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and in relation to Party B for the purpose of:</w:t>
            </w:r>
          </w:p>
        </w:tc>
        <w:tc>
          <w:tcPr>
            <w:tcW w:w="2820" w:type="dxa"/>
            <w:vAlign w:val="bottom"/>
          </w:tcPr>
          <w:p>
            <w:pPr>
              <w:spacing w:after="0"/>
              <w:rPr>
                <w:sz w:val="24"/>
                <w:szCs w:val="24"/>
                <w:color w:val="auto"/>
              </w:rPr>
            </w:pP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5(a)(v) (Default Under Specified Transaction)</w:t>
            </w:r>
          </w:p>
        </w:tc>
        <w:tc>
          <w:tcPr>
            <w:tcW w:w="2820" w:type="dxa"/>
            <w:vAlign w:val="bottom"/>
          </w:tcPr>
          <w:p>
            <w:pPr>
              <w:jc w:val="right"/>
              <w:spacing w:after="0"/>
              <w:rPr>
                <w:sz w:val="20"/>
                <w:szCs w:val="20"/>
                <w:color w:val="auto"/>
              </w:rPr>
            </w:pPr>
            <w:r>
              <w:rPr>
                <w:rFonts w:ascii="Arial" w:cs="Arial" w:eastAsia="Arial" w:hAnsi="Arial"/>
                <w:sz w:val="18"/>
                <w:szCs w:val="18"/>
                <w:color w:val="auto"/>
              </w:rPr>
              <w:t>National CineMedia, Inc.</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5(a)(vi) (Cross Default)</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5(a)(vii) (Bankruptcy)</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Section 5(b)(v) (Credit Event Upon Merger)</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19"/>
        </w:trPr>
        <w:tc>
          <w:tcPr>
            <w:tcW w:w="8140" w:type="dxa"/>
            <w:vAlign w:val="bottom"/>
            <w:gridSpan w:val="3"/>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“Specified Transaction”</w:t>
            </w:r>
            <w:r>
              <w:rPr>
                <w:rFonts w:ascii="Arial" w:cs="Arial" w:eastAsia="Arial" w:hAnsi="Arial"/>
                <w:sz w:val="18"/>
                <w:szCs w:val="18"/>
                <w:color w:val="auto"/>
              </w:rPr>
              <w:t xml:space="preserve"> shall have the meaning specified in Section 14 of this Agreement.</w:t>
            </w:r>
          </w:p>
        </w:tc>
        <w:tc>
          <w:tcPr>
            <w:tcW w:w="2820" w:type="dxa"/>
            <w:vAlign w:val="bottom"/>
          </w:tcPr>
          <w:p>
            <w:pPr>
              <w:spacing w:after="0"/>
              <w:rPr>
                <w:sz w:val="24"/>
                <w:szCs w:val="24"/>
                <w:color w:val="auto"/>
              </w:rPr>
            </w:pPr>
          </w:p>
        </w:tc>
      </w:tr>
      <w:tr>
        <w:trPr>
          <w:trHeight w:val="365"/>
        </w:trPr>
        <w:tc>
          <w:tcPr>
            <w:tcW w:w="8140" w:type="dxa"/>
            <w:vAlign w:val="bottom"/>
            <w:gridSpan w:val="3"/>
          </w:tcPr>
          <w:p>
            <w:pPr>
              <w:jc w:val="center"/>
              <w:ind w:left="3192"/>
              <w:spacing w:after="0"/>
              <w:rPr>
                <w:sz w:val="20"/>
                <w:szCs w:val="20"/>
                <w:color w:val="auto"/>
              </w:rPr>
            </w:pPr>
            <w:r>
              <w:rPr>
                <w:rFonts w:ascii="Arial" w:cs="Arial" w:eastAsia="Arial" w:hAnsi="Arial"/>
                <w:sz w:val="18"/>
                <w:szCs w:val="18"/>
                <w:color w:val="auto"/>
                <w:w w:val="89"/>
              </w:rPr>
              <w:t>19</w:t>
            </w:r>
          </w:p>
        </w:tc>
        <w:tc>
          <w:tcPr>
            <w:tcW w:w="2820" w:type="dxa"/>
            <w:vAlign w:val="bottom"/>
          </w:tcPr>
          <w:p>
            <w:pPr>
              <w:spacing w:after="0"/>
              <w:rPr>
                <w:sz w:val="24"/>
                <w:szCs w:val="24"/>
                <w:color w:val="auto"/>
              </w:rPr>
            </w:pPr>
          </w:p>
        </w:tc>
      </w:tr>
    </w:tbl>
    <w:p>
      <w:pPr>
        <w:sectPr>
          <w:pgSz w:w="11900" w:h="16838" w:orient="portrait"/>
          <w:cols w:equalWidth="0" w:num="1">
            <w:col w:w="10960"/>
          </w:cols>
          <w:pgMar w:left="240" w:top="274" w:right="699" w:bottom="1440" w:gutter="0" w:footer="0" w:header="0"/>
        </w:sectPr>
      </w:pPr>
    </w:p>
    <w:bookmarkStart w:id="55" w:name="page56"/>
    <w:bookmarkEnd w:id="55"/>
    <w:p>
      <w:pPr>
        <w:ind w:left="452" w:hanging="452"/>
        <w:spacing w:after="0" w:line="275" w:lineRule="auto"/>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“Cross Default” </w:t>
      </w:r>
      <w:r>
        <w:rPr>
          <w:rFonts w:ascii="Arial" w:cs="Arial" w:eastAsia="Arial" w:hAnsi="Arial"/>
          <w:sz w:val="18"/>
          <w:szCs w:val="18"/>
          <w:color w:val="auto"/>
        </w:rPr>
        <w:t>applies to Party A and Party B. Section 5(a)(vi) is amended by deleting the words “becoming, or becoming capable at such time of”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seventh line.</w:t>
      </w:r>
    </w:p>
    <w:p>
      <w:pPr>
        <w:spacing w:after="0" w:line="38" w:lineRule="exact"/>
        <w:rPr>
          <w:rFonts w:ascii="Arial" w:cs="Arial" w:eastAsia="Arial" w:hAnsi="Arial"/>
          <w:sz w:val="18"/>
          <w:szCs w:val="18"/>
          <w:color w:val="auto"/>
        </w:rPr>
      </w:pPr>
    </w:p>
    <w:p>
      <w:pPr>
        <w:ind w:left="452" w:right="10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“Specified Indebtedness” </w:t>
      </w:r>
      <w:r>
        <w:rPr>
          <w:rFonts w:ascii="Arial" w:cs="Arial" w:eastAsia="Arial" w:hAnsi="Arial"/>
          <w:sz w:val="18"/>
          <w:szCs w:val="18"/>
          <w:color w:val="auto"/>
        </w:rPr>
        <w:t>has the meaning specified in Section 14 of this Agreement. In addition, with respect to Party B, “Specified Indebtedness”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 without limitation, the obligations of Party B under that certain Credit Agreement dated as of February 13, 2007, made by and between Party B, Lehman Brothers Inc. and J.P. Morgan Securities, Inc., as Arrangers, Credit Suisse (USA) LLC and Morgan Stanley Senior Funding, Inc., as Co-Documentation Agents, Lehman Commercial Paper Inc., as Administrative Agent, and the other Lenders party thereto, as the same may be amended, modified, supplemented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(and to which other lenders, borrowers or other persons may be or become party).</w:t>
      </w:r>
    </w:p>
    <w:p>
      <w:pPr>
        <w:spacing w:after="0" w:line="58" w:lineRule="exact"/>
        <w:rPr>
          <w:rFonts w:ascii="Arial" w:cs="Arial" w:eastAsia="Arial" w:hAnsi="Arial"/>
          <w:sz w:val="18"/>
          <w:szCs w:val="18"/>
          <w:color w:val="auto"/>
        </w:rPr>
      </w:pPr>
    </w:p>
    <w:p>
      <w:pPr>
        <w:ind w:left="452" w:right="740"/>
        <w:spacing w:after="0" w:line="334" w:lineRule="auto"/>
        <w:rPr>
          <w:rFonts w:ascii="Arial" w:cs="Arial" w:eastAsia="Arial" w:hAnsi="Arial"/>
          <w:sz w:val="18"/>
          <w:szCs w:val="18"/>
          <w:color w:val="auto"/>
        </w:rPr>
      </w:pPr>
      <w:r>
        <w:rPr>
          <w:rFonts w:ascii="Arial" w:cs="Arial" w:eastAsia="Arial" w:hAnsi="Arial"/>
          <w:sz w:val="16"/>
          <w:szCs w:val="16"/>
          <w:b w:val="1"/>
          <w:bCs w:val="1"/>
          <w:color w:val="auto"/>
        </w:rPr>
        <w:t xml:space="preserve">“Threshold Amount” </w:t>
      </w:r>
      <w:r>
        <w:rPr>
          <w:rFonts w:ascii="Arial" w:cs="Arial" w:eastAsia="Arial" w:hAnsi="Arial"/>
          <w:sz w:val="16"/>
          <w:szCs w:val="16"/>
          <w:color w:val="auto"/>
        </w:rPr>
        <w:t>means, (1) with respect to Party A, an amount equal to three percent of its Credit Support Provider’s shareholders’ equity,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 accordance with generally acceptable accounting principles, and (2) with respect to Party B, $25,000,000.</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“Credit Event Upon Merger” </w:t>
      </w:r>
      <w:r>
        <w:rPr>
          <w:rFonts w:ascii="Arial" w:cs="Arial" w:eastAsia="Arial" w:hAnsi="Arial"/>
          <w:sz w:val="18"/>
          <w:szCs w:val="18"/>
          <w:color w:val="auto"/>
        </w:rPr>
        <w:t>applies to Party A and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“Automatic Early Termination”</w:t>
      </w:r>
      <w:r>
        <w:rPr>
          <w:rFonts w:ascii="Arial" w:cs="Arial" w:eastAsia="Arial" w:hAnsi="Arial"/>
          <w:sz w:val="18"/>
          <w:szCs w:val="18"/>
          <w:color w:val="auto"/>
        </w:rPr>
        <w:t xml:space="preserve"> provision of Section 6(a) of this Agreement will not apply to Party A and will not apply to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Currency” </w:t>
      </w:r>
      <w:r>
        <w:rPr>
          <w:rFonts w:ascii="Arial" w:cs="Arial" w:eastAsia="Arial" w:hAnsi="Arial"/>
          <w:sz w:val="18"/>
          <w:szCs w:val="18"/>
          <w:color w:val="auto"/>
        </w:rPr>
        <w:t>means United States Dollars (“USD”).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on Early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Section 6(e):</w:t>
      </w:r>
    </w:p>
    <w:p>
      <w:pPr>
        <w:spacing w:after="0" w:line="96" w:lineRule="exact"/>
        <w:rPr>
          <w:rFonts w:ascii="Arial" w:cs="Arial" w:eastAsia="Arial" w:hAnsi="Arial"/>
          <w:sz w:val="18"/>
          <w:szCs w:val="18"/>
          <w:color w:val="auto"/>
        </w:rPr>
      </w:pPr>
    </w:p>
    <w:p>
      <w:pPr>
        <w:ind w:left="1112" w:hanging="217"/>
        <w:spacing w:after="0"/>
        <w:tabs>
          <w:tab w:leader="none" w:pos="1112"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Market Quotation will apply.</w:t>
      </w:r>
    </w:p>
    <w:p>
      <w:pPr>
        <w:spacing w:after="0" w:line="90" w:lineRule="exact"/>
        <w:rPr>
          <w:rFonts w:ascii="Arial" w:cs="Arial" w:eastAsia="Arial" w:hAnsi="Arial"/>
          <w:sz w:val="18"/>
          <w:szCs w:val="18"/>
          <w:color w:val="auto"/>
        </w:rPr>
      </w:pPr>
    </w:p>
    <w:p>
      <w:pPr>
        <w:ind w:left="1152" w:hanging="257"/>
        <w:spacing w:after="0"/>
        <w:tabs>
          <w:tab w:leader="none" w:pos="1152"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Second Method will apply.</w:t>
      </w:r>
    </w:p>
    <w:p>
      <w:pPr>
        <w:spacing w:after="0" w:line="84" w:lineRule="exact"/>
        <w:rPr>
          <w:rFonts w:ascii="Arial" w:cs="Arial" w:eastAsia="Arial" w:hAnsi="Arial"/>
          <w:sz w:val="18"/>
          <w:szCs w:val="18"/>
          <w:color w:val="auto"/>
        </w:rPr>
      </w:pPr>
    </w:p>
    <w:p>
      <w:pPr>
        <w:ind w:left="452" w:right="680" w:hanging="452"/>
        <w:spacing w:after="0" w:line="275" w:lineRule="auto"/>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Termination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will constitute an Additional Termination Event, where Party B shall be the Affected Party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be Affected Transactions:</w:t>
      </w:r>
    </w:p>
    <w:p>
      <w:pPr>
        <w:spacing w:after="0" w:line="44" w:lineRule="exact"/>
        <w:rPr>
          <w:rFonts w:ascii="Arial" w:cs="Arial" w:eastAsia="Arial" w:hAnsi="Arial"/>
          <w:sz w:val="18"/>
          <w:szCs w:val="18"/>
          <w:color w:val="auto"/>
        </w:rPr>
      </w:pPr>
    </w:p>
    <w:p>
      <w:pPr>
        <w:jc w:val="both"/>
        <w:ind w:left="912" w:right="20" w:firstLine="1"/>
        <w:spacing w:after="0" w:line="306" w:lineRule="auto"/>
        <w:tabs>
          <w:tab w:leader="none" w:pos="1122" w:val="left"/>
        </w:tabs>
        <w:numPr>
          <w:ilvl w:val="2"/>
          <w:numId w:val="61"/>
        </w:numPr>
        <w:rPr>
          <w:rFonts w:ascii="Arial" w:cs="Arial" w:eastAsia="Arial" w:hAnsi="Arial"/>
          <w:sz w:val="16"/>
          <w:szCs w:val="16"/>
          <w:color w:val="auto"/>
        </w:rPr>
      </w:pPr>
      <w:r>
        <w:rPr>
          <w:rFonts w:ascii="Arial" w:cs="Arial" w:eastAsia="Arial" w:hAnsi="Arial"/>
          <w:sz w:val="16"/>
          <w:szCs w:val="16"/>
          <w:color w:val="auto"/>
        </w:rPr>
        <w:t>If at any time the obligations of Party B under this Agreement shall cease to be equally and ratably secured and guaranteed with the obligations of Party B to the Lenders under the Credit Agreement, subject to the terms of the Credit Agreement and the Collateral Documents for any reason, other than to the extent such obligations to Party A hereunder are cash collateralized in accordance with customary terms.</w:t>
      </w:r>
    </w:p>
    <w:p>
      <w:pPr>
        <w:spacing w:after="0" w:line="25" w:lineRule="exact"/>
        <w:rPr>
          <w:rFonts w:ascii="Arial" w:cs="Arial" w:eastAsia="Arial" w:hAnsi="Arial"/>
          <w:sz w:val="16"/>
          <w:szCs w:val="16"/>
          <w:color w:val="auto"/>
        </w:rPr>
      </w:pPr>
    </w:p>
    <w:p>
      <w:pPr>
        <w:ind w:left="912" w:right="80" w:firstLine="1"/>
        <w:spacing w:after="0" w:line="256" w:lineRule="auto"/>
        <w:tabs>
          <w:tab w:leader="none" w:pos="117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If (A) Party B fails to give Party A written notice at least 1 days prior to the prepayment in full of the Loans or release of any Collateral “(other than with respect to any Collateral released pursuant to Section 7.5 of the Credit Agreement) or, (B) if requested by Party A in the event of such full repayment or Collateral release, Party B shall not have executed an ISDA Credit Support Annex or arranged for other credit support on terms and conditions reasonably satisfactory to Party A.</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terms shall have the meanings set forth below for purposes of this Agreement: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means any collateral pledged to the Secured Parties under the Collateral Documents.</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Documents” means the Credit Agreement and the “Security Documents” as defined in the Credit Agreement.</w:t>
      </w:r>
    </w:p>
    <w:p>
      <w:pPr>
        <w:spacing w:after="0" w:line="90" w:lineRule="exact"/>
        <w:rPr>
          <w:sz w:val="20"/>
          <w:szCs w:val="20"/>
          <w:color w:val="auto"/>
        </w:rPr>
      </w:pPr>
    </w:p>
    <w:p>
      <w:pPr>
        <w:ind w:left="452" w:right="500" w:firstLine="438"/>
        <w:spacing w:after="0" w:line="268" w:lineRule="auto"/>
        <w:rPr>
          <w:sz w:val="20"/>
          <w:szCs w:val="20"/>
          <w:color w:val="auto"/>
        </w:rPr>
      </w:pPr>
      <w:r>
        <w:rPr>
          <w:rFonts w:ascii="Arial" w:cs="Arial" w:eastAsia="Arial" w:hAnsi="Arial"/>
          <w:sz w:val="18"/>
          <w:szCs w:val="18"/>
          <w:color w:val="auto"/>
        </w:rPr>
        <w:t>“Lender” means any lender under the Credit Agreement holding the most senior security interest in the Collateral relative to the other Secured Parties.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4" w:right="25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means any loan made by a Lender to a borrower under the Credit Agreement.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“Secured Party” means a secured party under the Collateral Documents.</w:t>
      </w:r>
    </w:p>
    <w:p>
      <w:pPr>
        <w:spacing w:after="0" w:line="84" w:lineRule="exact"/>
        <w:rPr>
          <w:sz w:val="20"/>
          <w:szCs w:val="20"/>
          <w:color w:val="auto"/>
        </w:rPr>
      </w:pPr>
    </w:p>
    <w:p>
      <w:pPr>
        <w:ind w:left="460" w:hanging="452"/>
        <w:spacing w:after="0" w:line="29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Calculation of Termination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6(d)(i) is amended to add the following at the end of such Section: “Each party making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shall, upon request, make available to the other party (and its Credit Support Provider, if applicable) such information used by it to make such calculation as may be reasonably necessary in order to enable the other party (or its Credit Support Provider) to independently confirm the accuracy of such calculation. Such information shall include, without limitation, the identity of any Reference Dealer, Reference Bank, Reference Market-maker or other source of any quotation and the details of the quotation provided by such dealer, bank or market-maker.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2. </w:t>
      </w:r>
      <w:r>
        <w:rPr>
          <w:rFonts w:ascii="Arial" w:cs="Arial" w:eastAsia="Arial" w:hAnsi="Arial"/>
          <w:sz w:val="18"/>
          <w:szCs w:val="18"/>
          <w:b w:val="1"/>
          <w:bCs w:val="1"/>
          <w:u w:val="single" w:color="auto"/>
          <w:color w:val="auto"/>
        </w:rPr>
        <w:t>Representations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20" w:hanging="452"/>
        <w:spacing w:after="0" w:line="27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Party A and Party B Payer Tax Representations. </w:t>
      </w:r>
      <w:r>
        <w:rPr>
          <w:rFonts w:ascii="Arial" w:cs="Arial" w:eastAsia="Arial" w:hAnsi="Arial"/>
          <w:sz w:val="18"/>
          <w:szCs w:val="18"/>
          <w:color w:val="auto"/>
        </w:rPr>
        <w:t>For the purpose of Section 3(e) of this Agreement, each of Party A and Party B makes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w:t>
      </w:r>
    </w:p>
    <w:p>
      <w:pPr>
        <w:spacing w:after="0" w:line="44" w:lineRule="exact"/>
        <w:rPr>
          <w:rFonts w:ascii="Arial" w:cs="Arial" w:eastAsia="Arial" w:hAnsi="Arial"/>
          <w:sz w:val="18"/>
          <w:szCs w:val="18"/>
          <w:color w:val="auto"/>
        </w:rPr>
      </w:pPr>
    </w:p>
    <w:p>
      <w:pPr>
        <w:ind w:left="460"/>
        <w:spacing w:after="0" w:line="289" w:lineRule="auto"/>
        <w:rPr>
          <w:rFonts w:ascii="Arial" w:cs="Arial" w:eastAsia="Arial" w:hAnsi="Arial"/>
          <w:sz w:val="18"/>
          <w:szCs w:val="18"/>
          <w:color w:val="auto"/>
        </w:rPr>
      </w:pPr>
      <w:r>
        <w:rPr>
          <w:rFonts w:ascii="Arial" w:cs="Arial" w:eastAsia="Arial" w:hAnsi="Arial"/>
          <w:sz w:val="16"/>
          <w:szCs w:val="16"/>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this Agreement) to be made by it to the other party under this Agreement. In making this representation, it may rely on: (i) the accuracy of any representations made by the other party pursuant to Section 3(f) of this Agreement; (ii) the satisfaction of the agreement contained in Sections 4(a)(i) or 4(a)(iii) of this Agreement and the accuracy and effectiveness of any document provided by the other party pursuant to Sections 4(a)(i) or 4(a)(iii) of this Agreement; and (iii) the satisfaction of the agreement of the other party contained in Section 4(d) of this Agreement, except that it will not be a breach of this representation where reliance is placed on clause (ii) and the other party does not deliver a form or document under Section 4(a)(iii) of this Agreement by reason of material prejudice to its legal or commercial position.</w:t>
      </w:r>
    </w:p>
    <w:p>
      <w:pPr>
        <w:spacing w:after="0" w:line="3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Party A and Party B Payee Tax Representations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100" w:firstLine="4"/>
        <w:spacing w:after="0" w:line="332" w:lineRule="auto"/>
        <w:tabs>
          <w:tab w:leader="none" w:pos="670" w:val="left"/>
        </w:tabs>
        <w:numPr>
          <w:ilvl w:val="1"/>
          <w:numId w:val="63"/>
        </w:numPr>
        <w:rPr>
          <w:rFonts w:ascii="Arial" w:cs="Arial" w:eastAsia="Arial" w:hAnsi="Arial"/>
          <w:sz w:val="16"/>
          <w:szCs w:val="16"/>
          <w:color w:val="auto"/>
        </w:rPr>
      </w:pPr>
      <w:r>
        <w:rPr>
          <w:rFonts w:ascii="Arial" w:cs="Arial" w:eastAsia="Arial" w:hAnsi="Arial"/>
          <w:sz w:val="16"/>
          <w:szCs w:val="16"/>
          <w:color w:val="auto"/>
        </w:rPr>
        <w:t>For the purpose of Section 3(f) of this Agreement, Party A makes the following representation: it is a U.S. corporation duly organized and incorporated under the laws of the State of Delaware and is an exempt recipient under Section 1.6049-4(c)(1)(ii) of the United States Treasury Regulations.</w:t>
      </w:r>
    </w:p>
    <w:p>
      <w:pPr>
        <w:spacing w:after="0" w:line="4" w:lineRule="exact"/>
        <w:rPr>
          <w:rFonts w:ascii="Arial" w:cs="Arial" w:eastAsia="Arial" w:hAnsi="Arial"/>
          <w:sz w:val="16"/>
          <w:szCs w:val="16"/>
          <w:color w:val="auto"/>
        </w:rPr>
      </w:pPr>
    </w:p>
    <w:p>
      <w:pPr>
        <w:ind w:left="460" w:right="500" w:firstLine="4"/>
        <w:spacing w:after="0" w:line="268" w:lineRule="auto"/>
        <w:tabs>
          <w:tab w:leader="none" w:pos="719"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the purpose of Section 3(f) of this Agreement, Party B makes the following representation: it is limited liability company duly organized and incorporated under the laws of the State of Delaware.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3. </w:t>
      </w:r>
      <w:r>
        <w:rPr>
          <w:rFonts w:ascii="Arial" w:cs="Arial" w:eastAsia="Arial" w:hAnsi="Arial"/>
          <w:sz w:val="18"/>
          <w:szCs w:val="18"/>
          <w:b w:val="1"/>
          <w:bCs w:val="1"/>
          <w:u w:val="single" w:color="auto"/>
          <w:color w:val="auto"/>
        </w:rPr>
        <w:t>Agreement to Deliver Documents</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Sections 4(a)(i) and (ii) of this Agreement, each party agrees to deliver the following documents, as applicable:</w:t>
      </w:r>
    </w:p>
    <w:p>
      <w:pPr>
        <w:spacing w:after="0" w:line="11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 forms, documents or certificates to be delivered are:</w:t>
      </w:r>
    </w:p>
    <w:p>
      <w:pPr>
        <w:sectPr>
          <w:pgSz w:w="11900" w:h="16838" w:orient="portrait"/>
          <w:cols w:equalWidth="0" w:num="1">
            <w:col w:w="11420"/>
          </w:cols>
          <w:pgMar w:left="240" w:top="274" w:right="239" w:bottom="1440" w:gutter="0" w:footer="0" w:header="0"/>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Party required</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b w:val="1"/>
                <w:bCs w:val="1"/>
                <w:color w:val="auto"/>
              </w:rPr>
              <w:t>to deliver</w:t>
            </w:r>
          </w:p>
        </w:tc>
        <w:tc>
          <w:tcPr>
            <w:tcW w:w="120" w:type="dxa"/>
            <w:vAlign w:val="bottom"/>
          </w:tcPr>
          <w:p>
            <w:pPr>
              <w:spacing w:after="0"/>
              <w:rPr>
                <w:sz w:val="12"/>
                <w:szCs w:val="12"/>
                <w:color w:val="auto"/>
              </w:rPr>
            </w:pPr>
          </w:p>
        </w:tc>
        <w:tc>
          <w:tcPr>
            <w:tcW w:w="5140" w:type="dxa"/>
            <w:vAlign w:val="bottom"/>
          </w:tcPr>
          <w:p>
            <w:pPr>
              <w:spacing w:after="0"/>
              <w:rPr>
                <w:sz w:val="12"/>
                <w:szCs w:val="12"/>
                <w:color w:val="auto"/>
              </w:rPr>
            </w:pPr>
          </w:p>
        </w:tc>
      </w:t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c>
          <w:tcPr>
            <w:tcW w:w="5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Form/Document/Certificate</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Party B</w:t>
            </w:r>
          </w:p>
        </w:tc>
        <w:tc>
          <w:tcPr>
            <w:tcW w:w="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An original executed United States Internal Revenue Service Form W-9</w:t>
            </w:r>
          </w:p>
        </w:tc>
      </w:tr>
      <w:tr>
        <w:trPr>
          <w:trHeight w:val="222"/>
        </w:trPr>
        <w:tc>
          <w:tcPr>
            <w:tcW w:w="1040" w:type="dxa"/>
            <w:vAlign w:val="bottom"/>
          </w:tcPr>
          <w:p>
            <w:pPr>
              <w:spacing w:after="0"/>
              <w:rPr>
                <w:sz w:val="19"/>
                <w:szCs w:val="19"/>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(or any successor thereto).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by which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3181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right="60" w:firstLine="10"/>
        <w:spacing w:after="0" w:line="255" w:lineRule="auto"/>
        <w:tabs>
          <w:tab w:leader="none" w:pos="2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the execution of this Agreement; (ii) promptly upon reasonable demand by Party A; and (iii) promptly upon any Form W-9 (or any successor thereto) previously provided by Party B becoming obsolete or incorrect, including on each January 1 following the execution of this Agreement.</w:t>
      </w:r>
    </w:p>
    <w:p>
      <w:pPr>
        <w:spacing w:after="0" w:line="183" w:lineRule="exact"/>
        <w:rPr>
          <w:sz w:val="20"/>
          <w:szCs w:val="20"/>
          <w:color w:val="auto"/>
        </w:rPr>
      </w:pPr>
    </w:p>
    <w:p>
      <w:pPr>
        <w:sectPr>
          <w:pgSz w:w="11900" w:h="16838" w:orient="portrait"/>
          <w:cols w:equalWidth="0" w:num="2">
            <w:col w:w="6300" w:space="100"/>
            <w:col w:w="5020"/>
          </w:cols>
          <w:pgMar w:left="240" w:top="274" w:right="239" w:bottom="1440" w:gutter="0" w:footer="0" w:header="0"/>
          <w:type w:val="continuous"/>
        </w:sect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documents to be delivered are: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b w:val="1"/>
                <w:bCs w:val="1"/>
                <w:color w:val="auto"/>
              </w:rPr>
              <w:t>Party required to</w:t>
            </w:r>
          </w:p>
        </w:tc>
        <w:tc>
          <w:tcPr>
            <w:tcW w:w="4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420" w:type="dxa"/>
            <w:vAlign w:val="bottom"/>
          </w:tcPr>
          <w:p>
            <w:pPr>
              <w:spacing w:after="0"/>
              <w:rPr>
                <w:sz w:val="15"/>
                <w:szCs w:val="15"/>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Form/Document/Certificate</w:t>
            </w:r>
          </w:p>
        </w:tc>
      </w:tr>
      <w:tr>
        <w:trPr>
          <w:trHeight w:val="195"/>
        </w:trPr>
        <w:tc>
          <w:tcPr>
            <w:tcW w:w="1580" w:type="dxa"/>
            <w:vAlign w:val="bottom"/>
          </w:tcPr>
          <w:p>
            <w:pPr>
              <w:spacing w:after="0" w:line="195" w:lineRule="exact"/>
              <w:rPr>
                <w:sz w:val="20"/>
                <w:szCs w:val="20"/>
                <w:color w:val="auto"/>
              </w:rPr>
            </w:pPr>
            <w:r>
              <w:rPr>
                <w:rFonts w:ascii="Arial" w:cs="Arial" w:eastAsia="Arial" w:hAnsi="Arial"/>
                <w:sz w:val="18"/>
                <w:szCs w:val="18"/>
                <w:color w:val="auto"/>
                <w:w w:val="98"/>
              </w:rPr>
              <w:t>Party A and Party B</w:t>
            </w:r>
          </w:p>
        </w:tc>
        <w:tc>
          <w:tcPr>
            <w:tcW w:w="4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4"/>
              </w:rPr>
              <w:t>Either (i) a signature booklet containing a secretary’s</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1"/>
              </w:rPr>
              <w:t>certificate and resolutions (“authorizing resolutions”) or</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(ii) other authority documentation, in either case, which</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(x) authorizes the party to enter into derivatives</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8"/>
              </w:rPr>
              <w:t>transactions of the type contemplated by the parties and</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2"/>
              </w:rPr>
              <w:t>(y) is reasonably satisfactory in form and substance to</w:t>
            </w:r>
          </w:p>
        </w:tc>
      </w:tr>
      <w:tr>
        <w:trPr>
          <w:trHeight w:val="222"/>
        </w:trPr>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 other party.</w:t>
            </w: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w w:val="98"/>
              </w:rPr>
              <w:t>Party A and Party B</w:t>
            </w:r>
          </w:p>
        </w:tc>
        <w:tc>
          <w:tcPr>
            <w:tcW w:w="4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2"/>
              </w:rPr>
              <w:t>Certified copies of documents evidencing each party’s</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capacity to execute this Agreement, each Confirmation</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and any Credit Support Document (if applicable) and to</w:t>
            </w:r>
          </w:p>
        </w:tc>
      </w:tr>
      <w:tr>
        <w:trPr>
          <w:trHeight w:val="222"/>
        </w:trPr>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perform its obligations hereunder and thereunder.</w:t>
            </w: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w w:val="98"/>
              </w:rPr>
              <w:t>Party A and Party B</w:t>
            </w:r>
          </w:p>
        </w:tc>
        <w:tc>
          <w:tcPr>
            <w:tcW w:w="4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9"/>
              </w:rPr>
              <w:t>A copy of the annual report of such party (in the case of</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Party A, in respect of Morgan Stanley) containing</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9"/>
              </w:rPr>
              <w:t>audited consolidated financial statements for each such</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fiscal year, certified by independent certified public</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9"/>
              </w:rPr>
              <w:t>accountants and prepared in accordance with generally</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2"/>
              </w:rPr>
              <w:t>accepted accounting principles in the country in which</w:t>
            </w:r>
          </w:p>
        </w:tc>
      </w:tr>
      <w:tr>
        <w:trPr>
          <w:trHeight w:val="222"/>
        </w:trPr>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such party is organized.</w:t>
            </w:r>
          </w:p>
        </w:tc>
      </w:tr>
      <w:tr>
        <w:trPr>
          <w:trHeight w:val="581"/>
        </w:trPr>
        <w:tc>
          <w:tcPr>
            <w:tcW w:w="1580" w:type="dxa"/>
            <w:vAlign w:val="bottom"/>
          </w:tcPr>
          <w:p>
            <w:pPr>
              <w:spacing w:after="0"/>
              <w:rPr>
                <w:sz w:val="24"/>
                <w:szCs w:val="24"/>
                <w:color w:val="auto"/>
              </w:rPr>
            </w:pPr>
          </w:p>
        </w:tc>
        <w:tc>
          <w:tcPr>
            <w:tcW w:w="4400" w:type="dxa"/>
            <w:vAlign w:val="bottom"/>
            <w:gridSpan w:val="2"/>
          </w:tcPr>
          <w:p>
            <w:pPr>
              <w:jc w:val="right"/>
              <w:ind w:right="93"/>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Covered by</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Date by which to be delivered</w:t>
            </w:r>
          </w:p>
        </w:tc>
        <w:tc>
          <w:tcPr>
            <w:tcW w:w="4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rPr>
              <w:t>Section 3(d)</w:t>
            </w:r>
          </w:p>
        </w:tc>
        <w:tc>
          <w:tcPr>
            <w:tcW w:w="0" w:type="dxa"/>
            <w:vAlign w:val="bottom"/>
          </w:tcPr>
          <w:p>
            <w:pPr>
              <w:spacing w:after="0"/>
              <w:rPr>
                <w:sz w:val="1"/>
                <w:szCs w:val="1"/>
                <w:color w:val="auto"/>
              </w:rPr>
            </w:pPr>
          </w:p>
        </w:tc>
      </w:tr>
      <w:tr>
        <w:trPr>
          <w:trHeight w:val="161"/>
        </w:trPr>
        <w:tc>
          <w:tcPr>
            <w:tcW w:w="372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Representation</w:t>
            </w:r>
          </w:p>
        </w:tc>
        <w:tc>
          <w:tcPr>
            <w:tcW w:w="0" w:type="dxa"/>
            <w:vAlign w:val="bottom"/>
          </w:tcPr>
          <w:p>
            <w:pPr>
              <w:spacing w:after="0"/>
              <w:rPr>
                <w:sz w:val="1"/>
                <w:szCs w:val="1"/>
                <w:color w:val="auto"/>
              </w:rPr>
            </w:pPr>
          </w:p>
        </w:tc>
      </w:tr>
      <w:tr>
        <w:trPr>
          <w:trHeight w:val="201"/>
        </w:trPr>
        <w:tc>
          <w:tcPr>
            <w:tcW w:w="3720" w:type="dxa"/>
            <w:vAlign w:val="bottom"/>
          </w:tcPr>
          <w:p>
            <w:pPr>
              <w:spacing w:after="0" w:line="201" w:lineRule="exact"/>
              <w:rPr>
                <w:sz w:val="20"/>
                <w:szCs w:val="20"/>
                <w:color w:val="auto"/>
              </w:rPr>
            </w:pPr>
            <w:r>
              <w:rPr>
                <w:rFonts w:ascii="Arial" w:cs="Arial" w:eastAsia="Arial" w:hAnsi="Arial"/>
                <w:sz w:val="18"/>
                <w:szCs w:val="18"/>
                <w:color w:val="auto"/>
                <w:w w:val="92"/>
              </w:rPr>
              <w:t>Upon execution of this Agreement and as deemed</w:t>
            </w:r>
          </w:p>
        </w:tc>
        <w:tc>
          <w:tcPr>
            <w:tcW w:w="4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necessary for any future Transaction.</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As soon as practicable after the execution of this</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ind w:right="1620"/>
        <w:spacing w:after="0" w:line="323" w:lineRule="auto"/>
        <w:rPr>
          <w:sz w:val="20"/>
          <w:szCs w:val="20"/>
          <w:color w:val="auto"/>
        </w:rPr>
      </w:pPr>
      <w:r>
        <w:rPr>
          <w:rFonts w:ascii="Arial" w:cs="Arial" w:eastAsia="Arial" w:hAnsi="Arial"/>
          <w:sz w:val="16"/>
          <w:szCs w:val="16"/>
          <w:color w:val="auto"/>
        </w:rPr>
        <w:t>Agreement, and, with respect to a Confirmation, upon the other party’s request.</w:t>
      </w:r>
    </w:p>
    <w:p>
      <w:pPr>
        <w:spacing w:after="0" w:line="255"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As soon as practicable after the execution of this</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ind w:right="1300"/>
        <w:spacing w:after="0" w:line="288" w:lineRule="auto"/>
        <w:rPr>
          <w:sz w:val="20"/>
          <w:szCs w:val="20"/>
          <w:color w:val="auto"/>
        </w:rPr>
      </w:pPr>
      <w:r>
        <w:rPr>
          <w:rFonts w:ascii="Arial" w:cs="Arial" w:eastAsia="Arial" w:hAnsi="Arial"/>
          <w:sz w:val="16"/>
          <w:szCs w:val="16"/>
          <w:color w:val="auto"/>
        </w:rPr>
        <w:t>Agreement and also within 120 calendar days after the end of each fiscal year while there are any obligations outstanding under this Agreement; provided that the foregoing delivery obligation of Party B shall be deemed to be satisfied for so long as Morgan Stanley Senior Funding, Inc. is a Lender (each term as defined in the Credit Agreement)..</w:t>
      </w:r>
    </w:p>
    <w:p>
      <w:pPr>
        <w:sectPr>
          <w:pgSz w:w="11900" w:h="16838" w:orient="portrait"/>
          <w:cols w:equalWidth="0" w:num="2">
            <w:col w:w="5980" w:space="420"/>
            <w:col w:w="5020"/>
          </w:cols>
          <w:pgMar w:left="240" w:top="274" w:right="239" w:bottom="1440" w:gutter="0" w:footer="0" w:header="0"/>
          <w:type w:val="continuous"/>
        </w:sectPr>
      </w:pPr>
    </w:p>
    <w:bookmarkStart w:id="58" w:name="page59"/>
    <w:bookmarkEnd w:id="58"/>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20"/>
                <w:szCs w:val="20"/>
                <w:color w:val="auto"/>
              </w:rPr>
            </w:pPr>
            <w:r>
              <w:rPr>
                <w:rFonts w:ascii="Arial" w:cs="Arial" w:eastAsia="Arial" w:hAnsi="Arial"/>
                <w:sz w:val="14"/>
                <w:szCs w:val="14"/>
                <w:b w:val="1"/>
                <w:bCs w:val="1"/>
                <w:color w:val="auto"/>
              </w:rPr>
              <w:t>Party required to</w:t>
            </w:r>
          </w:p>
        </w:tc>
        <w:tc>
          <w:tcPr>
            <w:tcW w:w="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18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4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Arial" w:cs="Arial" w:eastAsia="Arial" w:hAnsi="Arial"/>
                <w:sz w:val="14"/>
                <w:szCs w:val="14"/>
                <w:b w:val="1"/>
                <w:bCs w:val="1"/>
                <w:color w:val="auto"/>
              </w:rPr>
              <w:t>Form/Document/Certificate</w:t>
            </w:r>
          </w:p>
        </w:tc>
        <w:tc>
          <w:tcPr>
            <w:tcW w:w="4160" w:type="dxa"/>
            <w:vAlign w:val="bottom"/>
            <w:gridSpan w:val="2"/>
          </w:tcPr>
          <w:p>
            <w:pPr>
              <w:ind w:left="400"/>
              <w:spacing w:after="0"/>
              <w:rPr>
                <w:sz w:val="20"/>
                <w:szCs w:val="20"/>
                <w:color w:val="auto"/>
              </w:rPr>
            </w:pPr>
            <w:r>
              <w:rPr>
                <w:rFonts w:ascii="Arial" w:cs="Arial" w:eastAsia="Arial" w:hAnsi="Arial"/>
                <w:sz w:val="14"/>
                <w:szCs w:val="14"/>
                <w:b w:val="1"/>
                <w:bCs w:val="1"/>
                <w:color w:val="auto"/>
              </w:rPr>
              <w:t>Date by which to be delivered</w:t>
            </w: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color w:val="auto"/>
              </w:rPr>
              <w:t>Party A</w:t>
            </w:r>
          </w:p>
        </w:tc>
        <w:tc>
          <w:tcPr>
            <w:tcW w:w="4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 duly executed copy of the Credit Support Document</w:t>
            </w:r>
          </w:p>
        </w:tc>
        <w:tc>
          <w:tcPr>
            <w:tcW w:w="40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As soon as practicable after the execution of this</w:t>
            </w:r>
          </w:p>
        </w:tc>
      </w:tr>
      <w:tr>
        <w:trPr>
          <w:trHeight w:val="222"/>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specified in Part 4 of this Schedule.</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Agreement.</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4.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Addresses for Notices. </w:t>
      </w:r>
      <w:r>
        <w:rPr>
          <w:rFonts w:ascii="Arial" w:cs="Arial" w:eastAsia="Arial" w:hAnsi="Arial"/>
          <w:sz w:val="18"/>
          <w:szCs w:val="18"/>
          <w:color w:val="auto"/>
        </w:rPr>
        <w:t>For the purpose of Section 12(a) of this Agreement:</w:t>
      </w:r>
    </w:p>
    <w:p>
      <w:pPr>
        <w:spacing w:after="0" w:line="9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Address for notices or communications to Party 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MORGAN STANLEY CAPITAL SERVICES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10036-8293</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1260" w:type="dxa"/>
            <w:vAlign w:val="bottom"/>
          </w:tcPr>
          <w:p>
            <w:pPr>
              <w:spacing w:after="0"/>
              <w:rPr>
                <w:sz w:val="20"/>
                <w:szCs w:val="20"/>
                <w:color w:val="auto"/>
              </w:rPr>
            </w:pPr>
            <w:r>
              <w:rPr>
                <w:rFonts w:ascii="Arial" w:cs="Arial" w:eastAsia="Arial" w:hAnsi="Arial"/>
                <w:sz w:val="18"/>
                <w:szCs w:val="18"/>
                <w:color w:val="auto"/>
              </w:rPr>
              <w:t>Attention:</w:t>
            </w:r>
          </w:p>
        </w:tc>
        <w:tc>
          <w:tcPr>
            <w:tcW w:w="2080" w:type="dxa"/>
            <w:vAlign w:val="bottom"/>
          </w:tcPr>
          <w:p>
            <w:pPr>
              <w:ind w:left="200"/>
              <w:spacing w:after="0"/>
              <w:rPr>
                <w:sz w:val="20"/>
                <w:szCs w:val="20"/>
                <w:color w:val="auto"/>
              </w:rPr>
            </w:pPr>
            <w:r>
              <w:rPr>
                <w:rFonts w:ascii="Arial" w:cs="Arial" w:eastAsia="Arial" w:hAnsi="Arial"/>
                <w:sz w:val="18"/>
                <w:szCs w:val="18"/>
                <w:color w:val="auto"/>
                <w:w w:val="92"/>
              </w:rPr>
              <w:t>CHIEF LEGAL OFFICER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Telephone No.:</w:t>
            </w:r>
          </w:p>
        </w:tc>
        <w:tc>
          <w:tcPr>
            <w:tcW w:w="2080" w:type="dxa"/>
            <w:vAlign w:val="bottom"/>
          </w:tcPr>
          <w:p>
            <w:pPr>
              <w:ind w:left="200"/>
              <w:spacing w:after="0"/>
              <w:rPr>
                <w:sz w:val="20"/>
                <w:szCs w:val="20"/>
                <w:color w:val="auto"/>
              </w:rPr>
            </w:pPr>
            <w:r>
              <w:rPr>
                <w:rFonts w:ascii="Arial" w:cs="Arial" w:eastAsia="Arial" w:hAnsi="Arial"/>
                <w:sz w:val="18"/>
                <w:szCs w:val="18"/>
                <w:color w:val="auto"/>
              </w:rPr>
              <w:t>+1 212 761 4000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Facsimile No.:</w:t>
            </w:r>
          </w:p>
        </w:tc>
        <w:tc>
          <w:tcPr>
            <w:tcW w:w="2080" w:type="dxa"/>
            <w:vAlign w:val="bottom"/>
          </w:tcPr>
          <w:p>
            <w:pPr>
              <w:ind w:left="200"/>
              <w:spacing w:after="0"/>
              <w:rPr>
                <w:sz w:val="20"/>
                <w:szCs w:val="20"/>
                <w:color w:val="auto"/>
              </w:rPr>
            </w:pPr>
            <w:r>
              <w:rPr>
                <w:rFonts w:ascii="Arial" w:cs="Arial" w:eastAsia="Arial" w:hAnsi="Arial"/>
                <w:sz w:val="18"/>
                <w:szCs w:val="18"/>
                <w:color w:val="auto"/>
              </w:rPr>
              <w:t>+1 212 507 4622</w:t>
            </w:r>
          </w:p>
        </w:tc>
      </w:tr>
    </w:tbl>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States taxpayer identification number: 13-3292567.</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Address for notices or communications to Party B:</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9110 East Nichols Avenue, Suite 200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Centennial, CO 80112-3405</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Gary Ferrera and David Oddo</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303-792-8668</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303-792-3600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Ralph E. Hardy, General Counsel</w:t>
      </w:r>
    </w:p>
    <w:p>
      <w:pPr>
        <w:spacing w:after="0" w:line="9" w:lineRule="exact"/>
        <w:rPr>
          <w:sz w:val="20"/>
          <w:szCs w:val="20"/>
          <w:color w:val="auto"/>
        </w:rPr>
      </w:pPr>
    </w:p>
    <w:p>
      <w:pPr>
        <w:ind w:left="920"/>
        <w:spacing w:after="0"/>
        <w:tabs>
          <w:tab w:leader="none" w:pos="196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303-792-8649</w:t>
      </w:r>
    </w:p>
    <w:p>
      <w:pPr>
        <w:spacing w:after="0" w:line="9" w:lineRule="exact"/>
        <w:rPr>
          <w:sz w:val="20"/>
          <w:szCs w:val="20"/>
          <w:color w:val="auto"/>
        </w:rPr>
      </w:pPr>
    </w:p>
    <w:p>
      <w:pPr>
        <w:ind w:left="920"/>
        <w:spacing w:after="0"/>
        <w:tabs>
          <w:tab w:leader="none" w:pos="19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303-792-3600</w:t>
      </w:r>
    </w:p>
    <w:p>
      <w:pPr>
        <w:spacing w:after="0" w:line="19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Process Agent. </w:t>
      </w:r>
      <w:r>
        <w:rPr>
          <w:rFonts w:ascii="Arial" w:cs="Arial" w:eastAsia="Arial" w:hAnsi="Arial"/>
          <w:sz w:val="18"/>
          <w:szCs w:val="18"/>
          <w:color w:val="auto"/>
        </w:rPr>
        <w:t>For the purpose of Section 13(c) of this Agreement:</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Party A irrevocably appoints as its Process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MORGAN STANLEY CAPITAL SERVICES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10036-8293</w:t>
      </w:r>
    </w:p>
    <w:p>
      <w:pPr>
        <w:spacing w:after="0" w:line="9" w:lineRule="exact"/>
        <w:rPr>
          <w:sz w:val="20"/>
          <w:szCs w:val="20"/>
          <w:color w:val="auto"/>
        </w:rPr>
      </w:pPr>
    </w:p>
    <w:p>
      <w:pPr>
        <w:ind w:left="920"/>
        <w:spacing w:after="0"/>
        <w:tabs>
          <w:tab w:leader="none" w:pos="23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CHIEF LEGAL OFFICER</w:t>
      </w:r>
    </w:p>
    <w:p>
      <w:pPr>
        <w:spacing w:after="0" w:line="205" w:lineRule="exact"/>
        <w:rPr>
          <w:sz w:val="20"/>
          <w:szCs w:val="20"/>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Party B does not appoint a Process Agent.</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Offices</w:t>
      </w:r>
      <w:r>
        <w:rPr>
          <w:rFonts w:ascii="Arial" w:cs="Arial" w:eastAsia="Arial" w:hAnsi="Arial"/>
          <w:sz w:val="18"/>
          <w:szCs w:val="18"/>
          <w:color w:val="auto"/>
        </w:rPr>
        <w:t>. The provisions of Section 10(a) of this Agreement will apply to Party A and to Party B.</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2"/>
          <w:szCs w:val="12"/>
          <w:b w:val="1"/>
          <w:bCs w:val="1"/>
          <w:color w:val="auto"/>
        </w:rPr>
        <w:t xml:space="preserve">Covered by Section 3(d) </w:t>
      </w:r>
      <w:r>
        <w:rPr>
          <w:rFonts w:ascii="Arial" w:cs="Arial" w:eastAsia="Arial" w:hAnsi="Arial"/>
          <w:sz w:val="12"/>
          <w:szCs w:val="12"/>
          <w:b w:val="1"/>
          <w:bCs w:val="1"/>
          <w:u w:val="single" w:color="auto"/>
          <w:color w:val="auto"/>
        </w:rPr>
        <w:t>Representation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ectPr>
          <w:pgSz w:w="11900" w:h="16838" w:orient="portrait"/>
          <w:cols w:equalWidth="0" w:num="2">
            <w:col w:w="10120" w:space="420"/>
            <w:col w:w="880"/>
          </w:cols>
          <w:pgMar w:left="240" w:top="275" w:right="239" w:bottom="1440" w:gutter="0" w:footer="0" w:header="0"/>
        </w:sectPr>
      </w:pPr>
    </w:p>
    <w:bookmarkStart w:id="59" w:name="page60"/>
    <w:bookmarkEnd w:id="59"/>
    <w:p>
      <w:pPr>
        <w:ind w:left="452" w:hanging="452"/>
        <w:spacing w:after="0"/>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Multibranch Party</w:t>
      </w:r>
      <w:r>
        <w:rPr>
          <w:rFonts w:ascii="Arial" w:cs="Arial" w:eastAsia="Arial" w:hAnsi="Arial"/>
          <w:sz w:val="18"/>
          <w:szCs w:val="18"/>
          <w:color w:val="auto"/>
        </w:rPr>
        <w:t>. For the purpose of Section 10(c) of this Agreement:</w:t>
      </w:r>
    </w:p>
    <w:p>
      <w:pPr>
        <w:spacing w:after="0" w:line="96" w:lineRule="exact"/>
        <w:rPr>
          <w:rFonts w:ascii="Arial" w:cs="Arial" w:eastAsia="Arial" w:hAnsi="Arial"/>
          <w:sz w:val="18"/>
          <w:szCs w:val="18"/>
          <w:color w:val="auto"/>
        </w:rPr>
      </w:pPr>
    </w:p>
    <w:p>
      <w:pPr>
        <w:jc w:val="both"/>
        <w:ind w:left="452" w:right="8460"/>
        <w:spacing w:after="0" w:line="330" w:lineRule="auto"/>
        <w:rPr>
          <w:rFonts w:ascii="Arial" w:cs="Arial" w:eastAsia="Arial" w:hAnsi="Arial"/>
          <w:sz w:val="18"/>
          <w:szCs w:val="18"/>
          <w:color w:val="auto"/>
        </w:rPr>
      </w:pPr>
      <w:r>
        <w:rPr>
          <w:rFonts w:ascii="Arial" w:cs="Arial" w:eastAsia="Arial" w:hAnsi="Arial"/>
          <w:sz w:val="16"/>
          <w:szCs w:val="16"/>
          <w:color w:val="auto"/>
        </w:rPr>
        <w:t>Party A is not a Multibranch Party. Party B is not a Multibranch Party.</w:t>
      </w:r>
    </w:p>
    <w:p>
      <w:pPr>
        <w:spacing w:after="0" w:line="1" w:lineRule="exact"/>
        <w:rPr>
          <w:sz w:val="20"/>
          <w:szCs w:val="20"/>
          <w:color w:val="auto"/>
        </w:rPr>
      </w:pPr>
    </w:p>
    <w:p>
      <w:pPr>
        <w:ind w:left="1472" w:hanging="567"/>
        <w:spacing w:after="0" w:line="275" w:lineRule="auto"/>
        <w:tabs>
          <w:tab w:leader="none" w:pos="1472"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“Calculation Agent”</w:t>
      </w:r>
      <w:r>
        <w:rPr>
          <w:rFonts w:ascii="Arial" w:cs="Arial" w:eastAsia="Arial" w:hAnsi="Arial"/>
          <w:sz w:val="18"/>
          <w:szCs w:val="18"/>
          <w:color w:val="auto"/>
        </w:rPr>
        <w:t xml:space="preserve"> means Party A. All calculations and determinations made by the Calculation Agent shall be made in good faith and a commercially reasonable manner.</w:t>
      </w:r>
    </w:p>
    <w:p>
      <w:pPr>
        <w:spacing w:after="0" w:line="38" w:lineRule="exact"/>
        <w:rPr>
          <w:rFonts w:ascii="Arial" w:cs="Arial" w:eastAsia="Arial" w:hAnsi="Arial"/>
          <w:sz w:val="18"/>
          <w:szCs w:val="18"/>
          <w:color w:val="auto"/>
        </w:rPr>
      </w:pPr>
    </w:p>
    <w:p>
      <w:pPr>
        <w:ind w:left="452" w:right="60" w:hanging="452"/>
        <w:spacing w:after="0" w:line="255"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“Credit Support Document” </w:t>
      </w:r>
      <w:r>
        <w:rPr>
          <w:rFonts w:ascii="Arial" w:cs="Arial" w:eastAsia="Arial" w:hAnsi="Arial"/>
          <w:sz w:val="18"/>
          <w:szCs w:val="18"/>
          <w:color w:val="auto"/>
        </w:rPr>
        <w:t>means, for Party A, any credit support annex, any Confirmation and any other document, any of which by its terms secures,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guarantees or otherwise supports such party’s obligations under this Agreement, including, but not limited to, the guarantee of Morgan Stanley; and, in the case of Party B, any credit support annex, any Confirmation and any other document, any of which by its terms secures, guarantees or otherwise supports such party’s obligations under this Agreement, including, but not limited to, the Credit Agreement and the Collateral Documents, including but not limited to that certain Guarantee and Collateral Agreement and the Mortgages (as such terms are defined in the Credit Agreement) (collectively, the </w:t>
      </w:r>
      <w:r>
        <w:rPr>
          <w:rFonts w:ascii="Arial" w:cs="Arial" w:eastAsia="Arial" w:hAnsi="Arial"/>
          <w:sz w:val="18"/>
          <w:szCs w:val="18"/>
          <w:b w:val="1"/>
          <w:bCs w:val="1"/>
          <w:color w:val="auto"/>
        </w:rPr>
        <w:t>“Party B</w:t>
      </w:r>
      <w:r>
        <w:rPr>
          <w:rFonts w:ascii="Arial" w:cs="Arial" w:eastAsia="Arial" w:hAnsi="Arial"/>
          <w:sz w:val="18"/>
          <w:szCs w:val="18"/>
          <w:color w:val="auto"/>
        </w:rPr>
        <w:t xml:space="preserve"> </w:t>
      </w:r>
      <w:r>
        <w:rPr>
          <w:rFonts w:ascii="Arial" w:cs="Arial" w:eastAsia="Arial" w:hAnsi="Arial"/>
          <w:sz w:val="18"/>
          <w:szCs w:val="18"/>
          <w:b w:val="1"/>
          <w:bCs w:val="1"/>
          <w:color w:val="auto"/>
        </w:rPr>
        <w:t>CSD”</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“Credit Support Provider” </w:t>
      </w:r>
      <w:r>
        <w:rPr>
          <w:rFonts w:ascii="Arial" w:cs="Arial" w:eastAsia="Arial" w:hAnsi="Arial"/>
          <w:sz w:val="18"/>
          <w:szCs w:val="18"/>
          <w:color w:val="auto"/>
        </w:rPr>
        <w:t>means in relation to Party A: Morgan Stanley, a Delaware company.</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“Credit Support Provider” </w:t>
      </w:r>
      <w:r>
        <w:rPr>
          <w:rFonts w:ascii="Arial" w:cs="Arial" w:eastAsia="Arial" w:hAnsi="Arial"/>
          <w:sz w:val="18"/>
          <w:szCs w:val="18"/>
          <w:color w:val="auto"/>
        </w:rPr>
        <w:t>means in relation to Party B: Any party executing or delivering any Party B CSD.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Jurisdiction. </w:t>
      </w:r>
      <w:r>
        <w:rPr>
          <w:rFonts w:ascii="Arial" w:cs="Arial" w:eastAsia="Arial" w:hAnsi="Arial"/>
          <w:sz w:val="18"/>
          <w:szCs w:val="18"/>
          <w:color w:val="auto"/>
        </w:rPr>
        <w:t>Sections 13(a) and (b) of the Agreement shall be deleted and replaced with the following:</w:t>
      </w:r>
    </w:p>
    <w:p>
      <w:pPr>
        <w:spacing w:after="0" w:line="90" w:lineRule="exact"/>
        <w:rPr>
          <w:rFonts w:ascii="Arial" w:cs="Arial" w:eastAsia="Arial" w:hAnsi="Arial"/>
          <w:sz w:val="18"/>
          <w:szCs w:val="18"/>
          <w:color w:val="auto"/>
        </w:rPr>
      </w:pPr>
    </w:p>
    <w:p>
      <w:pPr>
        <w:ind w:left="452" w:right="4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will be governed by and construed in accordance with the laws of the State of New York (without reference to choice of law doctrine other than Sect. 5-1401 of</w:t>
      </w:r>
    </w:p>
    <w:p>
      <w:pPr>
        <w:spacing w:after="0" w:line="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NY General Obligation Law).</w:t>
      </w:r>
    </w:p>
    <w:p>
      <w:pPr>
        <w:spacing w:after="0" w:line="77" w:lineRule="exact"/>
        <w:rPr>
          <w:rFonts w:ascii="Arial" w:cs="Arial" w:eastAsia="Arial" w:hAnsi="Arial"/>
          <w:sz w:val="18"/>
          <w:szCs w:val="18"/>
          <w:color w:val="auto"/>
        </w:rPr>
      </w:pPr>
    </w:p>
    <w:p>
      <w:pPr>
        <w:ind w:left="452" w:right="1160" w:firstLine="4"/>
        <w:spacing w:after="0" w:line="275" w:lineRule="auto"/>
        <w:tabs>
          <w:tab w:leader="none" w:pos="701"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 With respect to any suit, action or proceedings relating to any dispute arising out of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each party:</w:t>
      </w:r>
    </w:p>
    <w:p>
      <w:pPr>
        <w:spacing w:after="0" w:line="44" w:lineRule="exact"/>
        <w:rPr>
          <w:rFonts w:ascii="Arial" w:cs="Arial" w:eastAsia="Arial" w:hAnsi="Arial"/>
          <w:sz w:val="18"/>
          <w:szCs w:val="18"/>
          <w:color w:val="auto"/>
        </w:rPr>
      </w:pPr>
    </w:p>
    <w:p>
      <w:pPr>
        <w:ind w:left="912" w:right="600" w:firstLine="1"/>
        <w:spacing w:after="0" w:line="268" w:lineRule="auto"/>
        <w:tabs>
          <w:tab w:leader="none" w:pos="1122" w:val="left"/>
        </w:tabs>
        <w:numPr>
          <w:ilvl w:val="2"/>
          <w:numId w:val="75"/>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courts of the State of New York and the United States District Court located in the Borough of Manhattan in New York City of the State of New York; and</w:t>
      </w:r>
    </w:p>
    <w:p>
      <w:pPr>
        <w:spacing w:after="0" w:line="50" w:lineRule="exact"/>
        <w:rPr>
          <w:rFonts w:ascii="Arial" w:cs="Arial" w:eastAsia="Arial" w:hAnsi="Arial"/>
          <w:sz w:val="18"/>
          <w:szCs w:val="18"/>
          <w:color w:val="auto"/>
        </w:rPr>
      </w:pPr>
    </w:p>
    <w:p>
      <w:pPr>
        <w:ind w:left="912" w:right="140" w:firstLine="1"/>
        <w:spacing w:after="0" w:line="259" w:lineRule="auto"/>
        <w:tabs>
          <w:tab w:leader="none" w:pos="1170" w:val="left"/>
        </w:tabs>
        <w:numPr>
          <w:ilvl w:val="2"/>
          <w:numId w:val="76"/>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spacing w:after="0" w:line="53" w:lineRule="exact"/>
        <w:rPr>
          <w:rFonts w:ascii="Arial" w:cs="Arial" w:eastAsia="Arial" w:hAnsi="Arial"/>
          <w:sz w:val="18"/>
          <w:szCs w:val="18"/>
          <w:color w:val="auto"/>
        </w:rPr>
      </w:pPr>
    </w:p>
    <w:p>
      <w:pPr>
        <w:ind w:left="452" w:right="40" w:hanging="452"/>
        <w:spacing w:after="0" w:line="275"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Waiver of Jury Trial. Each party waives, to the fullest extent permitted by applicable law, any right it may have to a trial by jury in respect of any Proceedings relating to this Agreement or any Credit Support Document.</w:t>
      </w:r>
    </w:p>
    <w:p>
      <w:pPr>
        <w:spacing w:after="0" w:line="38" w:lineRule="exact"/>
        <w:rPr>
          <w:rFonts w:ascii="Arial" w:cs="Arial" w:eastAsia="Arial" w:hAnsi="Arial"/>
          <w:sz w:val="18"/>
          <w:szCs w:val="18"/>
          <w:color w:val="auto"/>
        </w:rPr>
      </w:pPr>
    </w:p>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Netting of Payments. </w:t>
      </w:r>
      <w:r>
        <w:rPr>
          <w:rFonts w:ascii="Arial" w:cs="Arial" w:eastAsia="Arial" w:hAnsi="Arial"/>
          <w:sz w:val="18"/>
          <w:szCs w:val="18"/>
          <w:color w:val="auto"/>
        </w:rPr>
        <w:t>Subparagraph (ii) of Section 2(c) of this Agreement will not apply to all Transactions under this Agreement.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has the meaning specified in Section 14 of this Agreement, but excludes Morgan Stanley Derivative Products Inc.</w:t>
      </w:r>
    </w:p>
    <w:p>
      <w:pPr>
        <w:spacing w:after="0" w:line="90" w:lineRule="exact"/>
        <w:rPr>
          <w:rFonts w:ascii="Arial" w:cs="Arial" w:eastAsia="Arial" w:hAnsi="Arial"/>
          <w:sz w:val="18"/>
          <w:szCs w:val="18"/>
          <w:color w:val="auto"/>
        </w:rPr>
      </w:pPr>
    </w:p>
    <w:p>
      <w:pPr>
        <w:ind w:left="452" w:right="80" w:hanging="452"/>
        <w:spacing w:after="0" w:line="275"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Absence of Litigation. </w:t>
      </w:r>
      <w:r>
        <w:rPr>
          <w:rFonts w:ascii="Arial" w:cs="Arial" w:eastAsia="Arial" w:hAnsi="Arial"/>
          <w:sz w:val="18"/>
          <w:szCs w:val="18"/>
          <w:color w:val="auto"/>
        </w:rPr>
        <w:t>For the purpose of Section 3(c) of this Agreement, “Affiliates” shall mean (i) all Affiliates, in relation to Party A, and (ii)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CineMedia, Inc. only, in relation to Party B.</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72"/>
          </w:cols>
          <w:pgMar w:left="248" w:top="274" w:right="279" w:bottom="1440" w:gutter="0" w:footer="0" w:header="0"/>
        </w:sectPr>
      </w:pPr>
    </w:p>
    <w:bookmarkStart w:id="60" w:name="page61"/>
    <w:bookmarkEnd w:id="60"/>
    <w:p>
      <w:pPr>
        <w:ind w:left="452" w:right="920" w:hanging="452"/>
        <w:spacing w:after="0" w:line="275"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Additional Representation </w:t>
      </w:r>
      <w:r>
        <w:rPr>
          <w:rFonts w:ascii="Arial" w:cs="Arial" w:eastAsia="Arial" w:hAnsi="Arial"/>
          <w:sz w:val="18"/>
          <w:szCs w:val="18"/>
          <w:color w:val="auto"/>
        </w:rPr>
        <w:t>will apply. For the purpose of Section 3 of this Agreement the following Section 3(h) will constitute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w:t>
      </w:r>
    </w:p>
    <w:p>
      <w:pPr>
        <w:spacing w:after="0" w:line="38" w:lineRule="exact"/>
        <w:rPr>
          <w:rFonts w:ascii="Arial" w:cs="Arial" w:eastAsia="Arial" w:hAnsi="Arial"/>
          <w:sz w:val="18"/>
          <w:szCs w:val="18"/>
          <w:color w:val="auto"/>
        </w:rPr>
      </w:pPr>
    </w:p>
    <w:p>
      <w:pPr>
        <w:ind w:left="452" w:right="80"/>
        <w:spacing w:after="0" w:line="334" w:lineRule="auto"/>
        <w:rPr>
          <w:rFonts w:ascii="Arial" w:cs="Arial" w:eastAsia="Arial" w:hAnsi="Arial"/>
          <w:sz w:val="18"/>
          <w:szCs w:val="18"/>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Relationship Between Parties.</w:t>
      </w:r>
      <w:r>
        <w:rPr>
          <w:rFonts w:ascii="Arial" w:cs="Arial" w:eastAsia="Arial" w:hAnsi="Arial"/>
          <w:sz w:val="16"/>
          <w:szCs w:val="16"/>
          <w:color w:val="auto"/>
        </w:rPr>
        <w:t xml:space="preserve"> Each party will be deemed to represent to the other party on the date on which it enters into a Transaction that (absent a written agreement between the parties that expressly imposes affirmative obligations to the contrary for that Transaction):</w:t>
      </w:r>
    </w:p>
    <w:p>
      <w:pPr>
        <w:spacing w:after="0" w:line="1" w:lineRule="exact"/>
        <w:rPr>
          <w:rFonts w:ascii="Arial" w:cs="Arial" w:eastAsia="Arial" w:hAnsi="Arial"/>
          <w:sz w:val="18"/>
          <w:szCs w:val="18"/>
          <w:color w:val="auto"/>
        </w:rPr>
      </w:pPr>
    </w:p>
    <w:p>
      <w:pPr>
        <w:ind w:left="912" w:firstLine="1"/>
        <w:spacing w:after="0" w:line="293" w:lineRule="auto"/>
        <w:tabs>
          <w:tab w:leader="none" w:pos="1160" w:val="left"/>
        </w:tabs>
        <w:numPr>
          <w:ilvl w:val="2"/>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Non-Reliance. </w:t>
      </w:r>
      <w:r>
        <w:rPr>
          <w:rFonts w:ascii="Arial" w:cs="Arial" w:eastAsia="Arial" w:hAnsi="Arial"/>
          <w:sz w:val="16"/>
          <w:szCs w:val="16"/>
          <w:color w:val="auto"/>
        </w:rPr>
        <w:t>It is acting for its own account, and it has made its own independent decisions to enter into that Transaction and as to whether that</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 that Transaction. No communication (written or oral) received from the other party shall be deemed to be an assurance or guarantee as to the expected results of that Transaction.</w:t>
      </w:r>
    </w:p>
    <w:p>
      <w:pPr>
        <w:spacing w:after="0" w:line="29" w:lineRule="exact"/>
        <w:rPr>
          <w:rFonts w:ascii="Arial" w:cs="Arial" w:eastAsia="Arial" w:hAnsi="Arial"/>
          <w:sz w:val="16"/>
          <w:szCs w:val="16"/>
          <w:color w:val="auto"/>
        </w:rPr>
      </w:pPr>
    </w:p>
    <w:p>
      <w:pPr>
        <w:ind w:left="912" w:right="240" w:firstLine="1"/>
        <w:spacing w:after="0" w:line="262" w:lineRule="auto"/>
        <w:tabs>
          <w:tab w:leader="none" w:pos="1160" w:val="left"/>
        </w:tabs>
        <w:numPr>
          <w:ilvl w:val="2"/>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Assessment and Understanding. </w:t>
      </w:r>
      <w:r>
        <w:rPr>
          <w:rFonts w:ascii="Arial" w:cs="Arial" w:eastAsia="Arial" w:hAnsi="Arial"/>
          <w:sz w:val="18"/>
          <w:szCs w:val="18"/>
          <w:color w:val="auto"/>
        </w:rPr>
        <w:t>It is capable of assessing the merits of and understanding (on its own behalf or through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advice), and understands and accepts, the terms, conditions and risks of that Transaction. It is also capable of assuming, and assumes, the risks of that Transaction.</w:t>
      </w:r>
    </w:p>
    <w:p>
      <w:pPr>
        <w:spacing w:after="0" w:line="51" w:lineRule="exact"/>
        <w:rPr>
          <w:rFonts w:ascii="Arial" w:cs="Arial" w:eastAsia="Arial" w:hAnsi="Arial"/>
          <w:sz w:val="18"/>
          <w:szCs w:val="18"/>
          <w:color w:val="auto"/>
        </w:rPr>
      </w:pPr>
    </w:p>
    <w:p>
      <w:pPr>
        <w:ind w:left="1152" w:hanging="239"/>
        <w:spacing w:after="0"/>
        <w:tabs>
          <w:tab w:leader="none" w:pos="1152" w:val="left"/>
        </w:tabs>
        <w:numPr>
          <w:ilvl w:val="2"/>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Status of Parties. </w:t>
      </w:r>
      <w:r>
        <w:rPr>
          <w:rFonts w:ascii="Arial" w:cs="Arial" w:eastAsia="Arial" w:hAnsi="Arial"/>
          <w:sz w:val="18"/>
          <w:szCs w:val="18"/>
          <w:color w:val="auto"/>
        </w:rPr>
        <w:t>The other party is not acting as a fiduciary for or an adviser to it in respect of that Transaction.”</w:t>
      </w:r>
    </w:p>
    <w:p>
      <w:pPr>
        <w:spacing w:after="0" w:line="90" w:lineRule="exact"/>
        <w:rPr>
          <w:rFonts w:ascii="Arial" w:cs="Arial" w:eastAsia="Arial" w:hAnsi="Arial"/>
          <w:sz w:val="18"/>
          <w:szCs w:val="18"/>
          <w:color w:val="auto"/>
        </w:rPr>
      </w:pPr>
    </w:p>
    <w:p>
      <w:pPr>
        <w:ind w:left="452" w:right="380" w:firstLine="4"/>
        <w:spacing w:after="0" w:line="334" w:lineRule="auto"/>
        <w:tabs>
          <w:tab w:leader="none" w:pos="662" w:val="left"/>
        </w:tabs>
        <w:numPr>
          <w:ilvl w:val="1"/>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Non-Agency. </w:t>
      </w:r>
      <w:r>
        <w:rPr>
          <w:rFonts w:ascii="Arial" w:cs="Arial" w:eastAsia="Arial" w:hAnsi="Arial"/>
          <w:sz w:val="16"/>
          <w:szCs w:val="16"/>
          <w:color w:val="auto"/>
        </w:rPr>
        <w:t>It is entering into this Agreement, any Credit Support Document to which it is a party, each Transaction and any other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this Agreement or any Transaction as principal (and not as agent or in any other capacity, fiduciary or otherwise).</w:t>
      </w:r>
    </w:p>
    <w:p>
      <w:pPr>
        <w:spacing w:after="0" w:line="1" w:lineRule="exact"/>
        <w:rPr>
          <w:rFonts w:ascii="Arial" w:cs="Arial" w:eastAsia="Arial" w:hAnsi="Arial"/>
          <w:sz w:val="16"/>
          <w:szCs w:val="16"/>
          <w:color w:val="auto"/>
        </w:rPr>
      </w:pPr>
    </w:p>
    <w:p>
      <w:pPr>
        <w:ind w:left="452" w:right="120" w:hanging="452"/>
        <w:spacing w:after="0" w:line="258"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Recording of Conversations</w:t>
      </w:r>
      <w:r>
        <w:rPr>
          <w:rFonts w:ascii="Arial" w:cs="Arial" w:eastAsia="Arial" w:hAnsi="Arial"/>
          <w:sz w:val="18"/>
          <w:szCs w:val="18"/>
          <w:color w:val="auto"/>
        </w:rPr>
        <w:t>. Each party (i) consents to the recording of telephone conversations between the trading, marketing and other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of the parties in connection with this Agreement or any potential Transaction, (ii) agrees to obtain any necessary consent of, and give any necessary notice of such recording to, its relevant personnel and (iii) agrees, to the extent permitted by applicable law, that recordings may be submitted in evidence in any Proceedings.</w:t>
      </w:r>
    </w:p>
    <w:p>
      <w:pPr>
        <w:spacing w:after="0" w:line="55" w:lineRule="exact"/>
        <w:rPr>
          <w:rFonts w:ascii="Arial" w:cs="Arial" w:eastAsia="Arial" w:hAnsi="Arial"/>
          <w:sz w:val="18"/>
          <w:szCs w:val="18"/>
          <w:color w:val="auto"/>
        </w:rPr>
      </w:pPr>
    </w:p>
    <w:p>
      <w:pPr>
        <w:ind w:left="452" w:right="100" w:hanging="452"/>
        <w:spacing w:after="0" w:line="339" w:lineRule="auto"/>
        <w:tabs>
          <w:tab w:leader="none" w:pos="452" w:val="left"/>
        </w:tabs>
        <w:numPr>
          <w:ilvl w:val="0"/>
          <w:numId w:val="78"/>
        </w:numPr>
        <w:rPr>
          <w:rFonts w:ascii="Arial" w:cs="Arial" w:eastAsia="Arial" w:hAnsi="Arial"/>
          <w:sz w:val="16"/>
          <w:szCs w:val="16"/>
          <w:color w:val="auto"/>
        </w:rPr>
      </w:pPr>
      <w:r>
        <w:rPr>
          <w:rFonts w:ascii="Arial" w:cs="Arial" w:eastAsia="Arial" w:hAnsi="Arial"/>
          <w:sz w:val="16"/>
          <w:szCs w:val="16"/>
          <w:b w:val="1"/>
          <w:bCs w:val="1"/>
          <w:u w:val="single" w:color="auto"/>
          <w:color w:val="auto"/>
        </w:rPr>
        <w:t>Accuracy of Specified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3(d) is hereby amended by adding in the third line thereof after the word “respect” and before the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phrase “or, in the case of audited or unaudited financial statements, a fair presentation of the financial condition of the relevant person.”</w:t>
      </w:r>
    </w:p>
    <w:p>
      <w:pPr>
        <w:spacing w:after="0" w:line="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5. </w:t>
      </w: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00" w:hanging="452"/>
        <w:spacing w:after="0" w:line="275"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Representations. </w:t>
      </w:r>
      <w:r>
        <w:rPr>
          <w:rFonts w:ascii="Arial" w:cs="Arial" w:eastAsia="Arial" w:hAnsi="Arial"/>
          <w:sz w:val="18"/>
          <w:szCs w:val="18"/>
          <w:color w:val="auto"/>
        </w:rPr>
        <w:t>In addition to the provisions addressed above in Part 4 of the Schedule, Section 3 of this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adding at the end thereof the following sub-paragraphs:</w:t>
      </w:r>
    </w:p>
    <w:p>
      <w:pPr>
        <w:spacing w:after="0" w:line="39" w:lineRule="exact"/>
        <w:rPr>
          <w:sz w:val="20"/>
          <w:szCs w:val="20"/>
          <w:color w:val="auto"/>
        </w:rPr>
      </w:pPr>
    </w:p>
    <w:p>
      <w:pPr>
        <w:ind w:left="920" w:right="48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Eligible Contract Participant.</w:t>
      </w:r>
      <w:r>
        <w:rPr>
          <w:rFonts w:ascii="Arial" w:cs="Arial" w:eastAsia="Arial" w:hAnsi="Arial"/>
          <w:sz w:val="18"/>
          <w:szCs w:val="18"/>
          <w:color w:val="auto"/>
        </w:rPr>
        <w:t xml:space="preserve"> It is an “Eligible Contract Participant” as defined in Section 1(a)(12) of the Commodity Exchange Act, as amended.</w:t>
      </w:r>
    </w:p>
    <w:p>
      <w:pPr>
        <w:spacing w:after="0" w:line="39" w:lineRule="exact"/>
        <w:rPr>
          <w:sz w:val="20"/>
          <w:szCs w:val="20"/>
          <w:color w:val="auto"/>
        </w:rPr>
      </w:pPr>
    </w:p>
    <w:p>
      <w:pPr>
        <w:ind w:left="920" w:firstLine="1"/>
        <w:spacing w:after="0" w:line="291" w:lineRule="auto"/>
        <w:tabs>
          <w:tab w:leader="none" w:pos="1129"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Non-ERISA Representation. </w:t>
      </w:r>
      <w:r>
        <w:rPr>
          <w:rFonts w:ascii="Arial" w:cs="Arial" w:eastAsia="Arial" w:hAnsi="Arial"/>
          <w:sz w:val="16"/>
          <w:szCs w:val="16"/>
          <w:color w:val="auto"/>
        </w:rPr>
        <w:t>It continuously represents that it is not (i) an employee benefit plan (hereinafter an “ERISA Plan”),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3(3) of the Employee Retirement Income Security Act of 1974, as amended (“ERISA”), subject to Title I of ERISA or a plan subject to Section 4975 of the Internal Revenue Code of 1986, as amended, or subject to any other statute, regulation, procedure or restriction that is materially similar to Section 406 of ERISA or Section 4975 of the Code (together with ERISA Plans, “Plans”), (ii) a person any of the assets of whom constitute assets of a Plan, or (iii) in connection with any Transaction under this Agreement, a person acting on behalf of a Plan, or using the assets of a Plan. It will provide notice to the other party in the event that it is aware that it is in breach of any aspect of this representation or is aware that with the passing of time, giving of notice or expiry of any applicable grace period it will breach this representation.”</w:t>
      </w:r>
    </w:p>
    <w:p>
      <w:pPr>
        <w:spacing w:after="0" w:line="32" w:lineRule="exact"/>
        <w:rPr>
          <w:rFonts w:ascii="Arial" w:cs="Arial" w:eastAsia="Arial" w:hAnsi="Arial"/>
          <w:sz w:val="16"/>
          <w:szCs w:val="16"/>
          <w:color w:val="auto"/>
        </w:rPr>
      </w:pPr>
    </w:p>
    <w:p>
      <w:pPr>
        <w:ind w:left="460" w:right="120" w:firstLine="4"/>
        <w:spacing w:after="0" w:line="291" w:lineRule="auto"/>
        <w:tabs>
          <w:tab w:leader="none" w:pos="709"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Set-Off. </w:t>
      </w:r>
      <w:r>
        <w:rPr>
          <w:rFonts w:ascii="Arial" w:cs="Arial" w:eastAsia="Arial" w:hAnsi="Arial"/>
          <w:sz w:val="16"/>
          <w:szCs w:val="16"/>
          <w:color w:val="auto"/>
        </w:rPr>
        <w:t>. (i) In addition to any rights of set-off a party may have as a matter of law or otherwise, upon the occurrence of an Event of Default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Party (“X”) hereof (or a provision analogous thereto) or where there is one Affected Party in the case where either a Credit Event Upon Merger has occurred, or any Additional Termination Event where X is the sole Affected Party, the other party (“Y”) shall have the right (but shall not be obliged) without prior notice to X or any other person to set off any obligation of X owing to Y or any Affiliate of Y (whether or not arising under this Agreement, whether or not matured, whether or not contingent and regardless of the currency, place of payment or booking office of the obligation) against any obligations of Y or any Affiliate of Y owing to X (whether or not arising under this Agreement, whether or not matured, whether or not contingent and regardless of the currency, place of payment or booking office of the obligation).</w:t>
      </w:r>
    </w:p>
    <w:p>
      <w:pPr>
        <w:spacing w:after="0" w:line="38" w:lineRule="exact"/>
        <w:rPr>
          <w:sz w:val="20"/>
          <w:szCs w:val="20"/>
          <w:color w:val="auto"/>
        </w:rPr>
      </w:pPr>
    </w:p>
    <w:p>
      <w:pPr>
        <w:ind w:left="720" w:hanging="256"/>
        <w:spacing w:after="0"/>
        <w:tabs>
          <w:tab w:leader="none" w:pos="7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For the purpose of cross-currency set off, Y may convert any obligation to another currency at a market rate determined by Y.</w:t>
      </w:r>
    </w:p>
    <w:p>
      <w:pPr>
        <w:spacing w:after="0" w:line="90" w:lineRule="exact"/>
        <w:rPr>
          <w:rFonts w:ascii="Arial" w:cs="Arial" w:eastAsia="Arial" w:hAnsi="Arial"/>
          <w:sz w:val="18"/>
          <w:szCs w:val="18"/>
          <w:color w:val="auto"/>
        </w:rPr>
      </w:pPr>
    </w:p>
    <w:p>
      <w:pPr>
        <w:ind w:left="460" w:right="460" w:firstLine="4"/>
        <w:spacing w:after="0" w:line="268" w:lineRule="auto"/>
        <w:tabs>
          <w:tab w:leader="none" w:pos="767"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any obligation is unascertained, Y may in good faith estimate that obligation and set off in respect of the estimate, subject to the relevant party accounting to the other when the obligation is ascertained.</w:t>
      </w:r>
    </w:p>
    <w:p>
      <w:pPr>
        <w:spacing w:after="0" w:line="50" w:lineRule="exact"/>
        <w:rPr>
          <w:rFonts w:ascii="Arial" w:cs="Arial" w:eastAsia="Arial" w:hAnsi="Arial"/>
          <w:sz w:val="18"/>
          <w:szCs w:val="18"/>
          <w:color w:val="auto"/>
        </w:rPr>
      </w:pPr>
    </w:p>
    <w:p>
      <w:pPr>
        <w:ind w:left="460" w:right="140" w:firstLine="4"/>
        <w:spacing w:after="0" w:line="259" w:lineRule="auto"/>
        <w:tabs>
          <w:tab w:leader="none" w:pos="7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Nothing in this paragraph will have the effect of creating a charge or other security interest. This paragraph shall be without prejudice and in addition to any right of set-off, combination of accounts, lien or other right to which any party is at any time otherwise entitled (whether by operation of law, contract or otherwise).”</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Procedures for Entering Into Transactions. </w:t>
      </w:r>
      <w:r>
        <w:rPr>
          <w:rFonts w:ascii="Arial" w:cs="Arial" w:eastAsia="Arial" w:hAnsi="Arial"/>
          <w:sz w:val="18"/>
          <w:szCs w:val="18"/>
          <w:color w:val="auto"/>
        </w:rPr>
        <w:t>Party A will deliver to Party B a Confirmation relating to each Transaction.</w:t>
      </w:r>
    </w:p>
    <w:p>
      <w:pPr>
        <w:spacing w:after="0" w:line="90" w:lineRule="exact"/>
        <w:rPr>
          <w:rFonts w:ascii="Arial" w:cs="Arial" w:eastAsia="Arial" w:hAnsi="Arial"/>
          <w:sz w:val="18"/>
          <w:szCs w:val="18"/>
          <w:color w:val="auto"/>
        </w:rPr>
      </w:pPr>
    </w:p>
    <w:p>
      <w:pPr>
        <w:ind w:left="460" w:right="680" w:hanging="452"/>
        <w:spacing w:after="0" w:line="275"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Form of Agreement. </w:t>
      </w:r>
      <w:r>
        <w:rPr>
          <w:rFonts w:ascii="Arial" w:cs="Arial" w:eastAsia="Arial" w:hAnsi="Arial"/>
          <w:sz w:val="18"/>
          <w:szCs w:val="18"/>
          <w:color w:val="auto"/>
        </w:rPr>
        <w:t>The parties hereby agree that the text of the body of the Agreement is intended to be the printed form of 1992 ISDA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published and copyrighted by the International Swaps and Derivatives Association, Inc.</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62" w:name="page63"/>
    <w:bookmarkEnd w:id="62"/>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Transfers</w:t>
      </w:r>
      <w:r>
        <w:rPr>
          <w:rFonts w:ascii="Arial" w:cs="Arial" w:eastAsia="Arial" w:hAnsi="Arial"/>
          <w:sz w:val="18"/>
          <w:szCs w:val="18"/>
          <w:color w:val="auto"/>
        </w:rPr>
        <w:t>. The following provision (c) is hereby added to Section 7 of this Agreement:</w:t>
      </w:r>
    </w:p>
    <w:p>
      <w:pPr>
        <w:spacing w:after="0" w:line="96"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“(c) Party A may, if it has reasonable grounds for insecurity regarding a potential default under this Agreement or any Specified Transaction by Party B, or for any legal, tax, accounting, regulatory or other reason, transfer its rights and obligations under this Agreement or any agreement for a Specified Transaction to any Affiliate of Party A, and Party B hereto agrees to such transfer; provided, however, that both Party A and the Affiliate transferee are ‘dealers in notional principal contracts’ within the meaning of U.S. Treasury Regulation Section 1.1001-4, and provided further that either (1) Party B shall have received a guarantee by Morgan Stanley, in favor of Party B, of the obligations of such Affiliate, such guarantee to be substantially the same as the guarantee then in effect of the obligations of the transferor, or (2) such transferee shall have the same or higher long term senior unsecured debt rating (as determined by S&amp;P or Moody’s) as Morgan Stanley at the time of such transfer.”</w:t>
      </w:r>
    </w:p>
    <w:p>
      <w:pPr>
        <w:spacing w:after="0" w:line="31" w:lineRule="exact"/>
        <w:rPr>
          <w:sz w:val="20"/>
          <w:szCs w:val="20"/>
          <w:color w:val="auto"/>
        </w:rPr>
      </w:pPr>
    </w:p>
    <w:p>
      <w:pPr>
        <w:ind w:left="460" w:right="20" w:hanging="452"/>
        <w:spacing w:after="0" w:line="287"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Any provision of this Agreement which is prohibited or unenforceable in any jurisdiction in respect of any Transaction shall, as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 ineffective to the extent of such prohibition or unenforceability without invalidating the remaining provisions of the Agreement or affecting the validity or enforceability of such provision as to any other jurisdiction or Transaction; provided, however, that nothing in this provision shall adversely affect the rights of each party under the Agreement; and provided further that this severability provision shall not be applicable if any provision of Section 1, 2, 5, 6, or 13 (or any definition or provision in Section 14 to the extent it relates to, or is used in or connection with any such Section) shall be so held to be invalid or unenforceable. The parties hereto shall endeavor in good faith negotiations to replace the prohibited or unenforceable provision with a valid provision, the economic effect of which comes as close as possible to that of the prohibited or unenforceable provision. The remaining terms, provisions, covenants, and conditions hereof shall continue in full force and effect as if this Agreement had been executed with the invalid or unenforceable portion eliminated, so long as this Agreement as so modified continues to express, without material change, the original intentions of the parties as to the subject matter of this Agreement and the deletion of such portion of this Agreement will not substantially impair the respective benefits or expectations of the parties to this Agreement.</w:t>
      </w:r>
    </w:p>
    <w:p>
      <w:pPr>
        <w:spacing w:after="0" w:line="1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Schedule by their duly authorized officers as of the date hereof.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MORGAN STANLEY CAPITAL SERVICES INC.</w:t>
            </w:r>
          </w:p>
        </w:tc>
        <w:tc>
          <w:tcPr>
            <w:tcW w:w="5820" w:type="dxa"/>
            <w:vAlign w:val="bottom"/>
            <w:gridSpan w:val="2"/>
          </w:tcPr>
          <w:p>
            <w:pPr>
              <w:ind w:left="340"/>
              <w:spacing w:after="0"/>
              <w:rPr>
                <w:sz w:val="20"/>
                <w:szCs w:val="20"/>
                <w:color w:val="auto"/>
              </w:rPr>
            </w:pPr>
            <w:r>
              <w:rPr>
                <w:rFonts w:ascii="Arial" w:cs="Arial" w:eastAsia="Arial" w:hAnsi="Arial"/>
                <w:sz w:val="18"/>
                <w:szCs w:val="18"/>
                <w:b w:val="1"/>
                <w:bCs w:val="1"/>
                <w:color w:val="auto"/>
              </w:rPr>
              <w:t>NATIONAL CINEMEDIA, LLC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Charmaine Fearon</w:t>
            </w:r>
          </w:p>
        </w:tc>
        <w:tc>
          <w:tcPr>
            <w:tcW w:w="920" w:type="dxa"/>
            <w:vAlign w:val="bottom"/>
          </w:tcPr>
          <w:p>
            <w:pPr>
              <w:ind w:left="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Charmaine Fearon</w:t>
            </w:r>
          </w:p>
        </w:tc>
        <w:tc>
          <w:tcPr>
            <w:tcW w:w="920" w:type="dxa"/>
            <w:vAlign w:val="bottom"/>
          </w:tcPr>
          <w:p>
            <w:pPr>
              <w:ind w:left="34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Gary W. Ferrera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Signatory</w:t>
            </w:r>
          </w:p>
        </w:tc>
        <w:tc>
          <w:tcPr>
            <w:tcW w:w="920" w:type="dxa"/>
            <w:vAlign w:val="bottom"/>
          </w:tcPr>
          <w:p>
            <w:pPr>
              <w:ind w:left="3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19"/>
                <w:szCs w:val="19"/>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June 20, 2007</w:t>
            </w:r>
          </w:p>
        </w:tc>
      </w:tr>
      <w:tr>
        <w:trPr>
          <w:trHeight w:val="365"/>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27</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28, 2007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10, 2007</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28, 2007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10, 2007</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4"/>
    </w:lvl>
  </w:abstractNum>
  <w:abstractNum w:abstractNumId="2">
    <w:nsid w:val="4B588F54"/>
    <w:multiLevelType w:val="hybridMultilevel"/>
    <w:lvl w:ilvl="0">
      <w:lvlJc w:val="left"/>
      <w:lvlText w:val="%1."/>
      <w:numFmt w:val="decimal"/>
      <w:start w:val="5"/>
    </w:lvl>
  </w:abstractNum>
  <w:abstractNum w:abstractNumId="3">
    <w:nsid w:val="542289EC"/>
    <w:multiLevelType w:val="hybridMultilevel"/>
    <w:lvl w:ilvl="0">
      <w:lvlJc w:val="left"/>
      <w:lvlText w:val="%1."/>
      <w:numFmt w:val="decimal"/>
      <w:start w:val="6"/>
    </w:lvl>
  </w:abstractNum>
  <w:abstractNum w:abstractNumId="4">
    <w:nsid w:val="6DE91B18"/>
    <w:multiLevelType w:val="hybridMultilevel"/>
    <w:lvl w:ilvl="0">
      <w:lvlJc w:val="left"/>
      <w:lvlText w:val="%1."/>
      <w:numFmt w:val="decimal"/>
      <w:start w:val="7"/>
    </w:lvl>
  </w:abstractNum>
  <w:abstractNum w:abstractNumId="5">
    <w:nsid w:val="38437FDB"/>
    <w:multiLevelType w:val="hybridMultilevel"/>
    <w:lvl w:ilvl="0">
      <w:lvlJc w:val="left"/>
      <w:lvlText w:val="%1."/>
      <w:numFmt w:val="decimal"/>
      <w:start w:val="10"/>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2"/>
    </w:lvl>
  </w:abstractNum>
  <w:abstractNum w:abstractNumId="8">
    <w:nsid w:val="684A481A"/>
    <w:multiLevelType w:val="hybridMultilevel"/>
    <w:lvl w:ilvl="0">
      <w:lvlJc w:val="left"/>
      <w:lvlText w:val="%1."/>
      <w:numFmt w:val="decimal"/>
      <w:start w:val="13"/>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lowerLetter"/>
      <w:start w:val="1"/>
    </w:lvl>
  </w:abstractNum>
  <w:abstractNum w:abstractNumId="15">
    <w:nsid w:val="12E685FB"/>
    <w:multiLevelType w:val="hybridMultilevel"/>
    <w:lvl w:ilvl="0">
      <w:lvlJc w:val="left"/>
      <w:lvlText w:val="%1."/>
      <w:numFmt w:val="decimal"/>
      <w:start w:val="2"/>
    </w:lvl>
  </w:abstractNum>
  <w:abstractNum w:abstractNumId="16">
    <w:nsid w:val="70C6A529"/>
    <w:multiLevelType w:val="hybridMultilevel"/>
    <w:lvl w:ilvl="0">
      <w:lvlJc w:val="left"/>
      <w:lvlText w:val="(%1)"/>
      <w:numFmt w:val="lowerLetter"/>
      <w:start w:val="1"/>
    </w:lvl>
    <w:lvl w:ilvl="1">
      <w:lvlJc w:val="left"/>
      <w:lvlText w:val="(%2)"/>
      <w:numFmt w:val="lowerRoman"/>
      <w:start w:val="1"/>
    </w:lvl>
  </w:abstractNum>
  <w:abstractNum w:abstractNumId="17">
    <w:nsid w:val="520EEDD1"/>
    <w:multiLevelType w:val="hybridMultilevel"/>
    <w:lvl w:ilvl="0">
      <w:lvlJc w:val="left"/>
      <w:lvlText w:val="(%1)"/>
      <w:numFmt w:val="lowerLetter"/>
      <w:start w:val="2"/>
    </w:lvl>
    <w:lvl w:ilvl="1">
      <w:lvlJc w:val="left"/>
      <w:lvlText w:val="(%2)"/>
      <w:numFmt w:val="lowerRoman"/>
      <w:start w:val="1"/>
    </w:lvl>
  </w:abstractNum>
  <w:abstractNum w:abstractNumId="18">
    <w:nsid w:val="374A3FE6"/>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9">
    <w:nsid w:val="4F4EF005"/>
    <w:multiLevelType w:val="hybridMultilevel"/>
    <w:lvl w:ilvl="0">
      <w:lvlJc w:val="left"/>
      <w:lvlText w:val="(%1)"/>
      <w:numFmt w:val="lowerRoman"/>
      <w:start w:val="2"/>
    </w:lvl>
    <w:lvl w:ilvl="1">
      <w:lvlJc w:val="left"/>
      <w:lvlText w:val="(%2)"/>
      <w:numFmt w:val="decimal"/>
      <w:start w:val="1"/>
    </w:lvl>
  </w:abstractNum>
  <w:abstractNum w:abstractNumId="20">
    <w:nsid w:val="23F9C13C"/>
    <w:multiLevelType w:val="hybridMultilevel"/>
    <w:lvl w:ilvl="0">
      <w:lvlJc w:val="left"/>
      <w:lvlText w:val="(%1)"/>
      <w:numFmt w:val="lowerLetter"/>
      <w:start w:val="5"/>
    </w:lvl>
  </w:abstractNum>
  <w:abstractNum w:abstractNumId="21">
    <w:nsid w:val="649BB77C"/>
    <w:multiLevelType w:val="hybridMultilevel"/>
    <w:lvl w:ilvl="0">
      <w:lvlJc w:val="left"/>
      <w:lvlText w:val="%1."/>
      <w:numFmt w:val="decimal"/>
      <w:start w:val="3"/>
    </w:lvl>
  </w:abstractNum>
  <w:abstractNum w:abstractNumId="22">
    <w:nsid w:val="275AC794"/>
    <w:multiLevelType w:val="hybridMultilevel"/>
    <w:lvl w:ilvl="0">
      <w:lvlJc w:val="left"/>
      <w:lvlText w:val="(%1)"/>
      <w:numFmt w:val="lowerLetter"/>
      <w:start w:val="1"/>
    </w:lvl>
    <w:lvl w:ilvl="1">
      <w:lvlJc w:val="left"/>
      <w:lvlText w:val="(%2)"/>
      <w:numFmt w:val="lowerRoman"/>
      <w:start w:val="1"/>
    </w:lvl>
  </w:abstractNum>
  <w:abstractNum w:abstractNumId="23">
    <w:nsid w:val="39386575"/>
    <w:multiLevelType w:val="hybridMultilevel"/>
    <w:lvl w:ilvl="0">
      <w:lvlJc w:val="left"/>
      <w:lvlText w:val="(%1)"/>
      <w:numFmt w:val="lowerLetter"/>
      <w:start w:val="2"/>
    </w:lvl>
  </w:abstractNum>
  <w:abstractNum w:abstractNumId="24">
    <w:nsid w:val="1CF10FD8"/>
    <w:multiLevelType w:val="hybridMultilevel"/>
    <w:lvl w:ilvl="0">
      <w:lvlJc w:val="left"/>
      <w:lvlText w:val="%1."/>
      <w:numFmt w:val="decimal"/>
      <w:start w:val="4"/>
    </w:lvl>
  </w:abstractNum>
  <w:abstractNum w:abstractNumId="25">
    <w:nsid w:val="180115BE"/>
    <w:multiLevelType w:val="hybridMultilevel"/>
    <w:lvl w:ilvl="0">
      <w:lvlJc w:val="left"/>
      <w:lvlText w:val="(%1)"/>
      <w:numFmt w:val="lowerLetter"/>
      <w:start w:val="1"/>
    </w:lvl>
    <w:lvl w:ilvl="1">
      <w:lvlJc w:val="left"/>
      <w:lvlText w:val="(%2)"/>
      <w:numFmt w:val="lowerRoman"/>
      <w:start w:val="1"/>
    </w:lvl>
  </w:abstractNum>
  <w:abstractNum w:abstractNumId="26">
    <w:nsid w:val="235BA861"/>
    <w:multiLevelType w:val="hybridMultilevel"/>
    <w:lvl w:ilvl="0">
      <w:lvlJc w:val="left"/>
      <w:lvlText w:val="(%1)"/>
      <w:numFmt w:val="lowerLetter"/>
      <w:start w:val="2"/>
    </w:lvl>
  </w:abstractNum>
  <w:abstractNum w:abstractNumId="27">
    <w:nsid w:val="47398C89"/>
    <w:multiLevelType w:val="hybridMultilevel"/>
    <w:lvl w:ilvl="0">
      <w:lvlJc w:val="left"/>
      <w:lvlText w:val="%1."/>
      <w:numFmt w:val="decimal"/>
      <w:start w:val="5"/>
    </w:lvl>
  </w:abstractNum>
  <w:abstractNum w:abstractNumId="28">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9">
    <w:nsid w:val="15B5AF5C"/>
    <w:multiLevelType w:val="hybridMultilevel"/>
    <w:lvl w:ilvl="0">
      <w:lvlJc w:val="left"/>
      <w:lvlText w:val="(%1)"/>
      <w:numFmt w:val="lowerRoman"/>
      <w:start w:val="7"/>
    </w:lvl>
    <w:lvl w:ilvl="1">
      <w:lvlJc w:val="left"/>
      <w:lvlText w:val="(%2)"/>
      <w:numFmt w:val="decimal"/>
      <w:start w:val="1"/>
    </w:lvl>
  </w:abstractNum>
  <w:abstractNum w:abstractNumId="30">
    <w:nsid w:val="741226BB"/>
    <w:multiLevelType w:val="hybridMultilevel"/>
    <w:lvl w:ilvl="0">
      <w:lvlJc w:val="left"/>
      <w:lvlText w:val="(%1)"/>
      <w:numFmt w:val="lowerLetter"/>
      <w:start w:val="2"/>
    </w:lvl>
  </w:abstractNum>
  <w:abstractNum w:abstractNumId="31">
    <w:nsid w:val="D34B6A8"/>
    <w:multiLevelType w:val="hybridMultilevel"/>
    <w:lvl w:ilvl="0">
      <w:lvlJc w:val="left"/>
      <w:lvlText w:val="(%1)"/>
      <w:numFmt w:val="lowerRoman"/>
      <w:start w:val="1"/>
    </w:lvl>
    <w:lvl w:ilvl="1">
      <w:lvlJc w:val="left"/>
      <w:lvlText w:val="(%2)"/>
      <w:numFmt w:val="decimal"/>
      <w:start w:val="1"/>
    </w:lvl>
  </w:abstractNum>
  <w:abstractNum w:abstractNumId="32">
    <w:nsid w:val="10233C99"/>
    <w:multiLevelType w:val="hybridMultilevel"/>
    <w:lvl w:ilvl="0">
      <w:lvlJc w:val="left"/>
      <w:lvlText w:val="(%1)"/>
      <w:numFmt w:val="lowerLetter"/>
      <w:start w:val="3"/>
    </w:lvl>
  </w:abstractNum>
  <w:abstractNum w:abstractNumId="33">
    <w:nsid w:val="3F6AB60F"/>
    <w:multiLevelType w:val="hybridMultilevel"/>
    <w:lvl w:ilvl="0">
      <w:lvlJc w:val="left"/>
      <w:lvlText w:val="%1."/>
      <w:numFmt w:val="decimal"/>
      <w:start w:val="6"/>
    </w:lvl>
  </w:abstractNum>
  <w:abstractNum w:abstractNumId="34">
    <w:nsid w:val="61574095"/>
    <w:multiLevelType w:val="hybridMultilevel"/>
    <w:lvl w:ilvl="0">
      <w:lvlJc w:val="left"/>
      <w:lvlText w:val="(%1)"/>
      <w:numFmt w:val="lowerLetter"/>
      <w:start w:val="1"/>
    </w:lvl>
    <w:lvl w:ilvl="1">
      <w:lvlJc w:val="left"/>
      <w:lvlText w:val="(%2)"/>
      <w:numFmt w:val="lowerRoman"/>
      <w:start w:val="1"/>
    </w:lvl>
  </w:abstractNum>
  <w:abstractNum w:abstractNumId="35">
    <w:nsid w:val="7E0C57B1"/>
    <w:multiLevelType w:val="hybridMultilevel"/>
    <w:lvl w:ilvl="0">
      <w:lvlJc w:val="left"/>
      <w:lvlText w:val="(%1)"/>
      <w:numFmt w:val="lowerRoman"/>
      <w:start w:val="3"/>
    </w:lvl>
    <w:lvl w:ilvl="1">
      <w:lvlJc w:val="left"/>
      <w:lvlText w:val="(%2)"/>
      <w:numFmt w:val="decimal"/>
      <w:start w:val="1"/>
    </w:lvl>
  </w:abstractNum>
  <w:abstractNum w:abstractNumId="36">
    <w:nsid w:val="77AE35E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7">
    <w:nsid w:val="579BE4F1"/>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38">
    <w:nsid w:val="310C50B3"/>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39">
    <w:nsid w:val="5FF87E05"/>
    <w:multiLevelType w:val="hybridMultilevel"/>
    <w:lvl w:ilvl="0">
      <w:lvlJc w:val="left"/>
      <w:lvlText w:val="(%1)"/>
      <w:numFmt w:val="lowerRoman"/>
      <w:start w:val="3"/>
    </w:lvl>
  </w:abstractNum>
  <w:abstractNum w:abstractNumId="40">
    <w:nsid w:val="2F305DEF"/>
    <w:multiLevelType w:val="hybridMultilevel"/>
    <w:lvl w:ilvl="0">
      <w:lvlJc w:val="left"/>
      <w:lvlText w:val="%1."/>
      <w:numFmt w:val="decimal"/>
      <w:start w:val="7"/>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decimal"/>
      <w:start w:val="8"/>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decimal"/>
      <w:start w:val="9"/>
    </w:lvl>
  </w:abstractNum>
  <w:abstractNum w:abstractNumId="45">
    <w:nsid w:val="1381823A"/>
    <w:multiLevelType w:val="hybridMultilevel"/>
    <w:lvl w:ilvl="0">
      <w:lvlJc w:val="left"/>
      <w:lvlText w:val="(%1)"/>
      <w:numFmt w:val="lowerLetter"/>
      <w:start w:val="1"/>
    </w:lvl>
    <w:lvl w:ilvl="1">
      <w:lvlJc w:val="left"/>
      <w:lvlText w:val="(%2)"/>
      <w:numFmt w:val="lowerRoman"/>
      <w:start w:val="1"/>
    </w:lvl>
  </w:abstractNum>
  <w:abstractNum w:abstractNumId="46">
    <w:nsid w:val="5DB70AE5"/>
    <w:multiLevelType w:val="hybridMultilevel"/>
    <w:lvl w:ilvl="0">
      <w:lvlJc w:val="left"/>
      <w:lvlText w:val="%1."/>
      <w:numFmt w:val="decimal"/>
      <w:start w:val="10"/>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decimal"/>
      <w:start w:val="11"/>
    </w:lvl>
  </w:abstractNum>
  <w:abstractNum w:abstractNumId="49">
    <w:nsid w:val="15014ACB"/>
    <w:multiLevelType w:val="hybridMultilevel"/>
    <w:lvl w:ilvl="0">
      <w:lvlJc w:val="left"/>
      <w:lvlText w:val="%1."/>
      <w:numFmt w:val="decimal"/>
      <w:start w:val="12"/>
    </w:lvl>
  </w:abstractNum>
  <w:abstractNum w:abstractNumId="50">
    <w:nsid w:val="5F5E7FD0"/>
    <w:multiLevelType w:val="hybridMultilevel"/>
    <w:lvl w:ilvl="0">
      <w:lvlJc w:val="left"/>
      <w:lvlText w:val="(%1)"/>
      <w:numFmt w:val="lowerLetter"/>
      <w:start w:val="1"/>
    </w:lvl>
    <w:lvl w:ilvl="1">
      <w:lvlJc w:val="left"/>
      <w:lvlText w:val="(%2)"/>
      <w:numFmt w:val="lowerRoman"/>
      <w:start w:val="1"/>
    </w:lvl>
  </w:abstractNum>
  <w:abstractNum w:abstractNumId="51">
    <w:nsid w:val="98A3148"/>
    <w:multiLevelType w:val="hybridMultilevel"/>
    <w:lvl w:ilvl="0">
      <w:lvlJc w:val="left"/>
      <w:lvlText w:val="(%1)"/>
      <w:numFmt w:val="lowerLetter"/>
      <w:start w:val="2"/>
    </w:lvl>
  </w:abstractNum>
  <w:abstractNum w:abstractNumId="52">
    <w:nsid w:val="799D0247"/>
    <w:multiLevelType w:val="hybridMultilevel"/>
    <w:lvl w:ilvl="0">
      <w:lvlJc w:val="left"/>
      <w:lvlText w:val="%1."/>
      <w:numFmt w:val="decimal"/>
      <w:start w:val="13"/>
    </w:lvl>
  </w:abstractNum>
  <w:abstractNum w:abstractNumId="53">
    <w:nsid w:val="6B94764"/>
    <w:multiLevelType w:val="hybridMultilevel"/>
    <w:lvl w:ilvl="0">
      <w:lvlJc w:val="left"/>
      <w:lvlText w:val="(%1)"/>
      <w:numFmt w:val="lowerLetter"/>
      <w:start w:val="1"/>
    </w:lvl>
    <w:lvl w:ilvl="1">
      <w:lvlJc w:val="left"/>
      <w:lvlText w:val="(%2)"/>
      <w:numFmt w:val="lowerRoman"/>
      <w:start w:val="1"/>
    </w:lvl>
  </w:abstractNum>
  <w:abstractNum w:abstractNumId="54">
    <w:nsid w:val="42C296BD"/>
    <w:multiLevelType w:val="hybridMultilevel"/>
    <w:lvl w:ilvl="0">
      <w:lvlJc w:val="left"/>
      <w:lvlText w:val="(%1)"/>
      <w:numFmt w:val="lowerLetter"/>
      <w:start w:val="3"/>
    </w:lvl>
  </w:abstractNum>
  <w:abstractNum w:abstractNumId="55">
    <w:nsid w:val="168E121F"/>
    <w:multiLevelType w:val="hybridMultilevel"/>
    <w:lvl w:ilvl="0">
      <w:lvlJc w:val="left"/>
      <w:lvlText w:val="(%1)"/>
      <w:numFmt w:val="lowerLetter"/>
      <w:start w:val="4"/>
    </w:lvl>
  </w:abstractNum>
  <w:abstractNum w:abstractNumId="56">
    <w:nsid w:val="1EBA5D23"/>
    <w:multiLevelType w:val="hybridMultilevel"/>
    <w:lvl w:ilvl="0">
      <w:lvlJc w:val="left"/>
      <w:lvlText w:val="(%1)"/>
      <w:numFmt w:val="lowerLetter"/>
      <w:start w:val="61"/>
    </w:lvl>
  </w:abstractNum>
  <w:abstractNum w:abstractNumId="57">
    <w:nsid w:val="661E3F1E"/>
    <w:multiLevelType w:val="hybridMultilevel"/>
    <w:lvl w:ilvl="0">
      <w:lvlJc w:val="left"/>
      <w:lvlText w:val="%1."/>
      <w:numFmt w:val="decimal"/>
      <w:start w:val="14"/>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61">
    <w:nsid w:val="51D9C564"/>
    <w:multiLevelType w:val="hybridMultilevel"/>
    <w:lvl w:ilvl="0">
      <w:lvlJc w:val="left"/>
      <w:lvlText w:val="(%1)"/>
      <w:numFmt w:val="lowerRoman"/>
      <w:start w:val="1"/>
    </w:lvl>
  </w:abstractNum>
  <w:abstractNum w:abstractNumId="62">
    <w:nsid w:val="613EFDC5"/>
    <w:multiLevelType w:val="hybridMultilevel"/>
    <w:lvl w:ilvl="0">
      <w:lvlJc w:val="left"/>
      <w:lvlText w:val="(%1)"/>
      <w:numFmt w:val="lowerLetter"/>
      <w:start w:val="1"/>
    </w:lvl>
    <w:lvl w:ilvl="1">
      <w:lvlJc w:val="left"/>
      <w:lvlText w:val="(%2)"/>
      <w:numFmt w:val="lowerRoman"/>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Roman"/>
      <w:start w:val="1"/>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Roman"/>
      <w:start w:val="1"/>
    </w:lvl>
  </w:abstractNum>
  <w:abstractNum w:abstractNumId="68">
    <w:nsid w:val="1A32234B"/>
    <w:multiLevelType w:val="hybridMultilevel"/>
    <w:lvl w:ilvl="0">
      <w:lvlJc w:val="left"/>
      <w:lvlText w:val="(%1)"/>
      <w:numFmt w:val="lowerRoman"/>
      <w:start w:val="2"/>
    </w:lvl>
  </w:abstractNum>
  <w:abstractNum w:abstractNumId="69">
    <w:nsid w:val="3B0FD379"/>
    <w:multiLevelType w:val="hybridMultilevel"/>
    <w:lvl w:ilvl="0">
      <w:lvlJc w:val="left"/>
      <w:lvlText w:val="(%1)"/>
      <w:numFmt w:val="lowerLetter"/>
      <w:start w:val="2"/>
    </w:lvl>
    <w:lvl w:ilvl="1">
      <w:lvlJc w:val="left"/>
      <w:lvlText w:val="(%2)"/>
      <w:numFmt w:val="lowerLetter"/>
      <w:start w:val="9"/>
    </w:lvl>
  </w:abstractNum>
  <w:abstractNum w:abstractNumId="70">
    <w:nsid w:val="68EB2F63"/>
    <w:multiLevelType w:val="hybridMultilevel"/>
    <w:lvl w:ilvl="0">
      <w:lvlJc w:val="left"/>
      <w:lvlText w:val="%1"/>
      <w:numFmt w:val="lowerLetter"/>
      <w:start w:val="1"/>
    </w:lvl>
    <w:lvl w:ilvl="1">
      <w:lvlJc w:val="left"/>
      <w:lvlText w:val="(%2)"/>
      <w:numFmt w:val="lowerLetter"/>
      <w:start w:val="35"/>
    </w:lvl>
  </w:abstractNum>
  <w:abstractNum w:abstractNumId="71">
    <w:nsid w:val="4962813B"/>
    <w:multiLevelType w:val="hybridMultilevel"/>
    <w:lvl w:ilvl="0">
      <w:lvlJc w:val="left"/>
      <w:lvlText w:val="(%1)"/>
      <w:numFmt w:val="lowerLetter"/>
      <w:start w:val="3"/>
    </w:lvl>
    <w:lvl w:ilvl="1">
      <w:lvlJc w:val="left"/>
      <w:lvlText w:val="%2"/>
      <w:numFmt w:val="lowerLetter"/>
      <w:start w:val="1"/>
    </w:lvl>
  </w:abstractNum>
  <w:abstractNum w:abstractNumId="72">
    <w:nsid w:val="60B6DF70"/>
    <w:multiLevelType w:val="hybridMultilevel"/>
    <w:lvl w:ilvl="0">
      <w:lvlJc w:val="left"/>
      <w:lvlText w:val="(%1)"/>
      <w:numFmt w:val="lowerLetter"/>
      <w:start w:val="4"/>
    </w:lvl>
  </w:abstractNum>
  <w:abstractNum w:abstractNumId="73">
    <w:nsid w:val="6A5EE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74">
    <w:nsid w:val="14330624"/>
    <w:multiLevelType w:val="hybridMultilevel"/>
    <w:lvl w:ilvl="0">
      <w:lvlJc w:val="left"/>
      <w:lvlText w:val="(%1)"/>
      <w:numFmt w:val="lowerLetter"/>
      <w:start w:val="6"/>
    </w:lvl>
    <w:lvl w:ilvl="1">
      <w:lvlJc w:val="left"/>
      <w:lvlText w:val="(%2)"/>
      <w:numFmt w:val="lowerLetter"/>
      <w:start w:val="2"/>
    </w:lvl>
    <w:lvl w:ilvl="2">
      <w:lvlJc w:val="left"/>
      <w:lvlText w:val="(%3)"/>
      <w:numFmt w:val="lowerLetter"/>
      <w:start w:val="9"/>
    </w:lvl>
    <w:lvl w:ilvl="3">
      <w:lvlJc w:val="left"/>
      <w:lvlText w:val="%4"/>
      <w:numFmt w:val="lowerLetter"/>
      <w:start w:val="1"/>
    </w:lvl>
  </w:abstractNum>
  <w:abstractNum w:abstractNumId="75">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76">
    <w:nsid w:val="1A27709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7">
    <w:nsid w:val="71EA1109"/>
    <w:multiLevelType w:val="hybridMultilevel"/>
    <w:lvl w:ilvl="0">
      <w:lvlJc w:val="left"/>
      <w:lvlText w:val="(%1)"/>
      <w:numFmt w:val="lowerLetter"/>
      <w:start w:val="13"/>
    </w:lvl>
    <w:lvl w:ilvl="1">
      <w:lvlJc w:val="left"/>
      <w:lvlText w:val="(%2)"/>
      <w:numFmt w:val="lowerRoman"/>
    </w:lvl>
    <w:lvl w:ilvl="2">
      <w:lvlJc w:val="left"/>
      <w:lvlText w:val="(%3)"/>
      <w:numFmt w:val="decimal"/>
      <w:start w:val="1"/>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1"/>
    </w:lvl>
    <w:lvl w:ilvl="1">
      <w:lvlJc w:val="left"/>
      <w:lvlText w:val="(%2)"/>
      <w:numFmt w:val="lowerLetter"/>
      <w:start w:val="10"/>
    </w:lvl>
  </w:abstractNum>
  <w:abstractNum w:abstractNumId="80">
    <w:nsid w:val="6EB5BD4"/>
    <w:multiLevelType w:val="hybridMultilevel"/>
    <w:lvl w:ilvl="0">
      <w:lvlJc w:val="left"/>
      <w:lvlText w:val="(%1)"/>
      <w:numFmt w:val="lowerLetter"/>
      <w:start w:val="2"/>
    </w:lvl>
    <w:lvl w:ilvl="1">
      <w:lvlJc w:val="left"/>
      <w:lvlText w:val="%2"/>
      <w:numFmt w:val="lowerLetter"/>
      <w:start w:val="1"/>
    </w:lvl>
  </w:abstractNum>
  <w:abstractNum w:abstractNumId="81">
    <w:nsid w:val="6F6DD9AC"/>
    <w:multiLevelType w:val="hybridMultilevel"/>
    <w:lvl w:ilvl="0">
      <w:lvlJc w:val="left"/>
      <w:lvlText w:val="%1"/>
      <w:numFmt w:val="lowerLetter"/>
      <w:start w:val="1"/>
    </w:lvl>
    <w:lvl w:ilvl="1">
      <w:lvlJc w:val="left"/>
      <w:lvlText w:val="(%2)"/>
      <w:numFmt w:val="lowerRoman"/>
      <w:start w:val="2"/>
    </w:lvl>
  </w:abstractNum>
  <w:abstractNum w:abstractNumId="82">
    <w:nsid w:val="94211F2"/>
    <w:multiLevelType w:val="hybridMultilevel"/>
    <w:lvl w:ilvl="0">
      <w:lvlJc w:val="left"/>
      <w:lvlText w:val="(%1)"/>
      <w:numFmt w:val="lowerLetter"/>
      <w:start w:val="3"/>
    </w:lvl>
    <w:lvl w:ilvl="1">
      <w:lvlJc w:val="left"/>
      <w:lvlText w:val="%2"/>
      <w:numFmt w:val="lowerRoman"/>
      <w:start w:val="1"/>
    </w:lvl>
  </w:abstractNum>
  <w:abstractNum w:abstractNumId="83">
    <w:nsid w:val="885E1B"/>
    <w:multiLevelType w:val="hybridMultilevel"/>
    <w:lvl w:ilvl="0">
      <w:lvlJc w:val="left"/>
      <w:lvlText w:val="(%1)"/>
      <w:numFmt w:val="lowerLetter"/>
      <w:start w:val="5"/>
    </w:lvl>
  </w:abstractNum>
  <w:abstractNum w:abstractNumId="84">
    <w:nsid w:val="76272110"/>
    <w:multiLevelType w:val="hybridMultilevel"/>
    <w:lvl w:ilvl="0">
      <w:lvlJc w:val="left"/>
      <w:lvlText w:val="(%1)"/>
      <w:numFmt w:val="lowerLetter"/>
      <w:start w:val="3"/>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2019-12-15T15:23:56Z</dcterms:created>
  <dcterms:modified xsi:type="dcterms:W3CDTF">2019-12-15T15:23:56Z</dcterms:modified>
</cp:coreProperties>
</file>