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Securities Exchange Act of 1934</w:t>
      </w: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September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National CineMedia, Inc.</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1440" w:type="dxa"/>
        <w:tblCellMar>
          <w:top w:w="0" w:type="dxa"/>
          <w:left w:w="0" w:type="dxa"/>
          <w:bottom w:w="0" w:type="dxa"/>
          <w:right w:w="0" w:type="dxa"/>
        </w:tblCellMar>
      </w:tblPr>
      <w:tr>
        <w:trPr>
          <w:trHeight w:val="186"/>
        </w:trPr>
        <w:tc>
          <w:tcPr>
            <w:tcW w:w="28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001-33296</w:t>
            </w:r>
          </w:p>
        </w:tc>
        <w:tc>
          <w:tcPr>
            <w:tcW w:w="2340" w:type="dxa"/>
            <w:vAlign w:val="bottom"/>
          </w:tcPr>
          <w:p>
            <w:pPr>
              <w:jc w:val="center"/>
              <w:ind w:left="1168"/>
              <w:spacing w:after="0"/>
              <w:rPr>
                <w:sz w:val="20"/>
                <w:szCs w:val="20"/>
                <w:color w:val="auto"/>
              </w:rPr>
            </w:pPr>
            <w:r>
              <w:rPr>
                <w:rFonts w:ascii="Arial" w:cs="Arial" w:eastAsia="Arial" w:hAnsi="Arial"/>
                <w:sz w:val="14"/>
                <w:szCs w:val="14"/>
                <w:b w:val="1"/>
                <w:bCs w:val="1"/>
                <w:color w:val="auto"/>
                <w:w w:val="93"/>
              </w:rPr>
              <w:t>20-5665602</w:t>
            </w:r>
          </w:p>
        </w:tc>
      </w:tr>
      <w:tr>
        <w:trPr>
          <w:trHeight w:val="232"/>
        </w:trPr>
        <w:tc>
          <w:tcPr>
            <w:tcW w:w="28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(State or other jurisdiction</w:t>
            </w:r>
          </w:p>
        </w:tc>
        <w:tc>
          <w:tcPr>
            <w:tcW w:w="32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(Commission</w:t>
            </w:r>
          </w:p>
        </w:tc>
        <w:tc>
          <w:tcPr>
            <w:tcW w:w="2340" w:type="dxa"/>
            <w:vAlign w:val="bottom"/>
          </w:tcPr>
          <w:p>
            <w:pPr>
              <w:jc w:val="center"/>
              <w:ind w:left="1128"/>
              <w:spacing w:after="0"/>
              <w:rPr>
                <w:sz w:val="20"/>
                <w:szCs w:val="20"/>
                <w:color w:val="auto"/>
              </w:rPr>
            </w:pPr>
            <w:r>
              <w:rPr>
                <w:rFonts w:ascii="Arial" w:cs="Arial" w:eastAsia="Arial" w:hAnsi="Arial"/>
                <w:sz w:val="14"/>
                <w:szCs w:val="14"/>
                <w:b w:val="1"/>
                <w:bCs w:val="1"/>
                <w:color w:val="auto"/>
                <w:w w:val="95"/>
              </w:rPr>
              <w:t>(IRS employer</w:t>
            </w:r>
          </w:p>
        </w:tc>
      </w:tr>
      <w:tr>
        <w:trPr>
          <w:trHeight w:val="186"/>
        </w:trPr>
        <w:tc>
          <w:tcPr>
            <w:tcW w:w="28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file number)</w:t>
            </w:r>
          </w:p>
        </w:tc>
        <w:tc>
          <w:tcPr>
            <w:tcW w:w="2340" w:type="dxa"/>
            <w:vAlign w:val="bottom"/>
          </w:tcPr>
          <w:p>
            <w:pPr>
              <w:jc w:val="center"/>
              <w:ind w:left="116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National CineMedia, LLC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3" w:lineRule="exact"/>
        <w:rPr>
          <w:sz w:val="24"/>
          <w:szCs w:val="24"/>
          <w:color w:val="auto"/>
        </w:rPr>
      </w:pPr>
    </w:p>
    <w:tbl>
      <w:tblPr>
        <w:tblLayout w:type="fixed"/>
        <w:tblInd w:w="1440" w:type="dxa"/>
        <w:tblCellMar>
          <w:top w:w="0" w:type="dxa"/>
          <w:left w:w="0" w:type="dxa"/>
          <w:bottom w:w="0" w:type="dxa"/>
          <w:right w:w="0" w:type="dxa"/>
        </w:tblCellMar>
      </w:tblPr>
      <w:tr>
        <w:trPr>
          <w:trHeight w:val="186"/>
        </w:trPr>
        <w:tc>
          <w:tcPr>
            <w:tcW w:w="28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333-176056</w:t>
            </w:r>
          </w:p>
        </w:tc>
        <w:tc>
          <w:tcPr>
            <w:tcW w:w="2340" w:type="dxa"/>
            <w:vAlign w:val="bottom"/>
          </w:tcPr>
          <w:p>
            <w:pPr>
              <w:jc w:val="center"/>
              <w:ind w:left="1168"/>
              <w:spacing w:after="0"/>
              <w:rPr>
                <w:sz w:val="20"/>
                <w:szCs w:val="20"/>
                <w:color w:val="auto"/>
              </w:rPr>
            </w:pPr>
            <w:r>
              <w:rPr>
                <w:rFonts w:ascii="Arial" w:cs="Arial" w:eastAsia="Arial" w:hAnsi="Arial"/>
                <w:sz w:val="14"/>
                <w:szCs w:val="14"/>
                <w:b w:val="1"/>
                <w:bCs w:val="1"/>
                <w:color w:val="auto"/>
                <w:w w:val="93"/>
              </w:rPr>
              <w:t>20-2632505</w:t>
            </w:r>
          </w:p>
        </w:tc>
      </w:tr>
      <w:tr>
        <w:trPr>
          <w:trHeight w:val="232"/>
        </w:trPr>
        <w:tc>
          <w:tcPr>
            <w:tcW w:w="28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(State or other jurisdiction</w:t>
            </w:r>
          </w:p>
        </w:tc>
        <w:tc>
          <w:tcPr>
            <w:tcW w:w="32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(Commission</w:t>
            </w:r>
          </w:p>
        </w:tc>
        <w:tc>
          <w:tcPr>
            <w:tcW w:w="2340" w:type="dxa"/>
            <w:vAlign w:val="bottom"/>
          </w:tcPr>
          <w:p>
            <w:pPr>
              <w:jc w:val="center"/>
              <w:ind w:left="1168"/>
              <w:spacing w:after="0"/>
              <w:rPr>
                <w:sz w:val="20"/>
                <w:szCs w:val="20"/>
                <w:color w:val="auto"/>
              </w:rPr>
            </w:pPr>
            <w:r>
              <w:rPr>
                <w:rFonts w:ascii="Arial" w:cs="Arial" w:eastAsia="Arial" w:hAnsi="Arial"/>
                <w:sz w:val="14"/>
                <w:szCs w:val="14"/>
                <w:b w:val="1"/>
                <w:bCs w:val="1"/>
                <w:color w:val="auto"/>
                <w:w w:val="95"/>
              </w:rPr>
              <w:t>(IRS employer</w:t>
            </w:r>
          </w:p>
        </w:tc>
      </w:tr>
      <w:tr>
        <w:trPr>
          <w:trHeight w:val="186"/>
        </w:trPr>
        <w:tc>
          <w:tcPr>
            <w:tcW w:w="28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file number)</w:t>
            </w:r>
          </w:p>
        </w:tc>
        <w:tc>
          <w:tcPr>
            <w:tcW w:w="2340" w:type="dxa"/>
            <w:vAlign w:val="bottom"/>
          </w:tcPr>
          <w:p>
            <w:pPr>
              <w:jc w:val="center"/>
              <w:ind w:left="116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6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6300 S. Syracuse Way, Suite 300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Centennial, Colorado 80111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(303) 792-3600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25"/>
        <w:spacing w:after="0" w:line="211" w:lineRule="auto"/>
        <w:tabs>
          <w:tab w:leader="none" w:pos="4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43"/>
          <w:szCs w:val="43"/>
          <w:color w:val="auto"/>
          <w:vertAlign w:val="subscript"/>
        </w:rPr>
      </w:pPr>
    </w:p>
    <w:p>
      <w:pPr>
        <w:ind w:left="460" w:hanging="425"/>
        <w:spacing w:after="0" w:line="207" w:lineRule="auto"/>
        <w:tabs>
          <w:tab w:leader="none" w:pos="4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74" w:lineRule="exact"/>
        <w:rPr>
          <w:rFonts w:ascii="MS PGothic" w:cs="MS PGothic" w:eastAsia="MS PGothic" w:hAnsi="MS PGothic"/>
          <w:sz w:val="43"/>
          <w:szCs w:val="43"/>
          <w:color w:val="auto"/>
          <w:vertAlign w:val="subscript"/>
        </w:rPr>
      </w:pPr>
    </w:p>
    <w:p>
      <w:pPr>
        <w:ind w:left="460" w:hanging="425"/>
        <w:spacing w:after="0" w:line="207" w:lineRule="auto"/>
        <w:tabs>
          <w:tab w:leader="none" w:pos="4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Pre-commencement communications pursuant to Rule 14d-2(b) under the Exchange Act (17 CFR 210.14d-2(b))</w:t>
      </w:r>
    </w:p>
    <w:p>
      <w:pPr>
        <w:sectPr>
          <w:pgSz w:w="11900" w:h="16838" w:orient="portrait"/>
          <w:cols w:equalWidth="0" w:num="1">
            <w:col w:w="11300"/>
          </w:cols>
          <w:pgMar w:left="240" w:top="729" w:right="359" w:bottom="1440" w:gutter="0" w:footer="0" w:header="0"/>
        </w:sectPr>
      </w:pPr>
    </w:p>
    <w:bookmarkStart w:id="1" w:name="page2"/>
    <w:bookmarkEnd w:id="1"/>
    <w:p>
      <w:pPr>
        <w:ind w:left="460" w:hanging="425"/>
        <w:spacing w:after="0"/>
        <w:tabs>
          <w:tab w:leader="none" w:pos="4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ectPr>
          <w:pgSz w:w="11900" w:h="16838" w:orient="portrait"/>
          <w:cols w:equalWidth="0" w:num="1">
            <w:col w:w="11420"/>
          </w:cols>
          <w:pgMar w:left="240" w:top="617" w:right="239" w:bottom="1440" w:gutter="0" w:footer="0" w:header="0"/>
        </w:sectPr>
      </w:pPr>
    </w:p>
    <w:p>
      <w:pPr>
        <w:spacing w:after="0" w:line="23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Common Stock, par value $0.01 per share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NCMI</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81" w:lineRule="exact"/>
        <w:rPr>
          <w:sz w:val="20"/>
          <w:szCs w:val="20"/>
          <w:color w:val="auto"/>
        </w:rPr>
      </w:pPr>
    </w:p>
    <w:p>
      <w:pPr>
        <w:sectPr>
          <w:pgSz w:w="11900" w:h="16838" w:orient="portrait"/>
          <w:cols w:equalWidth="0" w:num="3">
            <w:col w:w="4700" w:space="720"/>
            <w:col w:w="1900" w:space="720"/>
            <w:col w:w="3380"/>
          </w:cols>
          <w:pgMar w:left="240" w:top="617" w:right="2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26" w:lineRule="exact"/>
        <w:rPr>
          <w:sz w:val="20"/>
          <w:szCs w:val="20"/>
          <w:color w:val="auto"/>
        </w:rPr>
      </w:pPr>
    </w:p>
    <w:p>
      <w:pPr>
        <w:sectPr>
          <w:pgSz w:w="11900" w:h="16838" w:orient="portrait"/>
          <w:cols w:equalWidth="0" w:num="3">
            <w:col w:w="4400" w:space="720"/>
            <w:col w:w="2020" w:space="720"/>
            <w:col w:w="3560"/>
          </w:cols>
          <w:pgMar w:left="240" w:top="617" w:right="239" w:bottom="1440" w:gutter="0" w:footer="0" w:header="0"/>
          <w:type w:val="continuous"/>
        </w:sectPr>
      </w:pPr>
    </w:p>
    <w:p>
      <w:pPr>
        <w:spacing w:after="0"/>
        <w:rPr>
          <w:sz w:val="20"/>
          <w:szCs w:val="20"/>
          <w:color w:val="auto"/>
        </w:rPr>
      </w:pPr>
      <w:r>
        <w:rPr>
          <w:rFonts w:ascii="Arial" w:cs="Arial" w:eastAsia="Arial" w:hAnsi="Arial"/>
          <w:sz w:val="18"/>
          <w:szCs w:val="18"/>
          <w:color w:val="auto"/>
        </w:rPr>
        <w:t>National CineMedia, LLC: None.</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17, 2019, National CineMedia, LLC (“NCM LLC”) and each of Cinemark USA, Inc. (“Cinemark”) and Regal Cinemas, Inc. (“Regal”) entered into amendments to the Amended and Restated Exhibitor Services Agreements (“ESAs”) between NCM LLC and each of Cinemark and Regal, respectively. The amendments to the ESAs extend the terms of the ESAs and modify the program distributed by NCM LLC through its Digital Content Network for exhibition in Cinemark and Regal theaters (the “Pre-Feature Program”).</w:t>
      </w:r>
    </w:p>
    <w:p>
      <w:pPr>
        <w:spacing w:after="0" w:line="13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Extended Term of the ESAs. </w:t>
      </w:r>
      <w:r>
        <w:rPr>
          <w:rFonts w:ascii="Arial" w:cs="Arial" w:eastAsia="Arial" w:hAnsi="Arial"/>
          <w:sz w:val="18"/>
          <w:szCs w:val="18"/>
          <w:color w:val="auto"/>
        </w:rPr>
        <w:t>NCM LLC and each of Cinemark and Regal extended the term of the respective ESA by an additional four years from</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13, 2037 to February 13, 2041.</w:t>
      </w:r>
    </w:p>
    <w:p>
      <w:pPr>
        <w:spacing w:after="0" w:line="116"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i w:val="1"/>
          <w:iCs w:val="1"/>
          <w:color w:val="auto"/>
        </w:rPr>
        <w:t xml:space="preserve">Post-Showtime Advertising. </w:t>
      </w:r>
      <w:r>
        <w:rPr>
          <w:rFonts w:ascii="Arial" w:cs="Arial" w:eastAsia="Arial" w:hAnsi="Arial"/>
          <w:sz w:val="16"/>
          <w:szCs w:val="16"/>
          <w:color w:val="auto"/>
        </w:rPr>
        <w:t>Beginning on November 1, 2019, NCM LLC will be entitled to display up to five minutes of its Pre-Feature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scheduled showtime of a feature film (“Post-Showtime Inventory”). The amount of time included in the Pre-Feature Program displayed prior to showtime will be reduced by the sum of five minutes plus the aggregate length of time of any Platinum Spot, as described further below.</w:t>
      </w:r>
    </w:p>
    <w:p>
      <w:pPr>
        <w:spacing w:after="0" w:line="9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consideration for utilization of the theaters post-showtime, Cinemark and Regal will be entitled to receive post-showtime theater access fees. These fees are based upon Cinemark's or Regal’s attendance and a post-showtime theater access fee per patron. NCM LLC will pay a post-showtime theater access fee to Cinemark and Regal as follows: (i) beginning on November 1, 2019, $0.025 per patron, (ii) beginning on November 1, 2020, $0.0375 per patron,</w:t>
      </w:r>
    </w:p>
    <w:p>
      <w:pPr>
        <w:ind w:right="80" w:firstLine="8"/>
        <w:spacing w:after="0" w:line="255"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on November 1, 2021, $0.05 per patron, (iv) beginning on November 1, 2022, the post-showtime theater access fee per patron will increase by 4 percent and (v) beginning on November 1, 2027 and every five years thereafter on November 1, the post-showtime theater access fee per patron will increase by 8 percent.</w:t>
      </w:r>
    </w:p>
    <w:p>
      <w:pPr>
        <w:spacing w:after="0" w:line="136"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i w:val="1"/>
          <w:iCs w:val="1"/>
          <w:color w:val="auto"/>
        </w:rPr>
        <w:t xml:space="preserve">Platinum Spot. </w:t>
      </w:r>
      <w:r>
        <w:rPr>
          <w:rFonts w:ascii="Arial" w:cs="Arial" w:eastAsia="Arial" w:hAnsi="Arial"/>
          <w:sz w:val="17"/>
          <w:szCs w:val="17"/>
          <w:color w:val="auto"/>
        </w:rPr>
        <w:t>Beginning on November 1, 2019, NCM LLC will be entitled to display an additional single unit that is either 30 or 60 seconds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Pre-Feature Program in the trailer position directly prior to the “attached” trailers preceding the feature film (the “Platinum Spot”). The “attached” trailers are those provided by studios to Cinemark and Regal that are with the feature film, which is at least one trailer, but sometimes two trailers.</w:t>
      </w:r>
    </w:p>
    <w:p>
      <w:pPr>
        <w:spacing w:after="0" w:line="1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consideration for the utilization of the theaters post-showtime for Platinum Spots, Cinemark and Regal will be entitled to receive 25 percent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33"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i w:val="1"/>
          <w:iCs w:val="1"/>
          <w:color w:val="auto"/>
        </w:rPr>
        <w:t xml:space="preserve">Beverage Slot. </w:t>
      </w:r>
      <w:r>
        <w:rPr>
          <w:rFonts w:ascii="Arial" w:cs="Arial" w:eastAsia="Arial" w:hAnsi="Arial"/>
          <w:sz w:val="17"/>
          <w:szCs w:val="17"/>
          <w:color w:val="auto"/>
        </w:rPr>
        <w:t>The beverage agreement advertising rate related to the beverage slot at Cinemark and Regal theaters will increase by two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annually, effective beginning the first day of the 2020 fiscal year and thereafter on the first day of each subsequent fiscal year.</w:t>
      </w:r>
    </w:p>
    <w:p>
      <w:pPr>
        <w:spacing w:after="0" w:line="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Optional Termination of Amendments. </w:t>
      </w:r>
      <w:r>
        <w:rPr>
          <w:rFonts w:ascii="Arial" w:cs="Arial" w:eastAsia="Arial" w:hAnsi="Arial"/>
          <w:sz w:val="17"/>
          <w:szCs w:val="17"/>
          <w:color w:val="auto"/>
        </w:rPr>
        <w:t>In its sole discretion, NCM LLC may, by written notice to each of Cinemark and Regal no later than August 1,</w:t>
      </w:r>
      <w:r>
        <w:rPr>
          <w:rFonts w:ascii="Arial" w:cs="Arial" w:eastAsia="Arial" w:hAnsi="Arial"/>
          <w:sz w:val="17"/>
          <w:szCs w:val="17"/>
          <w:i w:val="1"/>
          <w:iCs w:val="1"/>
          <w:color w:val="auto"/>
        </w:rPr>
        <w:t xml:space="preserve"> </w:t>
      </w:r>
      <w:r>
        <w:rPr>
          <w:rFonts w:ascii="Arial" w:cs="Arial" w:eastAsia="Arial" w:hAnsi="Arial"/>
          <w:sz w:val="17"/>
          <w:szCs w:val="17"/>
          <w:color w:val="auto"/>
        </w:rPr>
        <w:t>2022, terminate the amendments effective November 1, 2022. If NCM LLC exercises such termination option, then as of November 1, 2022, the ESAs will revert to the terms that were effective immediately prior to the amendments, other than certain changes to the confidentiality provision.</w:t>
      </w:r>
    </w:p>
    <w:p>
      <w:pPr>
        <w:spacing w:after="0" w:line="30"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terms of the ESA amendments were approved by the Board of Directors of National CineMedia, Inc. (“NCM, Inc.”), which serves as sole manager of NCM LLC, and by a committee of disinterested directors of the NCM, Inc. Board of Directors. The committee engaged its own separate legal counsel and financial advisors to advise it regarding the ESA amendments. The committee received a fairness opinion in connection with the ESA amendments.</w:t>
      </w:r>
    </w:p>
    <w:p>
      <w:pPr>
        <w:spacing w:after="0" w:line="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terms and conditions of the amendments to the ESAs does not purport to be complete and is qualified in its entirety by reference to the amendments, copies of which are attached as Exhibits 10.1 and 10.2 hereto and incorporated herein by reference. Descriptions of the ESAs and certain relationships between NCM LLC and each of Cine</w:t>
      </w:r>
    </w:p>
    <w:p>
      <w:pPr>
        <w:sectPr>
          <w:pgSz w:w="11900" w:h="16838" w:orient="portrait"/>
          <w:cols w:equalWidth="0" w:num="1">
            <w:col w:w="11420"/>
          </w:cols>
          <w:pgMar w:left="240" w:top="617" w:right="239" w:bottom="1440" w:gutter="0" w:footer="0" w:header="0"/>
          <w:type w:val="continuous"/>
        </w:sectPr>
      </w:pPr>
    </w:p>
    <w:bookmarkStart w:id="2" w:name="page3"/>
    <w:bookmarkEnd w:id="2"/>
    <w:p>
      <w:pPr>
        <w:ind w:right="600"/>
        <w:spacing w:after="0" w:line="277" w:lineRule="auto"/>
        <w:rPr>
          <w:sz w:val="20"/>
          <w:szCs w:val="20"/>
          <w:color w:val="auto"/>
        </w:rPr>
      </w:pPr>
      <w:r>
        <w:rPr>
          <w:rFonts w:ascii="Arial" w:cs="Arial" w:eastAsia="Arial" w:hAnsi="Arial"/>
          <w:sz w:val="18"/>
          <w:szCs w:val="18"/>
          <w:color w:val="auto"/>
        </w:rPr>
        <w:t>mark and Regal can be found in the definitive proxy statement filed by NCM, Inc. on March 14, 2019 under “Certain Relationships and Related Party Transactions - Transactions with Founding Members.”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1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NCM LLC has scheduled a conference call and audio webcast to discuss the ESA amendments at 9 a.m. Eastern Time on Tuesday, September 17, 2019. An updated investor presentation of NCM, Inc. will also be available at NCM, Inc.’s website at </w:t>
      </w:r>
      <w:r>
        <w:rPr>
          <w:rFonts w:ascii="Arial" w:cs="Arial" w:eastAsia="Arial" w:hAnsi="Arial"/>
          <w:sz w:val="16"/>
          <w:szCs w:val="16"/>
          <w:u w:val="single" w:color="auto"/>
          <w:color w:val="0563C1"/>
        </w:rPr>
        <w:t>http://investor.ncm.com</w:t>
      </w:r>
      <w:r>
        <w:rPr>
          <w:rFonts w:ascii="Arial" w:cs="Arial" w:eastAsia="Arial" w:hAnsi="Arial"/>
          <w:sz w:val="16"/>
          <w:szCs w:val="16"/>
          <w:color w:val="auto"/>
        </w:rPr>
        <w:t xml:space="preserve"> under “Featured Documents.”</w:t>
      </w:r>
    </w:p>
    <w:p>
      <w:pPr>
        <w:spacing w:after="0" w:line="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information on NCM’s website is not incorporated by reference into this Current Report on Form 8-K. The information in this Item 7.01 shall not be deemed “filed” for purposes of Section 18 of the Securities Exchange Act of 1934, as amended, nor shall it be deemed incorporated by reference in any filing under the Securities Act of 1933, as amended, except as shall be expressly set forth by reference to such filing.</w:t>
      </w:r>
    </w:p>
    <w:p>
      <w:pPr>
        <w:spacing w:after="0" w:line="200" w:lineRule="exact"/>
        <w:rPr>
          <w:sz w:val="20"/>
          <w:szCs w:val="20"/>
          <w:color w:val="auto"/>
        </w:rPr>
      </w:pPr>
    </w:p>
    <w:p>
      <w:pPr>
        <w:spacing w:after="0" w:line="2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Exhibit Number</w:t>
            </w:r>
          </w:p>
        </w:tc>
        <w:tc>
          <w:tcPr>
            <w:tcW w:w="104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7700" w:type="dxa"/>
            <w:vAlign w:val="bottom"/>
            <w:gridSpan w:val="4"/>
          </w:tcPr>
          <w:p>
            <w:pPr>
              <w:spacing w:after="0"/>
              <w:rPr>
                <w:sz w:val="17"/>
                <w:szCs w:val="17"/>
                <w:color w:val="auto"/>
              </w:rPr>
            </w:pPr>
          </w:p>
        </w:tc>
      </w:tr>
      <w:tr>
        <w:trPr>
          <w:trHeight w:val="466"/>
        </w:trPr>
        <w:tc>
          <w:tcPr>
            <w:tcW w:w="2200" w:type="dxa"/>
            <w:vAlign w:val="bottom"/>
            <w:gridSpan w:val="2"/>
          </w:tcPr>
          <w:p>
            <w:pPr>
              <w:jc w:val="right"/>
              <w:ind w:right="920"/>
              <w:spacing w:after="0"/>
              <w:rPr>
                <w:sz w:val="20"/>
                <w:szCs w:val="20"/>
                <w:color w:val="auto"/>
              </w:rPr>
            </w:pPr>
            <w:r>
              <w:rPr>
                <w:rFonts w:ascii="Arial" w:cs="Arial" w:eastAsia="Arial" w:hAnsi="Arial"/>
                <w:sz w:val="18"/>
                <w:szCs w:val="18"/>
                <w:color w:val="auto"/>
              </w:rPr>
              <w:t>10.1*</w:t>
            </w:r>
          </w:p>
        </w:tc>
        <w:tc>
          <w:tcPr>
            <w:tcW w:w="85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First Amendment to the Amended and Restated Exhibitor Services Agreement dated as of September 17, 2019, by and</w:t>
              </w:r>
            </w:hyperlink>
          </w:p>
        </w:tc>
      </w:tr>
      <w:tr>
        <w:trPr>
          <w:trHeight w:val="196"/>
        </w:trPr>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540" w:type="dxa"/>
            <w:vAlign w:val="bottom"/>
            <w:gridSpan w:val="5"/>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between National CineMedia, LLC and Cinemark USA, Inc.</w:t>
              </w:r>
            </w:hyperlink>
          </w:p>
        </w:tc>
      </w:tr>
      <w:tr>
        <w:trPr>
          <w:trHeight w:val="20"/>
        </w:trPr>
        <w:tc>
          <w:tcPr>
            <w:tcW w:w="2200" w:type="dxa"/>
            <w:vAlign w:val="bottom"/>
            <w:gridSpan w:val="2"/>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200" w:type="dxa"/>
            <w:vAlign w:val="bottom"/>
            <w:gridSpan w:val="2"/>
          </w:tcPr>
          <w:p>
            <w:pPr>
              <w:jc w:val="right"/>
              <w:ind w:right="920"/>
              <w:spacing w:after="0"/>
              <w:rPr>
                <w:sz w:val="20"/>
                <w:szCs w:val="20"/>
                <w:color w:val="auto"/>
              </w:rPr>
            </w:pPr>
            <w:r>
              <w:rPr>
                <w:rFonts w:ascii="Arial" w:cs="Arial" w:eastAsia="Arial" w:hAnsi="Arial"/>
                <w:sz w:val="18"/>
                <w:szCs w:val="18"/>
                <w:color w:val="auto"/>
              </w:rPr>
              <w:t>10.2*</w:t>
            </w:r>
          </w:p>
        </w:tc>
        <w:tc>
          <w:tcPr>
            <w:tcW w:w="844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Second Amendment to the Amended and Restated Exhibitor Services Agreement dated as of September 17, 2019, by</w:t>
              </w:r>
            </w:hyperlink>
          </w:p>
        </w:tc>
        <w:tc>
          <w:tcPr>
            <w:tcW w:w="100" w:type="dxa"/>
            <w:vAlign w:val="bottom"/>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18">
              <w:r>
                <w:rPr>
                  <w:rFonts w:ascii="Arial" w:cs="Arial" w:eastAsia="Arial" w:hAnsi="Arial"/>
                  <w:sz w:val="18"/>
                  <w:szCs w:val="18"/>
                  <w:color w:val="0000FF"/>
                  <w:w w:val="90"/>
                </w:rPr>
                <w:t>and between National CineMedia, LLC and Regal Cinemas, Inc.</w:t>
              </w:r>
            </w:hyperlink>
          </w:p>
        </w:tc>
        <w:tc>
          <w:tcPr>
            <w:tcW w:w="3880" w:type="dxa"/>
            <w:vAlign w:val="bottom"/>
            <w:gridSpan w:val="2"/>
          </w:tcPr>
          <w:p>
            <w:pPr>
              <w:spacing w:after="0"/>
              <w:rPr>
                <w:sz w:val="17"/>
                <w:szCs w:val="17"/>
                <w:color w:val="auto"/>
              </w:rPr>
            </w:pPr>
          </w:p>
        </w:tc>
      </w:tr>
    </w:tbl>
    <w:p>
      <w:pPr>
        <w:spacing w:after="0" w:line="202" w:lineRule="exact"/>
        <w:rPr>
          <w:sz w:val="20"/>
          <w:szCs w:val="20"/>
          <w:color w:val="auto"/>
        </w:rPr>
      </w:pPr>
    </w:p>
    <w:p>
      <w:pPr>
        <w:ind w:left="580" w:right="800" w:hanging="545"/>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Portions of these exhibits have been omitted pursuant to Rules 601(a)(5) and 601(b)(10) of Regulation S-K. The registrants agree to supplementally furnish to the Securities and Exchange Commission, upon request, unredacted copies of the exhibits, including any omitted schedules.</w:t>
      </w:r>
    </w:p>
    <w:p>
      <w:pPr>
        <w:sectPr>
          <w:pgSz w:w="11900" w:h="16838" w:orient="portrait"/>
          <w:cols w:equalWidth="0" w:num="1">
            <w:col w:w="11400"/>
          </w:cols>
          <w:pgMar w:left="240" w:top="665" w:right="2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of NCM, Inc. and NCM LLC has duly caused this report to be signed on its behalf by the undersigned hereunto duly authorized.</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NATIONAL CINEMEDIA, INC.</w:t>
      </w:r>
    </w:p>
    <w:p>
      <w:pPr>
        <w:spacing w:after="0" w:line="387" w:lineRule="exact"/>
        <w:rPr>
          <w:sz w:val="20"/>
          <w:szCs w:val="20"/>
          <w:color w:val="auto"/>
        </w:rPr>
      </w:pPr>
    </w:p>
    <w:p>
      <w:pPr>
        <w:ind w:left="520"/>
        <w:spacing w:after="0"/>
        <w:tabs>
          <w:tab w:leader="none" w:pos="6460" w:val="left"/>
          <w:tab w:leader="none" w:pos="7200" w:val="left"/>
        </w:tabs>
        <w:rPr>
          <w:sz w:val="20"/>
          <w:szCs w:val="20"/>
          <w:color w:val="auto"/>
        </w:rPr>
      </w:pPr>
      <w:r>
        <w:rPr>
          <w:rFonts w:ascii="Arial" w:cs="Arial" w:eastAsia="Arial" w:hAnsi="Arial"/>
          <w:sz w:val="18"/>
          <w:szCs w:val="18"/>
          <w:color w:val="auto"/>
        </w:rPr>
        <w:t>Dated: September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Sarah Kinnick Hilty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375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Sarah Kinnick Hilty</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Senior Vice President, General Counsel</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and Secretary</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NATIONAL CINEMEDIA,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National CineMedia, Inc., its manager</w:t>
      </w:r>
    </w:p>
    <w:p>
      <w:pPr>
        <w:spacing w:after="0" w:line="373" w:lineRule="exact"/>
        <w:rPr>
          <w:sz w:val="20"/>
          <w:szCs w:val="20"/>
          <w:color w:val="auto"/>
        </w:rPr>
      </w:pPr>
    </w:p>
    <w:p>
      <w:pPr>
        <w:ind w:left="520"/>
        <w:spacing w:after="0"/>
        <w:tabs>
          <w:tab w:leader="none" w:pos="6460" w:val="left"/>
          <w:tab w:leader="none" w:pos="7200" w:val="left"/>
        </w:tabs>
        <w:rPr>
          <w:sz w:val="20"/>
          <w:szCs w:val="20"/>
          <w:color w:val="auto"/>
        </w:rPr>
      </w:pPr>
      <w:r>
        <w:rPr>
          <w:rFonts w:ascii="Arial" w:cs="Arial" w:eastAsia="Arial" w:hAnsi="Arial"/>
          <w:sz w:val="18"/>
          <w:szCs w:val="18"/>
          <w:color w:val="auto"/>
        </w:rPr>
        <w:t>Dated: September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Sarah Kinnick Hilty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375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Sarah Kinnick Hilty</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Senior Vice President, General Counsel</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280"/>
          </w:cols>
          <w:pgMar w:left="240" w:top="58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w:t>
      </w:r>
    </w:p>
    <w:p>
      <w:pPr>
        <w:spacing w:after="0" w:line="252" w:lineRule="exact"/>
        <w:rPr>
          <w:sz w:val="20"/>
          <w:szCs w:val="20"/>
          <w:color w:val="auto"/>
        </w:rPr>
      </w:pPr>
    </w:p>
    <w:p>
      <w:pPr>
        <w:jc w:val="both"/>
        <w:ind w:right="420"/>
        <w:spacing w:after="0" w:line="256" w:lineRule="auto"/>
        <w:rPr>
          <w:sz w:val="20"/>
          <w:szCs w:val="20"/>
          <w:color w:val="auto"/>
        </w:rPr>
      </w:pPr>
      <w:r>
        <w:rPr>
          <w:rFonts w:ascii="Arial" w:cs="Arial" w:eastAsia="Arial" w:hAnsi="Arial"/>
          <w:sz w:val="22"/>
          <w:szCs w:val="22"/>
          <w:b w:val="1"/>
          <w:bCs w:val="1"/>
          <w:color w:val="auto"/>
        </w:rPr>
        <w:t>NOTE: CERTAIN IDENTIFIED INFORMATION HAS BEEN EXCLUDED FROM THIS EXHIBIT BECAUSE IT IS NOT MATERIAL AND WOULD LIKELY CAUSE COMPETITIVE HARM TO THE REGISTRANT IF PUBLICLY DISCLOSED. “[***]” INDICATES THAT INFORMATION HAS BEEN REDACTED.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EXHIBITOR SERVICES AGREEMENT</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First Amendment to Amended and Restated Exhibitor Services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dated September 17, 2019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is by and between National CineMedia, LLC (“</w:t>
      </w:r>
      <w:r>
        <w:rPr>
          <w:rFonts w:ascii="Arial" w:cs="Arial" w:eastAsia="Arial" w:hAnsi="Arial"/>
          <w:sz w:val="22"/>
          <w:szCs w:val="22"/>
          <w:b w:val="1"/>
          <w:bCs w:val="1"/>
          <w:color w:val="auto"/>
        </w:rPr>
        <w:t>LLC</w:t>
      </w:r>
      <w:r>
        <w:rPr>
          <w:rFonts w:ascii="Arial" w:cs="Arial" w:eastAsia="Arial" w:hAnsi="Arial"/>
          <w:sz w:val="22"/>
          <w:szCs w:val="22"/>
          <w:color w:val="auto"/>
        </w:rPr>
        <w:t>”) and Cinemark USA, Inc. (“</w:t>
      </w:r>
      <w:r>
        <w:rPr>
          <w:rFonts w:ascii="Arial" w:cs="Arial" w:eastAsia="Arial" w:hAnsi="Arial"/>
          <w:sz w:val="22"/>
          <w:szCs w:val="22"/>
          <w:b w:val="1"/>
          <w:bCs w:val="1"/>
          <w:color w:val="auto"/>
        </w:rPr>
        <w:t>Cinemark</w:t>
      </w:r>
      <w:r>
        <w:rPr>
          <w:rFonts w:ascii="Arial" w:cs="Arial" w:eastAsia="Arial" w:hAnsi="Arial"/>
          <w:sz w:val="22"/>
          <w:szCs w:val="22"/>
          <w:color w:val="auto"/>
        </w:rPr>
        <w:t>”). Capitalized terms used but not defined herein shall have the respective meanings given to them in the Amended and Restated Exhibitor Services Agreement between LLC and Cinemark, dated as of February 13, 2007 and amended and restated as of December 26, 2013 (the “</w:t>
      </w:r>
      <w:r>
        <w:rPr>
          <w:rFonts w:ascii="Arial" w:cs="Arial" w:eastAsia="Arial" w:hAnsi="Arial"/>
          <w:sz w:val="22"/>
          <w:szCs w:val="22"/>
          <w:b w:val="1"/>
          <w:bCs w:val="1"/>
          <w:color w:val="auto"/>
        </w:rPr>
        <w:t>ESA</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ESA; and</w:t>
      </w:r>
    </w:p>
    <w:p>
      <w:pPr>
        <w:spacing w:after="0" w:line="220"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of Directors of National CineMedia, Inc. (“</w:t>
      </w:r>
      <w:r>
        <w:rPr>
          <w:rFonts w:ascii="Arial" w:cs="Arial" w:eastAsia="Arial" w:hAnsi="Arial"/>
          <w:sz w:val="21"/>
          <w:szCs w:val="21"/>
          <w:b w:val="1"/>
          <w:bCs w:val="1"/>
          <w:color w:val="auto"/>
        </w:rPr>
        <w:t>NCM Parent</w:t>
      </w:r>
      <w:r>
        <w:rPr>
          <w:rFonts w:ascii="Arial" w:cs="Arial" w:eastAsia="Arial" w:hAnsi="Arial"/>
          <w:sz w:val="21"/>
          <w:szCs w:val="21"/>
          <w:color w:val="auto"/>
        </w:rPr>
        <w:t>”) and the Transaction Review Committee of</w:t>
      </w:r>
      <w:r>
        <w:rPr>
          <w:rFonts w:ascii="Arial" w:cs="Arial" w:eastAsia="Arial" w:hAnsi="Arial"/>
          <w:sz w:val="21"/>
          <w:szCs w:val="21"/>
          <w:b w:val="1"/>
          <w:bCs w:val="1"/>
          <w:color w:val="auto"/>
        </w:rPr>
        <w:t xml:space="preserve"> </w:t>
      </w:r>
      <w:r>
        <w:rPr>
          <w:rFonts w:ascii="Arial" w:cs="Arial" w:eastAsia="Arial" w:hAnsi="Arial"/>
          <w:sz w:val="21"/>
          <w:szCs w:val="21"/>
          <w:color w:val="auto"/>
        </w:rPr>
        <w:t>NCM Parent have deemed this Amendment to be in the best interest of NCM Parent and its shareholders.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covenants and conditions set forth below,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8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b w:val="1"/>
          <w:bCs w:val="1"/>
          <w:i w:val="1"/>
          <w:iCs w:val="1"/>
          <w:color w:val="auto"/>
        </w:rPr>
        <w:t>Definitions.</w:t>
      </w:r>
    </w:p>
    <w:p>
      <w:pPr>
        <w:spacing w:after="0" w:line="26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A.  The following definitions are hereby added to the ESA and inserted alphabetically into Section 1.01 thereof:</w:t>
      </w:r>
    </w:p>
    <w:p>
      <w:pPr>
        <w:spacing w:after="0" w:line="254" w:lineRule="exact"/>
        <w:rPr>
          <w:rFonts w:ascii="Arial" w:cs="Arial" w:eastAsia="Arial" w:hAnsi="Arial"/>
          <w:sz w:val="22"/>
          <w:szCs w:val="22"/>
          <w:color w:val="auto"/>
        </w:rPr>
      </w:pPr>
    </w:p>
    <w:p>
      <w:pPr>
        <w:jc w:val="both"/>
        <w:ind w:left="1040"/>
        <w:spacing w:after="0" w:line="262" w:lineRule="auto"/>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Post-Showtime Revenue</w:t>
      </w:r>
      <w:r>
        <w:rPr>
          <w:rFonts w:ascii="Arial" w:cs="Arial" w:eastAsia="Arial" w:hAnsi="Arial"/>
          <w:sz w:val="21"/>
          <w:szCs w:val="21"/>
          <w:color w:val="auto"/>
        </w:rPr>
        <w:t>” means, for the applicable measurement period, the total revenue, in the form of cash and non-cash consideration, payable to LLC for Advertising Services displayed in any Post-Showtime Inventory, excluding revenue payable to LLC related to (i) Event Sponsorships, (ii) Advertising Services provided to third parties that are not Founding Members, (iii) Advertising Services provided to Founding Members outside the provisions of this Agreement pursuant to a written agreement between LLC and such Founding Members, (iv) Inventory displayed prior to Showtime, and (v) Trailer Pod Inventory.</w:t>
      </w:r>
    </w:p>
    <w:p>
      <w:pPr>
        <w:spacing w:after="0" w:line="173" w:lineRule="exact"/>
        <w:rPr>
          <w:rFonts w:ascii="Arial" w:cs="Arial" w:eastAsia="Arial" w:hAnsi="Arial"/>
          <w:sz w:val="22"/>
          <w:szCs w:val="22"/>
          <w:color w:val="auto"/>
        </w:rPr>
      </w:pPr>
    </w:p>
    <w:p>
      <w:pPr>
        <w:jc w:val="both"/>
        <w:ind w:left="1040"/>
        <w:spacing w:after="0" w:line="248"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Trailer Pod Revenue</w:t>
      </w:r>
      <w:r>
        <w:rPr>
          <w:rFonts w:ascii="Arial" w:cs="Arial" w:eastAsia="Arial" w:hAnsi="Arial"/>
          <w:sz w:val="22"/>
          <w:szCs w:val="22"/>
          <w:color w:val="auto"/>
        </w:rPr>
        <w:t>” means, for the applicable measurement period, the total revenue, in the form of cash, payable to LLC for Advertising Services displayed in any Trailer Pod Inventory, excluding revenue payable to LLC related to (i) Event Sponsorships, (ii) Advertising Services provided to third parties that are not Founding Members, (iii) Advertising Services provided to Founding Members outside the provisions of this Agreement pursuant to a written agreement between LLC and such Founding Members, (iv) Inventory displayed prior to Showtime, and (v) Post-Showtime Inventory.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796" w:right="239" w:bottom="1440" w:gutter="0" w:footer="0" w:header="0"/>
        </w:sectPr>
      </w:pPr>
    </w:p>
    <w:bookmarkStart w:id="5" w:name="page6"/>
    <w:bookmarkEnd w:id="5"/>
    <w:p>
      <w:pPr>
        <w:ind w:left="330"/>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Beverage Slot</w:t>
      </w:r>
      <w:r>
        <w:rPr>
          <w:rFonts w:ascii="Arial" w:cs="Arial" w:eastAsia="Arial" w:hAnsi="Arial"/>
          <w:sz w:val="22"/>
          <w:szCs w:val="22"/>
          <w:color w:val="auto"/>
        </w:rPr>
        <w:t>” means the Inventory sold to Cinemark pursuant to Section 4.06(a).</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Pro-Rated Platinum Revenue Minimum</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Co-Branded Slot</w:t>
      </w:r>
      <w:r>
        <w:rPr>
          <w:rFonts w:ascii="Arial" w:cs="Arial" w:eastAsia="Arial" w:hAnsi="Arial"/>
          <w:sz w:val="22"/>
          <w:szCs w:val="22"/>
          <w:color w:val="auto"/>
        </w:rPr>
        <w:t>” has the meaning assigned to it in Section 4.06(a).</w:t>
      </w:r>
    </w:p>
    <w:p>
      <w:pPr>
        <w:spacing w:after="0" w:line="220" w:lineRule="exact"/>
        <w:rPr>
          <w:sz w:val="20"/>
          <w:szCs w:val="20"/>
          <w:color w:val="auto"/>
        </w:rPr>
      </w:pPr>
    </w:p>
    <w:p>
      <w:pPr>
        <w:ind w:left="33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Exhibitor</w:t>
      </w:r>
      <w:r>
        <w:rPr>
          <w:rFonts w:ascii="Arial" w:cs="Arial" w:eastAsia="Arial" w:hAnsi="Arial"/>
          <w:sz w:val="22"/>
          <w:szCs w:val="22"/>
          <w:color w:val="auto"/>
        </w:rPr>
        <w:t>” means Cinemark or any other motion picture theatre exhibitor which participates in LLC’s Advertising Services.</w:t>
      </w:r>
    </w:p>
    <w:p>
      <w:pPr>
        <w:spacing w:after="0" w:line="168"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ind w:left="33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Platinum Contract Year</w:t>
      </w:r>
      <w:r>
        <w:rPr>
          <w:rFonts w:ascii="Arial" w:cs="Arial" w:eastAsia="Arial" w:hAnsi="Arial"/>
          <w:sz w:val="19"/>
          <w:szCs w:val="19"/>
          <w:color w:val="auto"/>
        </w:rPr>
        <w:t>” means the time period of November 1 of each year to October 31 of the following year.</w:t>
      </w:r>
    </w:p>
    <w:p>
      <w:pPr>
        <w:spacing w:after="0" w:line="254"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Platinum Revenue Minimum</w:t>
      </w:r>
      <w:r>
        <w:rPr>
          <w:rFonts w:ascii="Arial" w:cs="Arial" w:eastAsia="Arial" w:hAnsi="Arial"/>
          <w:sz w:val="22"/>
          <w:szCs w:val="22"/>
          <w:color w:val="auto"/>
        </w:rPr>
        <w:t>” has the meaning assigned to it in Section 4.01(b)(i)(B)(I)(8)(ii).</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Platinum Spot</w:t>
      </w:r>
      <w:r>
        <w:rPr>
          <w:rFonts w:ascii="Arial" w:cs="Arial" w:eastAsia="Arial" w:hAnsi="Arial"/>
          <w:sz w:val="22"/>
          <w:szCs w:val="22"/>
          <w:color w:val="auto"/>
        </w:rPr>
        <w:t>” has the meaning assigned to it in Section 4.01(b)(i)(B)(I)(5).</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Content Revenue</w:t>
      </w:r>
      <w:r>
        <w:rPr>
          <w:rFonts w:ascii="Arial" w:cs="Arial" w:eastAsia="Arial" w:hAnsi="Arial"/>
          <w:sz w:val="22"/>
          <w:szCs w:val="22"/>
          <w:color w:val="auto"/>
        </w:rPr>
        <w:t>” has the meaning assigned to it in Section 4.03A.</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Inventory</w:t>
      </w:r>
      <w:r>
        <w:rPr>
          <w:rFonts w:ascii="Arial" w:cs="Arial" w:eastAsia="Arial" w:hAnsi="Arial"/>
          <w:sz w:val="22"/>
          <w:szCs w:val="22"/>
          <w:color w:val="auto"/>
        </w:rPr>
        <w:t>” has the meaning assigned to it in Section 4.01(b)(i)(B)(I)(4).</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Fees</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Pre-Feature Closing</w:t>
      </w:r>
      <w:r>
        <w:rPr>
          <w:rFonts w:ascii="Arial" w:cs="Arial" w:eastAsia="Arial" w:hAnsi="Arial"/>
          <w:sz w:val="22"/>
          <w:szCs w:val="22"/>
          <w:color w:val="auto"/>
        </w:rPr>
        <w:t>” has the meaning assigned to it in Section 4.05(a).</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Pre-Showtime Reduction</w:t>
      </w:r>
      <w:r>
        <w:rPr>
          <w:rFonts w:ascii="Arial" w:cs="Arial" w:eastAsia="Arial" w:hAnsi="Arial"/>
          <w:sz w:val="22"/>
          <w:szCs w:val="22"/>
          <w:color w:val="auto"/>
        </w:rPr>
        <w:t>” has the meaning assigned to it in Section 4.01(b)(i)(B)(I)(2).</w:t>
      </w:r>
    </w:p>
    <w:p>
      <w:pPr>
        <w:spacing w:after="0" w:line="220" w:lineRule="exact"/>
        <w:rPr>
          <w:sz w:val="20"/>
          <w:szCs w:val="20"/>
          <w:color w:val="auto"/>
        </w:rPr>
      </w:pPr>
    </w:p>
    <w:p>
      <w:pPr>
        <w:jc w:val="both"/>
        <w:ind w:left="33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Pre-Showtime Trailer</w:t>
      </w:r>
      <w:r>
        <w:rPr>
          <w:rFonts w:ascii="Arial" w:cs="Arial" w:eastAsia="Arial" w:hAnsi="Arial"/>
          <w:sz w:val="22"/>
          <w:szCs w:val="22"/>
          <w:color w:val="auto"/>
        </w:rPr>
        <w:t>” is a Trailer up to two and a half (2.5) minutes in length to be displayed by LLC, at Cinemark’s option, on Cinemark’s behalf in the Pre-Feature Program beginning approximately six (6) minutes prior to Showtime and ending approximately three and a half (3.5) minutes prior to Showtime.</w:t>
      </w:r>
    </w:p>
    <w:p>
      <w:pPr>
        <w:spacing w:after="0" w:line="176"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 Pod Fees</w:t>
      </w:r>
      <w:r>
        <w:rPr>
          <w:rFonts w:ascii="Arial" w:cs="Arial" w:eastAsia="Arial" w:hAnsi="Arial"/>
          <w:sz w:val="22"/>
          <w:szCs w:val="22"/>
          <w:color w:val="auto"/>
        </w:rPr>
        <w:t>” has the meaning assigned to it in Section 2.05(b)(i)(C).</w:t>
      </w:r>
    </w:p>
    <w:p>
      <w:pPr>
        <w:spacing w:after="0" w:line="220"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 Pod Inventory</w:t>
      </w:r>
      <w:r>
        <w:rPr>
          <w:rFonts w:ascii="Arial" w:cs="Arial" w:eastAsia="Arial" w:hAnsi="Arial"/>
          <w:sz w:val="22"/>
          <w:szCs w:val="22"/>
          <w:color w:val="auto"/>
        </w:rPr>
        <w:t>” means, collectively, the Platinum Spot [***].</w:t>
      </w:r>
    </w:p>
    <w:p>
      <w:pPr>
        <w:spacing w:after="0" w:line="220" w:lineRule="exact"/>
        <w:rPr>
          <w:sz w:val="20"/>
          <w:szCs w:val="20"/>
          <w:color w:val="auto"/>
        </w:rPr>
      </w:pPr>
    </w:p>
    <w:p>
      <w:pPr>
        <w:jc w:val="both"/>
        <w:ind w:left="33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 Position</w:t>
      </w:r>
      <w:r>
        <w:rPr>
          <w:rFonts w:ascii="Arial" w:cs="Arial" w:eastAsia="Arial" w:hAnsi="Arial"/>
          <w:sz w:val="22"/>
          <w:szCs w:val="22"/>
          <w:color w:val="auto"/>
        </w:rPr>
        <w:t>” means a specified Inventory slot directly preceding the applicable Trailer. For example, “Third Trailer Position” means a slot directly preceding the third Trailer prior to the feature film.</w:t>
      </w:r>
    </w:p>
    <w:p>
      <w:pPr>
        <w:spacing w:after="0" w:line="168" w:lineRule="exact"/>
        <w:rPr>
          <w:sz w:val="20"/>
          <w:szCs w:val="20"/>
          <w:color w:val="auto"/>
        </w:rPr>
      </w:pPr>
    </w:p>
    <w:p>
      <w:pPr>
        <w:ind w:left="33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0" w:hanging="10"/>
        <w:spacing w:after="0" w:line="263" w:lineRule="auto"/>
        <w:tabs>
          <w:tab w:leader="none" w:pos="802"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definition of “Aggregate Advertising Revenue” in Article 1 of the ESA is hereby deleted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5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10"/>
          </w:cols>
          <w:pgMar w:left="950" w:top="1063" w:right="239" w:bottom="1440" w:gutter="0" w:footer="0" w:header="0"/>
        </w:sectPr>
      </w:pPr>
    </w:p>
    <w:bookmarkStart w:id="6" w:name="page7"/>
    <w:bookmarkEnd w:id="6"/>
    <w:p>
      <w:pPr>
        <w:jc w:val="both"/>
        <w:ind w:left="104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Aggregate Advertising Revenue</w:t>
      </w:r>
      <w:r>
        <w:rPr>
          <w:rFonts w:ascii="Arial" w:cs="Arial" w:eastAsia="Arial" w:hAnsi="Arial"/>
          <w:sz w:val="19"/>
          <w:szCs w:val="19"/>
          <w:color w:val="auto"/>
        </w:rPr>
        <w:t>” means, for the applicable measurement period, the total revenue, in the form of cash and non-cash consideration, payable to LLC for Advertising Services, excluding revenue payable to LLC related to (i) Event Sponsorships, (ii) Advertising Services provided to third parties that are not Founding Members, (iii) Advertising Services provided to Founding Members outside the provisions of this Agreement pursuant to a written agreement between LLC and such Founding Members, (iv) Post-Showtime Inventory, and (v) Trailer Pod Inventory.</w:t>
      </w:r>
    </w:p>
    <w:p>
      <w:pPr>
        <w:spacing w:after="0" w:line="149" w:lineRule="exact"/>
        <w:rPr>
          <w:sz w:val="20"/>
          <w:szCs w:val="20"/>
          <w:color w:val="auto"/>
        </w:rPr>
      </w:pPr>
    </w:p>
    <w:p>
      <w:pPr>
        <w:ind w:left="1040" w:hanging="384"/>
        <w:spacing w:after="0"/>
        <w:tabs>
          <w:tab w:leader="none" w:pos="1040" w:val="left"/>
        </w:tabs>
        <w:numPr>
          <w:ilvl w:val="2"/>
          <w:numId w:val="7"/>
        </w:numPr>
        <w:rPr>
          <w:rFonts w:ascii="Arial" w:cs="Arial" w:eastAsia="Arial" w:hAnsi="Arial"/>
          <w:sz w:val="19"/>
          <w:szCs w:val="19"/>
          <w:color w:val="auto"/>
        </w:rPr>
      </w:pPr>
      <w:r>
        <w:rPr>
          <w:rFonts w:ascii="Arial" w:cs="Arial" w:eastAsia="Arial" w:hAnsi="Arial"/>
          <w:sz w:val="19"/>
          <w:szCs w:val="19"/>
          <w:color w:val="auto"/>
        </w:rPr>
        <w:t>The definition of “Beverage Agreement” in Article 1 of the ESA is hereby deleted and replaced with the following:</w:t>
      </w:r>
    </w:p>
    <w:p>
      <w:pPr>
        <w:spacing w:after="0" w:line="56" w:lineRule="exact"/>
        <w:rPr>
          <w:rFonts w:ascii="Arial" w:cs="Arial" w:eastAsia="Arial" w:hAnsi="Arial"/>
          <w:sz w:val="19"/>
          <w:szCs w:val="19"/>
          <w:color w:val="auto"/>
        </w:rPr>
      </w:pPr>
    </w:p>
    <w:p>
      <w:pPr>
        <w:jc w:val="both"/>
        <w:ind w:left="1040"/>
        <w:spacing w:after="0" w:line="292"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Beverage Agreement</w:t>
      </w:r>
      <w:r>
        <w:rPr>
          <w:rFonts w:ascii="Arial" w:cs="Arial" w:eastAsia="Arial" w:hAnsi="Arial"/>
          <w:sz w:val="19"/>
          <w:szCs w:val="19"/>
          <w:color w:val="auto"/>
        </w:rPr>
        <w:t>” means the Marketing, Advertising and Brand Presence Agreement by and between Coca-Cola North America, a division of The Coca-Cola Company, and Cinemark, dated as of January 1, 2009 and all exhibits and amendments thereto which is in effect on the effective date of the First Amendment to the Agreement, as such agreement may be amended from time to time, and any subsequent agreements entered into by Cinemark and its beverage concessionaires at the expiration or termination of the agreement referenced above.</w:t>
      </w:r>
    </w:p>
    <w:p>
      <w:pPr>
        <w:spacing w:after="0" w:line="152" w:lineRule="exact"/>
        <w:rPr>
          <w:rFonts w:ascii="Arial" w:cs="Arial" w:eastAsia="Arial" w:hAnsi="Arial"/>
          <w:sz w:val="19"/>
          <w:szCs w:val="19"/>
          <w:color w:val="auto"/>
        </w:rPr>
      </w:pPr>
    </w:p>
    <w:p>
      <w:pPr>
        <w:ind w:left="1040" w:hanging="411"/>
        <w:spacing w:after="0"/>
        <w:tabs>
          <w:tab w:leader="none" w:pos="104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definition of “Pre-Feature Program” in Article 1 of the ESA is hereby deleted and replaced with the following:</w:t>
      </w:r>
    </w:p>
    <w:p>
      <w:pPr>
        <w:spacing w:after="0" w:line="288" w:lineRule="exact"/>
        <w:rPr>
          <w:rFonts w:ascii="Arial" w:cs="Arial" w:eastAsia="Arial" w:hAnsi="Arial"/>
          <w:sz w:val="19"/>
          <w:szCs w:val="19"/>
          <w:color w:val="auto"/>
        </w:rPr>
      </w:pPr>
    </w:p>
    <w:p>
      <w:pPr>
        <w:jc w:val="both"/>
        <w:ind w:left="1040"/>
        <w:spacing w:after="0" w:line="261" w:lineRule="auto"/>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Pre-Feature Program</w:t>
      </w:r>
      <w:r>
        <w:rPr>
          <w:rFonts w:ascii="Arial" w:cs="Arial" w:eastAsia="Arial" w:hAnsi="Arial"/>
          <w:sz w:val="21"/>
          <w:szCs w:val="21"/>
          <w:color w:val="auto"/>
        </w:rPr>
        <w:t>” means a program of digital content of between twenty (20) and thirty (30) minutes in length that is distributed by LLC through the Digital Content Network for exhibition in Digitized Theatres prior to and/or after Showtime (as further described in Section 4.01(b)) of a feature film or other programming or event (other than a Digital Programming Event) or that is distributed non-digitally by some other means, including DVD, for exhibition prior to and/or after Showtime of a feature film or other programming or event (other than a Digital Programming Event) in Non-Digitized Theatres. For the avoidance of doubt, the definition of Pre-Feature Program shall not include any Digital Programming Event Pre-Feature Program.</w:t>
      </w:r>
    </w:p>
    <w:p>
      <w:pPr>
        <w:spacing w:after="0" w:line="180" w:lineRule="exact"/>
        <w:rPr>
          <w:rFonts w:ascii="Arial" w:cs="Arial" w:eastAsia="Arial" w:hAnsi="Arial"/>
          <w:sz w:val="19"/>
          <w:szCs w:val="19"/>
          <w:color w:val="auto"/>
        </w:rPr>
      </w:pPr>
    </w:p>
    <w:p>
      <w:pPr>
        <w:ind w:left="1040" w:hanging="411"/>
        <w:spacing w:after="0"/>
        <w:tabs>
          <w:tab w:leader="none" w:pos="104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definition of “Trailer” in Article 1 of the ESA is hereby deleted and replaced with the following:</w:t>
      </w:r>
    </w:p>
    <w:p>
      <w:pPr>
        <w:spacing w:after="0" w:line="254" w:lineRule="exact"/>
        <w:rPr>
          <w:rFonts w:ascii="Arial" w:cs="Arial" w:eastAsia="Arial" w:hAnsi="Arial"/>
          <w:sz w:val="22"/>
          <w:szCs w:val="22"/>
          <w:color w:val="auto"/>
        </w:rPr>
      </w:pPr>
    </w:p>
    <w:p>
      <w:pPr>
        <w:jc w:val="both"/>
        <w:ind w:left="1040"/>
        <w:spacing w:after="0" w:line="256"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w:t>
      </w:r>
      <w:r>
        <w:rPr>
          <w:rFonts w:ascii="Arial" w:cs="Arial" w:eastAsia="Arial" w:hAnsi="Arial"/>
          <w:sz w:val="22"/>
          <w:szCs w:val="22"/>
          <w:color w:val="auto"/>
        </w:rPr>
        <w:t>” means a promotion secured by Cinemark, directly or indirectly, for a feature film or other programming, other than a Digital Programming Event, that is exhibited in the Theatres either as the Pre-Showtime Trailer or after Showtime.</w:t>
      </w:r>
    </w:p>
    <w:p>
      <w:pPr>
        <w:spacing w:after="0" w:line="182" w:lineRule="exact"/>
        <w:rPr>
          <w:rFonts w:ascii="Arial" w:cs="Arial" w:eastAsia="Arial" w:hAnsi="Arial"/>
          <w:sz w:val="22"/>
          <w:szCs w:val="22"/>
          <w:color w:val="auto"/>
        </w:rPr>
      </w:pPr>
    </w:p>
    <w:p>
      <w:pPr>
        <w:ind w:firstLine="8"/>
        <w:spacing w:after="0" w:line="263" w:lineRule="auto"/>
        <w:tabs>
          <w:tab w:leader="none" w:pos="81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Theatre Access Fees. </w:t>
      </w:r>
      <w:r>
        <w:rPr>
          <w:rFonts w:ascii="Arial" w:cs="Arial" w:eastAsia="Arial" w:hAnsi="Arial"/>
          <w:sz w:val="22"/>
          <w:szCs w:val="22"/>
          <w:color w:val="auto"/>
        </w:rPr>
        <w:t>The heading of Section 2.05(b) and Sections 2.05(b)(i) - (ii) of the ESA are hereby deleted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replaced with the following:</w:t>
      </w:r>
    </w:p>
    <w:p>
      <w:pPr>
        <w:spacing w:after="0" w:line="215"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22"/>
          <w:szCs w:val="22"/>
          <w:b w:val="1"/>
          <w:bCs w:val="1"/>
          <w:color w:val="auto"/>
        </w:rPr>
      </w:pPr>
      <w:r>
        <w:rPr>
          <w:rFonts w:ascii="Arial" w:cs="Arial" w:eastAsia="Arial" w:hAnsi="Arial"/>
          <w:sz w:val="22"/>
          <w:szCs w:val="22"/>
          <w:u w:val="single" w:color="auto"/>
          <w:color w:val="auto"/>
        </w:rPr>
        <w:t>Fees: Theatre Access Fees, Post-Showtime Theatre Access Fees and Trailer Pod Fees</w:t>
      </w:r>
      <w:r>
        <w:rPr>
          <w:rFonts w:ascii="Arial" w:cs="Arial" w:eastAsia="Arial" w:hAnsi="Arial"/>
          <w:sz w:val="22"/>
          <w:szCs w:val="22"/>
          <w:color w:val="auto"/>
        </w:rPr>
        <w:t>.</w:t>
      </w:r>
    </w:p>
    <w:p>
      <w:pPr>
        <w:spacing w:after="0" w:line="260" w:lineRule="exact"/>
        <w:rPr>
          <w:rFonts w:ascii="Arial" w:cs="Arial" w:eastAsia="Arial" w:hAnsi="Arial"/>
          <w:sz w:val="22"/>
          <w:szCs w:val="22"/>
          <w:b w:val="1"/>
          <w:bCs w:val="1"/>
          <w:color w:val="auto"/>
        </w:rPr>
      </w:pPr>
    </w:p>
    <w:p>
      <w:pPr>
        <w:ind w:left="1720" w:hanging="415"/>
        <w:spacing w:after="0"/>
        <w:tabs>
          <w:tab w:leader="none" w:pos="1720"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960" w:hanging="7"/>
        <w:spacing w:after="0" w:line="261" w:lineRule="auto"/>
        <w:tabs>
          <w:tab w:leader="none" w:pos="2584" w:val="left"/>
        </w:tabs>
        <w:numPr>
          <w:ilvl w:val="2"/>
          <w:numId w:val="10"/>
        </w:numPr>
        <w:rPr>
          <w:rFonts w:ascii="Arial" w:cs="Arial" w:eastAsia="Arial" w:hAnsi="Arial"/>
          <w:sz w:val="21"/>
          <w:szCs w:val="21"/>
          <w:color w:val="auto"/>
        </w:rPr>
      </w:pPr>
      <w:r>
        <w:rPr>
          <w:rFonts w:ascii="Arial" w:cs="Arial" w:eastAsia="Arial" w:hAnsi="Arial"/>
          <w:sz w:val="21"/>
          <w:szCs w:val="21"/>
          <w:u w:val="single" w:color="auto"/>
          <w:color w:val="auto"/>
        </w:rPr>
        <w:t>Theatre Access Fees</w:t>
      </w:r>
      <w:r>
        <w:rPr>
          <w:rFonts w:ascii="Arial" w:cs="Arial" w:eastAsia="Arial" w:hAnsi="Arial"/>
          <w:sz w:val="21"/>
          <w:szCs w:val="21"/>
          <w:color w:val="auto"/>
        </w:rPr>
        <w:t xml:space="preserve">. In consideration for utilization of the Theatres pre-Showtime pursuant to the terms hereof, LLC shall calculate and Cinemark shall be entitled to receive a Theatre Access Fee, as set forth in </w:t>
      </w:r>
      <w:r>
        <w:rPr>
          <w:rFonts w:ascii="Arial" w:cs="Arial" w:eastAsia="Arial" w:hAnsi="Arial"/>
          <w:sz w:val="21"/>
          <w:szCs w:val="21"/>
          <w:u w:val="single" w:color="auto"/>
          <w:color w:val="auto"/>
        </w:rPr>
        <w:t>Schedule 1</w:t>
      </w:r>
      <w:r>
        <w:rPr>
          <w:rFonts w:ascii="Arial" w:cs="Arial" w:eastAsia="Arial" w:hAnsi="Arial"/>
          <w:sz w:val="21"/>
          <w:szCs w:val="21"/>
          <w:color w:val="auto"/>
        </w:rPr>
        <w:t>, which shall be paid based on Cinemark Attendance for the relevant fiscal month in which LLC provides the Advertising Services and number of Digital Screens during the fiscal month in which LLC provides the Advertising Services (calculated as the average between the number of Digital Screens on the last day of the fiscal month preceding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5" w:right="239" w:bottom="1440" w:gutter="0" w:footer="0" w:header="0"/>
        </w:sectPr>
      </w:pPr>
    </w:p>
    <w:bookmarkStart w:id="7" w:name="page8"/>
    <w:bookmarkEnd w:id="7"/>
    <w:p>
      <w:pPr>
        <w:jc w:val="both"/>
        <w:ind w:left="1960"/>
        <w:spacing w:after="0" w:line="253" w:lineRule="auto"/>
        <w:rPr>
          <w:sz w:val="20"/>
          <w:szCs w:val="20"/>
          <w:color w:val="auto"/>
        </w:rPr>
      </w:pPr>
      <w:r>
        <w:rPr>
          <w:rFonts w:ascii="Arial" w:cs="Arial" w:eastAsia="Arial" w:hAnsi="Arial"/>
          <w:sz w:val="22"/>
          <w:szCs w:val="22"/>
          <w:color w:val="auto"/>
        </w:rPr>
        <w:t>the relevant fiscal month in which LLC provides the Advertising Services and the last day of the fiscal month in which LLC provides the Advertising Services), and which shall include the amount of 4.03 Revenue allocated to Cinemark for the same fiscal month.</w:t>
      </w:r>
    </w:p>
    <w:p>
      <w:pPr>
        <w:spacing w:after="0" w:line="226" w:lineRule="exact"/>
        <w:rPr>
          <w:sz w:val="20"/>
          <w:szCs w:val="20"/>
          <w:color w:val="auto"/>
        </w:rPr>
      </w:pPr>
    </w:p>
    <w:p>
      <w:pPr>
        <w:jc w:val="both"/>
        <w:ind w:left="1960" w:hanging="7"/>
        <w:spacing w:after="0" w:line="290" w:lineRule="auto"/>
        <w:tabs>
          <w:tab w:leader="none" w:pos="2559" w:val="left"/>
        </w:tabs>
        <w:numPr>
          <w:ilvl w:val="3"/>
          <w:numId w:val="11"/>
        </w:numPr>
        <w:rPr>
          <w:rFonts w:ascii="Arial" w:cs="Arial" w:eastAsia="Arial" w:hAnsi="Arial"/>
          <w:sz w:val="19"/>
          <w:szCs w:val="19"/>
          <w:color w:val="auto"/>
        </w:rPr>
      </w:pPr>
      <w:r>
        <w:rPr>
          <w:rFonts w:ascii="Arial" w:cs="Arial" w:eastAsia="Arial" w:hAnsi="Arial"/>
          <w:sz w:val="19"/>
          <w:szCs w:val="19"/>
          <w:u w:val="single" w:color="auto"/>
          <w:color w:val="auto"/>
        </w:rPr>
        <w:t>Post-Showtime Theatre Access Fees</w:t>
      </w:r>
      <w:r>
        <w:rPr>
          <w:rFonts w:ascii="Arial" w:cs="Arial" w:eastAsia="Arial" w:hAnsi="Arial"/>
          <w:sz w:val="19"/>
          <w:szCs w:val="19"/>
          <w:color w:val="auto"/>
        </w:rPr>
        <w:t xml:space="preserve">. In consideration for utilization of the Theatres post-Showtime pursuant to the terms hereof (other than for [***] Platinum Spots), LLC shall calculate and Cinemark shall be entitled to receive Post-Showtime Theatre Access Fees as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which shall be paid based on Cinemark Attendance for the relevant fiscal month in which LLC provides the Post-Showtime Inventory, and which shall include the amount of Post-Showtime Content Revenue allocated to Cinemark for the same fiscal month. For the avoidance of doubt, the Parties agree that the Post-Showtime Theatre Access Fees for the relevant fiscal month are owed to Cinemark even if the amount of Aggregate Post-Showtime Revenue for the same fiscal month is zero dollars ($0).</w:t>
      </w:r>
    </w:p>
    <w:p>
      <w:pPr>
        <w:spacing w:after="0" w:line="197" w:lineRule="exact"/>
        <w:rPr>
          <w:rFonts w:ascii="Arial" w:cs="Arial" w:eastAsia="Arial" w:hAnsi="Arial"/>
          <w:sz w:val="19"/>
          <w:szCs w:val="19"/>
          <w:color w:val="auto"/>
        </w:rPr>
      </w:pPr>
    </w:p>
    <w:p>
      <w:pPr>
        <w:jc w:val="both"/>
        <w:ind w:left="1960" w:hanging="7"/>
        <w:spacing w:after="0" w:line="265" w:lineRule="auto"/>
        <w:tabs>
          <w:tab w:leader="none" w:pos="2505" w:val="left"/>
        </w:tabs>
        <w:numPr>
          <w:ilvl w:val="3"/>
          <w:numId w:val="11"/>
        </w:numPr>
        <w:rPr>
          <w:rFonts w:ascii="Arial" w:cs="Arial" w:eastAsia="Arial" w:hAnsi="Arial"/>
          <w:sz w:val="21"/>
          <w:szCs w:val="21"/>
          <w:color w:val="auto"/>
        </w:rPr>
      </w:pPr>
      <w:r>
        <w:rPr>
          <w:rFonts w:ascii="Arial" w:cs="Arial" w:eastAsia="Arial" w:hAnsi="Arial"/>
          <w:sz w:val="21"/>
          <w:szCs w:val="21"/>
          <w:u w:val="single" w:color="auto"/>
          <w:color w:val="auto"/>
        </w:rPr>
        <w:t>Trailer Pod Fee</w:t>
      </w:r>
      <w:r>
        <w:rPr>
          <w:rFonts w:ascii="Arial" w:cs="Arial" w:eastAsia="Arial" w:hAnsi="Arial"/>
          <w:sz w:val="21"/>
          <w:szCs w:val="21"/>
          <w:color w:val="auto"/>
        </w:rPr>
        <w:t xml:space="preserve">. In consideration for the utilization of the Theatres post-Showtime for [***] Platinum Spots pursuant to the terms hereof, LLC shall calculate and Cinemark shall be entitled to receive twenty-five (25%) of all revenue generated by LLC from the actual display of [***] Platinum Spots in the Theatres (as more particularly calculated in </w:t>
      </w:r>
      <w:r>
        <w:rPr>
          <w:rFonts w:ascii="Arial" w:cs="Arial" w:eastAsia="Arial" w:hAnsi="Arial"/>
          <w:sz w:val="21"/>
          <w:szCs w:val="21"/>
          <w:u w:val="single" w:color="auto"/>
          <w:color w:val="auto"/>
        </w:rPr>
        <w:t>Schedule 1</w:t>
      </w:r>
      <w:r>
        <w:rPr>
          <w:rFonts w:ascii="Arial" w:cs="Arial" w:eastAsia="Arial" w:hAnsi="Arial"/>
          <w:sz w:val="21"/>
          <w:szCs w:val="21"/>
          <w:color w:val="auto"/>
        </w:rPr>
        <w:t>, the “</w:t>
      </w:r>
      <w:r>
        <w:rPr>
          <w:rFonts w:ascii="Arial" w:cs="Arial" w:eastAsia="Arial" w:hAnsi="Arial"/>
          <w:sz w:val="21"/>
          <w:szCs w:val="21"/>
          <w:b w:val="1"/>
          <w:bCs w:val="1"/>
          <w:color w:val="auto"/>
        </w:rPr>
        <w:t>Trailer Pod Fees</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left="1300" w:firstLine="5"/>
        <w:spacing w:after="0" w:line="287" w:lineRule="auto"/>
        <w:tabs>
          <w:tab w:leader="none" w:pos="1834" w:val="left"/>
        </w:tabs>
        <w:numPr>
          <w:ilvl w:val="2"/>
          <w:numId w:val="12"/>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LLC shall pay Cinemark its Theatre Access Fees, Post-Showtime Theatre Access Fees, [***], and Trailer Pod Fees, as applicable, on or before the last day of LLC’s fiscal month following the fiscal month in which the applicable Advertising Services are provided by LLC; provided that Cinemark has, by the fourteenth (14th) day of LLC’s fiscal month following the fiscal month in which Advertising Services are provided by LLC, given LLC the data regarding attendance and number of Digital Screens necessary for LLC to calculate the Theatre Access Fees, the Post-Showtime Theatre Access Fees, [***], and the Trailer Pod Fees. If Cinemark has not, by the fourteenth (14th) day of LLC’s fiscal month following the fiscal month in which Advertising Services are provided by LLC, given LLC the data regarding attendance and number of Digital Screens necessary for LLC to calculate the Theatre Access Fee, Post-Showtime Theatre Access Fee, [***], or Trailer Pod Fee, the due date of the payment for the relevant fee for which data has not been provided shall be extended by one day for each day that Cinemark is late in providing such data. LLC shall provide Cinemark with a detailed report of the calculation of the Theatre Access Fees, Post-Showtime Theatre Access Fees, [***], and Trailer Pod Fees, pursuant to </w:t>
      </w:r>
      <w:r>
        <w:rPr>
          <w:rFonts w:ascii="Arial" w:cs="Arial" w:eastAsia="Arial" w:hAnsi="Arial"/>
          <w:sz w:val="19"/>
          <w:szCs w:val="19"/>
          <w:u w:val="single" w:color="auto"/>
          <w:color w:val="auto"/>
        </w:rPr>
        <w:t>Schedule 1</w:t>
      </w:r>
      <w:r>
        <w:rPr>
          <w:rFonts w:ascii="Arial" w:cs="Arial" w:eastAsia="Arial" w:hAnsi="Arial"/>
          <w:sz w:val="19"/>
          <w:szCs w:val="19"/>
          <w:color w:val="auto"/>
        </w:rPr>
        <w:t>, which report shall accompany each such payment.</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right="20" w:firstLine="8"/>
        <w:spacing w:after="0" w:line="263" w:lineRule="auto"/>
        <w:tabs>
          <w:tab w:leader="none" w:pos="810"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Non-Cash Consideration</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reference to “Aggregate Advertising Revenue” in Section 2.06 is hereby deleted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replaced with the following: “Aggregate Advertising Revenue and Aggregate Post-Showtime Revenue”.</w:t>
      </w:r>
    </w:p>
    <w:p>
      <w:pPr>
        <w:spacing w:after="0" w:line="215" w:lineRule="exact"/>
        <w:rPr>
          <w:rFonts w:ascii="Arial" w:cs="Arial" w:eastAsia="Arial" w:hAnsi="Arial"/>
          <w:sz w:val="22"/>
          <w:szCs w:val="22"/>
          <w:color w:val="auto"/>
        </w:rPr>
      </w:pPr>
    </w:p>
    <w:p>
      <w:pPr>
        <w:ind w:left="820" w:hanging="812"/>
        <w:spacing w:after="0"/>
        <w:tabs>
          <w:tab w:leader="none" w:pos="820"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Pre-Feature Programs. </w:t>
      </w:r>
      <w:r>
        <w:rPr>
          <w:rFonts w:ascii="Arial" w:cs="Arial" w:eastAsia="Arial" w:hAnsi="Arial"/>
          <w:sz w:val="22"/>
          <w:szCs w:val="22"/>
          <w:color w:val="auto"/>
        </w:rPr>
        <w:t>Section 4.01(b)(i) of the ESA is hereby deleted and replaced with the following:</w:t>
      </w:r>
    </w:p>
    <w:p>
      <w:pPr>
        <w:spacing w:after="0" w:line="21" w:lineRule="exact"/>
        <w:rPr>
          <w:rFonts w:ascii="Arial" w:cs="Arial" w:eastAsia="Arial" w:hAnsi="Arial"/>
          <w:sz w:val="22"/>
          <w:szCs w:val="22"/>
          <w:color w:val="auto"/>
        </w:rPr>
      </w:pPr>
    </w:p>
    <w:p>
      <w:pPr>
        <w:ind w:left="1080" w:hanging="424"/>
        <w:spacing w:after="0"/>
        <w:tabs>
          <w:tab w:leader="none" w:pos="1080"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Pre-Feature Program</w:t>
      </w:r>
      <w:r>
        <w:rPr>
          <w:rFonts w:ascii="Arial" w:cs="Arial" w:eastAsia="Arial" w:hAnsi="Arial"/>
          <w:sz w:val="22"/>
          <w:szCs w:val="22"/>
          <w:color w:val="auto"/>
        </w:rPr>
        <w:t>.</w:t>
      </w:r>
    </w:p>
    <w:p>
      <w:pPr>
        <w:spacing w:after="0" w:line="242" w:lineRule="exact"/>
        <w:rPr>
          <w:sz w:val="20"/>
          <w:szCs w:val="20"/>
          <w:color w:val="auto"/>
        </w:rPr>
      </w:pPr>
    </w:p>
    <w:p>
      <w:pPr>
        <w:ind w:left="1300" w:firstLine="5"/>
        <w:spacing w:after="0" w:line="263" w:lineRule="auto"/>
        <w:tabs>
          <w:tab w:leader="none" w:pos="187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The Pre-Feature Program shall consist of the following elements: (I) commercial advertising; (II) promotions for the Cinemark brand (including the Brand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8" w:name="page9"/>
    <w:bookmarkEnd w:id="8"/>
    <w:p>
      <w:pPr>
        <w:jc w:val="both"/>
        <w:ind w:left="100"/>
        <w:spacing w:after="0" w:line="260" w:lineRule="auto"/>
        <w:rPr>
          <w:sz w:val="20"/>
          <w:szCs w:val="20"/>
          <w:color w:val="auto"/>
        </w:rPr>
      </w:pPr>
      <w:r>
        <w:rPr>
          <w:rFonts w:ascii="Arial" w:cs="Arial" w:eastAsia="Arial" w:hAnsi="Arial"/>
          <w:sz w:val="21"/>
          <w:szCs w:val="21"/>
          <w:color w:val="auto"/>
        </w:rPr>
        <w:t>Branded Slots), Concessions sold and services used by Cinemark and other products and services in accordance with Section 4.05; (III) interstitial content, including the Pre-Feature Closing; (IV) subject to Section 4.01(b)(i)(B)(I)(1), the Pre-Showtime Trailer; and (V) other entertainment programming content which, while promotional of businesses or products, shall be primarily entertaining, educational or informational in nature, rather than commercially inspired. Additionally, only to the extent required by the terms of the Alternative Content Services Agreement and subject to the limitations set forth therein, Event Sponsorships and promotions for Digital Programming Events may be included in the Pre-Feature Program.</w:t>
      </w:r>
    </w:p>
    <w:p>
      <w:pPr>
        <w:spacing w:after="0" w:line="222" w:lineRule="exact"/>
        <w:rPr>
          <w:sz w:val="20"/>
          <w:szCs w:val="20"/>
          <w:color w:val="auto"/>
        </w:rPr>
      </w:pPr>
    </w:p>
    <w:p>
      <w:pPr>
        <w:ind w:left="600" w:hanging="495"/>
        <w:spacing w:after="0"/>
        <w:tabs>
          <w:tab w:leader="none" w:pos="6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Pre-Showtime and Post-Showtime Allocations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180" w:hanging="427"/>
        <w:spacing w:after="0"/>
        <w:tabs>
          <w:tab w:leader="none" w:pos="11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Beginning on November 1, 2019:</w:t>
      </w:r>
    </w:p>
    <w:p>
      <w:pPr>
        <w:spacing w:after="0" w:line="260" w:lineRule="exact"/>
        <w:rPr>
          <w:rFonts w:ascii="Arial" w:cs="Arial" w:eastAsia="Arial" w:hAnsi="Arial"/>
          <w:sz w:val="22"/>
          <w:szCs w:val="22"/>
          <w:color w:val="auto"/>
        </w:rPr>
      </w:pPr>
    </w:p>
    <w:p>
      <w:pPr>
        <w:jc w:val="both"/>
        <w:ind w:left="1880" w:hanging="479"/>
        <w:spacing w:after="0" w:line="253" w:lineRule="auto"/>
        <w:tabs>
          <w:tab w:leader="none" w:pos="18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Cinemark will have the option to display a Pre-Showtime Trailer. Pre-Showtime Trailer display requests will be in accordance with the then-current LLC national advertising delivery guidelines and specifications.</w:t>
      </w:r>
    </w:p>
    <w:p>
      <w:pPr>
        <w:spacing w:after="0" w:line="226" w:lineRule="exact"/>
        <w:rPr>
          <w:rFonts w:ascii="Arial" w:cs="Arial" w:eastAsia="Arial" w:hAnsi="Arial"/>
          <w:sz w:val="22"/>
          <w:szCs w:val="22"/>
          <w:color w:val="auto"/>
        </w:rPr>
      </w:pPr>
    </w:p>
    <w:p>
      <w:pPr>
        <w:jc w:val="both"/>
        <w:ind w:left="1880" w:hanging="479"/>
        <w:spacing w:after="0" w:line="261" w:lineRule="auto"/>
        <w:tabs>
          <w:tab w:leader="none" w:pos="1880" w:val="left"/>
        </w:tabs>
        <w:numPr>
          <w:ilvl w:val="2"/>
          <w:numId w:val="15"/>
        </w:numPr>
        <w:rPr>
          <w:rFonts w:ascii="Arial" w:cs="Arial" w:eastAsia="Arial" w:hAnsi="Arial"/>
          <w:sz w:val="21"/>
          <w:szCs w:val="21"/>
          <w:color w:val="auto"/>
        </w:rPr>
      </w:pPr>
      <w:r>
        <w:rPr>
          <w:rFonts w:ascii="Arial" w:cs="Arial" w:eastAsia="Arial" w:hAnsi="Arial"/>
          <w:sz w:val="21"/>
          <w:szCs w:val="21"/>
          <w:color w:val="auto"/>
        </w:rPr>
        <w:t>The amount of time included in the Pre-Feature Program displayed prior to Showtime for any Play List shall be reduced by five (5) minutes (not including the Pre-Showtime Trailer) plus the lengths of any Platinum Spot [***] displayed after such Showtime in that Play List (the “</w:t>
      </w:r>
      <w:r>
        <w:rPr>
          <w:rFonts w:ascii="Arial" w:cs="Arial" w:eastAsia="Arial" w:hAnsi="Arial"/>
          <w:sz w:val="21"/>
          <w:szCs w:val="21"/>
          <w:b w:val="1"/>
          <w:bCs w:val="1"/>
          <w:color w:val="auto"/>
        </w:rPr>
        <w:t>Pre-Showtime Reduction</w:t>
      </w:r>
      <w:r>
        <w:rPr>
          <w:rFonts w:ascii="Arial" w:cs="Arial" w:eastAsia="Arial" w:hAnsi="Arial"/>
          <w:sz w:val="21"/>
          <w:szCs w:val="21"/>
          <w:color w:val="auto"/>
        </w:rPr>
        <w:t>”). For the purposes of clarity, in the event that there is no Trailer Pod</w:t>
      </w:r>
      <w:r>
        <w:rPr>
          <w:rFonts w:ascii="Arial" w:cs="Arial" w:eastAsia="Arial" w:hAnsi="Arial"/>
          <w:sz w:val="21"/>
          <w:szCs w:val="21"/>
          <w:b w:val="1"/>
          <w:bCs w:val="1"/>
          <w:color w:val="auto"/>
        </w:rPr>
        <w:t xml:space="preserve"> </w:t>
      </w:r>
      <w:r>
        <w:rPr>
          <w:rFonts w:ascii="Arial" w:cs="Arial" w:eastAsia="Arial" w:hAnsi="Arial"/>
          <w:sz w:val="21"/>
          <w:szCs w:val="21"/>
          <w:color w:val="auto"/>
        </w:rPr>
        <w:t>Inventory displayed in the applicable Play List, the Pre-Showtime Reduction for that Play List will be five (5) minutes (not including the Pre-Showtime Trailer).</w:t>
      </w:r>
    </w:p>
    <w:p>
      <w:pPr>
        <w:spacing w:after="0" w:line="200" w:lineRule="exact"/>
        <w:rPr>
          <w:rFonts w:ascii="Arial" w:cs="Arial" w:eastAsia="Arial" w:hAnsi="Arial"/>
          <w:sz w:val="21"/>
          <w:szCs w:val="21"/>
          <w:color w:val="auto"/>
        </w:rPr>
      </w:pPr>
    </w:p>
    <w:p>
      <w:pPr>
        <w:spacing w:after="0" w:line="236" w:lineRule="exact"/>
        <w:rPr>
          <w:rFonts w:ascii="Arial" w:cs="Arial" w:eastAsia="Arial" w:hAnsi="Arial"/>
          <w:sz w:val="21"/>
          <w:szCs w:val="21"/>
          <w:color w:val="auto"/>
        </w:rPr>
      </w:pPr>
    </w:p>
    <w:p>
      <w:pPr>
        <w:ind w:left="1880" w:hanging="479"/>
        <w:spacing w:after="0"/>
        <w:tabs>
          <w:tab w:leader="none" w:pos="18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Event Trailer (commonly known as the “Fathom trailer”) will display at Showtime.</w:t>
      </w:r>
    </w:p>
    <w:p>
      <w:pPr>
        <w:spacing w:after="0" w:line="260" w:lineRule="exact"/>
        <w:rPr>
          <w:rFonts w:ascii="Arial" w:cs="Arial" w:eastAsia="Arial" w:hAnsi="Arial"/>
          <w:sz w:val="22"/>
          <w:szCs w:val="22"/>
          <w:color w:val="auto"/>
        </w:rPr>
      </w:pPr>
    </w:p>
    <w:p>
      <w:pPr>
        <w:jc w:val="both"/>
        <w:ind w:left="1880" w:hanging="479"/>
        <w:spacing w:after="0" w:line="250" w:lineRule="auto"/>
        <w:tabs>
          <w:tab w:leader="none" w:pos="18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LLC will be entitled to display up to five (5) minutes of the Pre-Feature Program post-Showtime (“</w:t>
      </w:r>
      <w:r>
        <w:rPr>
          <w:rFonts w:ascii="Arial" w:cs="Arial" w:eastAsia="Arial" w:hAnsi="Arial"/>
          <w:sz w:val="22"/>
          <w:szCs w:val="22"/>
          <w:b w:val="1"/>
          <w:bCs w:val="1"/>
          <w:color w:val="auto"/>
        </w:rPr>
        <w:t>Post-Showtime Inventory</w:t>
      </w:r>
      <w:r>
        <w:rPr>
          <w:rFonts w:ascii="Arial" w:cs="Arial" w:eastAsia="Arial" w:hAnsi="Arial"/>
          <w:sz w:val="22"/>
          <w:szCs w:val="22"/>
          <w:color w:val="auto"/>
        </w:rPr>
        <w:t>”), to be displayed between the Event Trailer and the Pre-Feature Closing and followed by the Pre-Feature Closing, a Beverage Slot, the Co-Branded Slot, and the Policy Trailer.</w:t>
      </w:r>
    </w:p>
    <w:p>
      <w:pPr>
        <w:spacing w:after="0" w:line="228" w:lineRule="exact"/>
        <w:rPr>
          <w:rFonts w:ascii="Arial" w:cs="Arial" w:eastAsia="Arial" w:hAnsi="Arial"/>
          <w:sz w:val="22"/>
          <w:szCs w:val="22"/>
          <w:color w:val="auto"/>
        </w:rPr>
      </w:pPr>
    </w:p>
    <w:p>
      <w:pPr>
        <w:jc w:val="both"/>
        <w:ind w:left="1880" w:hanging="479"/>
        <w:spacing w:after="0" w:line="250" w:lineRule="auto"/>
        <w:tabs>
          <w:tab w:leader="none" w:pos="18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 xml:space="preserve">LLC will be entitled to display an additional single unit that is either thirty seconds (:30) or sixty seconds (:60) of the Pre-Feature Program in the Final Trailer Position, </w:t>
      </w:r>
      <w:r>
        <w:rPr>
          <w:rFonts w:ascii="Arial" w:cs="Arial" w:eastAsia="Arial" w:hAnsi="Arial"/>
          <w:sz w:val="22"/>
          <w:szCs w:val="22"/>
          <w:i w:val="1"/>
          <w:iCs w:val="1"/>
          <w:color w:val="auto"/>
        </w:rPr>
        <w:t>i.e.</w:t>
      </w:r>
      <w:r>
        <w:rPr>
          <w:rFonts w:ascii="Arial" w:cs="Arial" w:eastAsia="Arial" w:hAnsi="Arial"/>
          <w:sz w:val="22"/>
          <w:szCs w:val="22"/>
          <w:color w:val="auto"/>
        </w:rPr>
        <w:t xml:space="preserve"> directly prior to the attached Trailer(s) (the one to two (1-2) Trailer(s) immediately) preceding the feature film (the “</w:t>
      </w:r>
      <w:r>
        <w:rPr>
          <w:rFonts w:ascii="Arial" w:cs="Arial" w:eastAsia="Arial" w:hAnsi="Arial"/>
          <w:sz w:val="22"/>
          <w:szCs w:val="22"/>
          <w:b w:val="1"/>
          <w:bCs w:val="1"/>
          <w:color w:val="auto"/>
        </w:rPr>
        <w:t>Platinum Spot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1880" w:hanging="479"/>
        <w:spacing w:after="0" w:line="263" w:lineRule="auto"/>
        <w:tabs>
          <w:tab w:leader="none" w:pos="18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Platinum Spot shall only be used for advertising across LLC’s national network and shall not be used for local advertising or self-promotion of LLC or its brands.</w:t>
      </w:r>
    </w:p>
    <w:p>
      <w:pPr>
        <w:spacing w:after="0" w:line="215" w:lineRule="exact"/>
        <w:rPr>
          <w:rFonts w:ascii="Arial" w:cs="Arial" w:eastAsia="Arial" w:hAnsi="Arial"/>
          <w:sz w:val="22"/>
          <w:szCs w:val="22"/>
          <w:color w:val="auto"/>
        </w:rPr>
      </w:pPr>
    </w:p>
    <w:p>
      <w:pPr>
        <w:ind w:left="1880" w:hanging="479"/>
        <w:spacing w:after="0"/>
        <w:tabs>
          <w:tab w:leader="none" w:pos="18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880" w:hanging="479"/>
        <w:spacing w:after="0"/>
        <w:tabs>
          <w:tab w:leader="none" w:pos="18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(i) If LLC does not sell the Platinum Spot in any given Play List, there</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591" w:right="239" w:bottom="1440" w:gutter="0" w:footer="0" w:header="0"/>
        </w:sectPr>
      </w:pPr>
    </w:p>
    <w:bookmarkStart w:id="9" w:name="page10"/>
    <w:bookmarkEnd w:id="9"/>
    <w:p>
      <w:pPr>
        <w:ind w:left="1880"/>
        <w:spacing w:after="0"/>
        <w:rPr>
          <w:sz w:val="20"/>
          <w:szCs w:val="20"/>
          <w:color w:val="auto"/>
        </w:rPr>
      </w:pPr>
      <w:r>
        <w:rPr>
          <w:rFonts w:ascii="Arial" w:cs="Arial" w:eastAsia="Arial" w:hAnsi="Arial"/>
          <w:sz w:val="22"/>
          <w:szCs w:val="22"/>
          <w:color w:val="auto"/>
        </w:rPr>
        <w:t>will be no Trailer Pod Fee [***] for the applicable Play List.</w:t>
      </w:r>
    </w:p>
    <w:p>
      <w:pPr>
        <w:spacing w:after="0" w:line="260" w:lineRule="exact"/>
        <w:rPr>
          <w:sz w:val="20"/>
          <w:szCs w:val="20"/>
          <w:color w:val="auto"/>
        </w:rPr>
      </w:pPr>
    </w:p>
    <w:p>
      <w:pPr>
        <w:jc w:val="both"/>
        <w:ind w:left="1880" w:firstLine="7"/>
        <w:spacing w:after="0" w:line="287" w:lineRule="auto"/>
        <w:tabs>
          <w:tab w:leader="none" w:pos="2223" w:val="left"/>
        </w:tabs>
        <w:numPr>
          <w:ilvl w:val="1"/>
          <w:numId w:val="16"/>
        </w:numPr>
        <w:rPr>
          <w:rFonts w:ascii="Arial" w:cs="Arial" w:eastAsia="Arial" w:hAnsi="Arial"/>
          <w:sz w:val="19"/>
          <w:szCs w:val="19"/>
          <w:color w:val="auto"/>
        </w:rPr>
      </w:pPr>
      <w:r>
        <w:rPr>
          <w:rFonts w:ascii="Arial" w:cs="Arial" w:eastAsia="Arial" w:hAnsi="Arial"/>
          <w:sz w:val="19"/>
          <w:szCs w:val="19"/>
          <w:color w:val="auto"/>
        </w:rPr>
        <w:t>If NCM sells a Platinum Spot (whether a sixty second (:60) spot or a thirty second (:30) spot) in all Exhibitor theatres (i.e. all of LLC’s network of Exhibitors) across all Play Lists, then the Aggregate Trailer Pod Revenue specific to the Platinum Spot displayed in all Exhibitor theatres is expected (on an annualized basis, using a Platinum Contract Year) to be [***] dollars ($[***]) (the “</w:t>
      </w:r>
      <w:r>
        <w:rPr>
          <w:rFonts w:ascii="Arial" w:cs="Arial" w:eastAsia="Arial" w:hAnsi="Arial"/>
          <w:sz w:val="19"/>
          <w:szCs w:val="19"/>
          <w:b w:val="1"/>
          <w:bCs w:val="1"/>
          <w:color w:val="auto"/>
        </w:rPr>
        <w:t>Platinum Revenue Minimum</w:t>
      </w:r>
      <w:r>
        <w:rPr>
          <w:rFonts w:ascii="Arial" w:cs="Arial" w:eastAsia="Arial" w:hAnsi="Arial"/>
          <w:sz w:val="19"/>
          <w:szCs w:val="19"/>
          <w:color w:val="auto"/>
        </w:rPr>
        <w:t xml:space="preserve">”) and, as applied to Cinemark, shall be pro-rated based on the annual Cinemark Attendance (as defined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as a percentage of all aggregate Exhibitor attendance for such period. Notwithstanding the foregoing, in the event that the Platinum Spot (whether a sixty second (:60) spot or a thirty second (:30) spot) is sold in less than all Exhibitor theatres (i.e. all of LLC’s network of Exhibitors) or less than across all Play Lists, then the amount of the Platinum Revenue Minimum in respect to such Platinum Spot, as applied to Cinemark, shall be the Cinemark Pro-Rated Platinum Revenue Minimum (as defined in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1880" w:hanging="479"/>
        <w:spacing w:after="0" w:line="253" w:lineRule="auto"/>
        <w:tabs>
          <w:tab w:leader="none" w:pos="18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Subject to Sections 4.01(b)(i)(B)(I)(10) and (11), if LLC is selling a Platinum Spot, LLC shall always offer Cinemark the ability to display such Platinum Spot in 100% of auditoriums in all Theatres.</w:t>
      </w:r>
    </w:p>
    <w:p>
      <w:pPr>
        <w:spacing w:after="0" w:line="226" w:lineRule="exact"/>
        <w:rPr>
          <w:rFonts w:ascii="Arial" w:cs="Arial" w:eastAsia="Arial" w:hAnsi="Arial"/>
          <w:sz w:val="22"/>
          <w:szCs w:val="22"/>
          <w:color w:val="auto"/>
        </w:rPr>
      </w:pPr>
    </w:p>
    <w:p>
      <w:pPr>
        <w:jc w:val="both"/>
        <w:ind w:left="1880" w:hanging="479"/>
        <w:spacing w:after="0" w:line="250" w:lineRule="auto"/>
        <w:tabs>
          <w:tab w:leader="none" w:pos="18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the event that a particular advertiser [***] opts out of displaying its Platinum Spot in front of [***], then LLC shall be entitled to sell the Platinum Spot to such advertiser and shall offer Cinemark the ability to display such Platinum Spot in 100% of auditoriums in all Theatres excluding auditoriums showing [***].</w:t>
      </w:r>
    </w:p>
    <w:p>
      <w:pPr>
        <w:spacing w:after="0" w:line="228" w:lineRule="exact"/>
        <w:rPr>
          <w:rFonts w:ascii="Arial" w:cs="Arial" w:eastAsia="Arial" w:hAnsi="Arial"/>
          <w:sz w:val="22"/>
          <w:szCs w:val="22"/>
          <w:color w:val="auto"/>
        </w:rPr>
      </w:pPr>
    </w:p>
    <w:p>
      <w:pPr>
        <w:jc w:val="both"/>
        <w:ind w:left="1880" w:hanging="479"/>
        <w:spacing w:after="0" w:line="248" w:lineRule="auto"/>
        <w:tabs>
          <w:tab w:leader="none" w:pos="18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LLC may elect to display up to [***] advertisers’ Platinum Spots concurrently by way of a Network Split (as defined in </w:t>
      </w:r>
      <w:r>
        <w:rPr>
          <w:rFonts w:ascii="Arial" w:cs="Arial" w:eastAsia="Arial" w:hAnsi="Arial"/>
          <w:sz w:val="22"/>
          <w:szCs w:val="22"/>
          <w:u w:val="single" w:color="auto"/>
          <w:color w:val="auto"/>
        </w:rPr>
        <w:t>Schedule 1</w:t>
      </w:r>
      <w:r>
        <w:rPr>
          <w:rFonts w:ascii="Arial" w:cs="Arial" w:eastAsia="Arial" w:hAnsi="Arial"/>
          <w:sz w:val="22"/>
          <w:szCs w:val="22"/>
          <w:color w:val="auto"/>
        </w:rPr>
        <w:t>). In the event that LLC is displaying [***] advertisers’ Platinum Spots by way of a Network Split, then LLC shall procure that the average cost per mille for each set of concurrent Platinum Spots will be equal to or greater than an average cost per mille of [***] dollars ($[***]).</w:t>
      </w:r>
    </w:p>
    <w:p>
      <w:pPr>
        <w:spacing w:after="0" w:line="232" w:lineRule="exact"/>
        <w:rPr>
          <w:rFonts w:ascii="Arial" w:cs="Arial" w:eastAsia="Arial" w:hAnsi="Arial"/>
          <w:sz w:val="22"/>
          <w:szCs w:val="22"/>
          <w:color w:val="auto"/>
        </w:rPr>
      </w:pPr>
    </w:p>
    <w:p>
      <w:pPr>
        <w:jc w:val="both"/>
        <w:ind w:left="1880" w:hanging="479"/>
        <w:spacing w:after="0" w:line="297" w:lineRule="auto"/>
        <w:tabs>
          <w:tab w:leader="none" w:pos="18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Cinemark will display the Trailer Pod Inventory in accordance with technical specifications, including delivery and update timelines and file specifications in the same manner as have been customarily agreed by the Parties. Cinemark will notify LLC of the success or failure to display the Trailer Pod Inventory in order for LLC to comply with its obligations to advertising clients in the same manner as Cinemark customarily provides reporting to LLC of advertising displays.</w:t>
      </w:r>
    </w:p>
    <w:p>
      <w:pPr>
        <w:spacing w:after="0" w:line="187" w:lineRule="exact"/>
        <w:rPr>
          <w:rFonts w:ascii="Arial" w:cs="Arial" w:eastAsia="Arial" w:hAnsi="Arial"/>
          <w:sz w:val="19"/>
          <w:szCs w:val="19"/>
          <w:color w:val="auto"/>
        </w:rPr>
      </w:pPr>
    </w:p>
    <w:p>
      <w:pPr>
        <w:ind w:left="1880" w:hanging="479"/>
        <w:spacing w:after="0" w:line="263" w:lineRule="auto"/>
        <w:tabs>
          <w:tab w:leader="none" w:pos="18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LLC acknowledges and agrees that the Trailer Pod Inventory shall not be sold for non-cash consideration.</w:t>
      </w:r>
    </w:p>
    <w:p>
      <w:pPr>
        <w:spacing w:after="0" w:line="215" w:lineRule="exact"/>
        <w:rPr>
          <w:rFonts w:ascii="Arial" w:cs="Arial" w:eastAsia="Arial" w:hAnsi="Arial"/>
          <w:sz w:val="22"/>
          <w:szCs w:val="22"/>
          <w:color w:val="auto"/>
        </w:rPr>
      </w:pPr>
    </w:p>
    <w:p>
      <w:pPr>
        <w:jc w:val="both"/>
        <w:ind w:left="1880" w:hanging="479"/>
        <w:spacing w:after="0" w:line="253" w:lineRule="auto"/>
        <w:tabs>
          <w:tab w:leader="none" w:pos="18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Subject to any applicable health or safety legal requirements or regulations, Cinemark will ensure that at and after Showtime, the auditorium lighting in each Theatre will be materially similar to the</w:t>
      </w:r>
    </w:p>
    <w:p>
      <w:pPr>
        <w:spacing w:after="0" w:line="21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20"/>
          </w:cols>
          <w:pgMar w:left="1440" w:top="591" w:right="239" w:bottom="1440" w:gutter="0" w:footer="0" w:header="0"/>
        </w:sectPr>
      </w:pPr>
    </w:p>
    <w:bookmarkStart w:id="10" w:name="page11"/>
    <w:bookmarkEnd w:id="10"/>
    <w:p>
      <w:pPr>
        <w:jc w:val="both"/>
        <w:ind w:left="3080"/>
        <w:spacing w:after="0" w:line="253" w:lineRule="auto"/>
        <w:rPr>
          <w:sz w:val="20"/>
          <w:szCs w:val="20"/>
          <w:color w:val="auto"/>
        </w:rPr>
      </w:pPr>
      <w:r>
        <w:rPr>
          <w:rFonts w:ascii="Arial" w:cs="Arial" w:eastAsia="Arial" w:hAnsi="Arial"/>
          <w:sz w:val="22"/>
          <w:szCs w:val="22"/>
          <w:color w:val="auto"/>
        </w:rPr>
        <w:t>auditorium lighting in that Theatre during the Trailers as of the Amendment Effective Date. In the event that such health or safety issues arise from the auditorium lighting, the Parties agree to work in good faith to find a resolution.</w:t>
      </w:r>
    </w:p>
    <w:p>
      <w:pPr>
        <w:spacing w:after="0" w:line="226" w:lineRule="exact"/>
        <w:rPr>
          <w:sz w:val="20"/>
          <w:szCs w:val="20"/>
          <w:color w:val="auto"/>
        </w:rPr>
      </w:pPr>
    </w:p>
    <w:p>
      <w:pPr>
        <w:ind w:left="2460" w:hanging="507"/>
        <w:spacing w:after="0"/>
        <w:tabs>
          <w:tab w:leader="none" w:pos="24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8"/>
        <w:spacing w:after="0" w:line="250" w:lineRule="auto"/>
        <w:tabs>
          <w:tab w:leader="none" w:pos="81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As of November 1, 2019, NCM acknowledges that (until it is notified otherwise by Cinemark in writing): (i) the first Beverage Slot shall be displayed immediately after the Pre-Feature Closing, shall be thirty (:30) seconds in length, and shall immediately be followed by the Co-Branded Slot; and (ii) the second Beverage Slot shall be thirty (:30) seconds in length and shall be displayed immediately after the Final Trailer Position.</w:t>
      </w:r>
    </w:p>
    <w:p>
      <w:pPr>
        <w:spacing w:after="0" w:line="228" w:lineRule="exact"/>
        <w:rPr>
          <w:rFonts w:ascii="Arial" w:cs="Arial" w:eastAsia="Arial" w:hAnsi="Arial"/>
          <w:sz w:val="22"/>
          <w:szCs w:val="22"/>
          <w:color w:val="auto"/>
        </w:rPr>
      </w:pPr>
    </w:p>
    <w:p>
      <w:pPr>
        <w:ind w:firstLine="8"/>
        <w:spacing w:after="0" w:line="263" w:lineRule="auto"/>
        <w:tabs>
          <w:tab w:leader="none" w:pos="810" w:val="left"/>
        </w:tabs>
        <w:numPr>
          <w:ilvl w:val="0"/>
          <w:numId w:val="1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Content Standards. </w:t>
      </w:r>
      <w:r>
        <w:rPr>
          <w:rFonts w:ascii="Arial" w:cs="Arial" w:eastAsia="Arial" w:hAnsi="Arial"/>
          <w:sz w:val="22"/>
          <w:szCs w:val="22"/>
          <w:color w:val="auto"/>
        </w:rPr>
        <w:t>All references to “Advertising Services” throughout Section 4.03 will be deleted and replaced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following: “Advertising Services, excluding Post-Showtime Inventory and Trailer Pod Inventory”.</w:t>
      </w:r>
    </w:p>
    <w:p>
      <w:pPr>
        <w:spacing w:after="0" w:line="215" w:lineRule="exact"/>
        <w:rPr>
          <w:rFonts w:ascii="Arial" w:cs="Arial" w:eastAsia="Arial" w:hAnsi="Arial"/>
          <w:sz w:val="22"/>
          <w:szCs w:val="22"/>
          <w:color w:val="auto"/>
        </w:rPr>
      </w:pPr>
    </w:p>
    <w:p>
      <w:pPr>
        <w:ind w:firstLine="8"/>
        <w:spacing w:after="0" w:line="263" w:lineRule="auto"/>
        <w:tabs>
          <w:tab w:leader="none" w:pos="810" w:val="left"/>
        </w:tabs>
        <w:numPr>
          <w:ilvl w:val="0"/>
          <w:numId w:val="1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Content Standards. </w:t>
      </w:r>
      <w:r>
        <w:rPr>
          <w:rFonts w:ascii="Arial" w:cs="Arial" w:eastAsia="Arial" w:hAnsi="Arial"/>
          <w:sz w:val="22"/>
          <w:szCs w:val="22"/>
          <w:color w:val="auto"/>
        </w:rPr>
        <w:t>The following is hereby added to the ESA immediately after Section 4.03 as a new and separate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4.03A:</w:t>
      </w:r>
    </w:p>
    <w:p>
      <w:pPr>
        <w:spacing w:after="0" w:line="209" w:lineRule="exact"/>
        <w:rPr>
          <w:sz w:val="20"/>
          <w:szCs w:val="20"/>
          <w:color w:val="auto"/>
        </w:rPr>
      </w:pPr>
    </w:p>
    <w:p>
      <w:pPr>
        <w:jc w:val="both"/>
        <w:ind w:left="660"/>
        <w:spacing w:after="0" w:line="284" w:lineRule="auto"/>
        <w:rPr>
          <w:sz w:val="20"/>
          <w:szCs w:val="20"/>
          <w:color w:val="auto"/>
        </w:rPr>
      </w:pPr>
      <w:r>
        <w:rPr>
          <w:rFonts w:ascii="Arial" w:cs="Arial" w:eastAsia="Arial" w:hAnsi="Arial"/>
          <w:sz w:val="19"/>
          <w:szCs w:val="19"/>
          <w:b w:val="1"/>
          <w:bCs w:val="1"/>
          <w:color w:val="auto"/>
        </w:rPr>
        <w:t xml:space="preserve">Section 4.03A </w:t>
      </w:r>
      <w:r>
        <w:rPr>
          <w:rFonts w:ascii="Arial" w:cs="Arial" w:eastAsia="Arial" w:hAnsi="Arial"/>
          <w:sz w:val="19"/>
          <w:szCs w:val="19"/>
          <w:b w:val="1"/>
          <w:bCs w:val="1"/>
          <w:u w:val="single" w:color="auto"/>
          <w:color w:val="auto"/>
        </w:rPr>
        <w:t>Post-Showtime and Trailer Pod Content Standards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that (unless mutually agreed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clauses (i), (iii), (iv), (v) or (vi)) all content within the Post-Showtime Inventory or the Trailer Pod Inventory will not contain content or other material that: (i) has received, or had it been rated would have received, an MPAA “X” or “NC-17” rating (or the equivalent); (ii) promotes illegal activity; (iii) promotes the use of tobacco, sexual aids, birth control, firearms, weapons or similar products; (iv) promotes alcohol, except prior to “R”-rated films in the auditorium; (v) constitutes religious advertising (except on a local basis, exhibiting time and location for local church services); (vi) constitutes political advertising or promotes gambling; (vii) promotes theatres, theatre circuits or other entities that are competitive with Cinemark or LLC; (viii) would violate any of Cinemark’s Beverage Agreements or the exclusive contractual relationships identified in the Specification Documentation (including renewals and extensions of the foregoing, but excluding any amendments or modifications thereto as such relate to such content standards) and any subsequent exclusive arrangement entered into by LLC with respect to the Theatres; or (ix) otherwise reflects negatively on Cinemark or adversely affects Cinemark’s attendance as determined in Cinemark’s reasonable discretion. Cinemark may, without liability, breach or otherwise, prevent and/or take any other actions with respect to the use or distribution of content that violates the foregoing standards; provided, that with respect to Section 4.03A(ix), Cinemark may opt out of such content in Post-Showtime Inventory or the Trailer Pod Inventory only with respect to Theatres in the geographic locations identified, which may include all of Cinemark’s Theatres. To the extent Post-Showtime Inventory or Trailer Pod Inventory is displayed using the Digital Content Service, if either the Post-Showtime Inventory or Trailer Pod Inventory contains any content that violates the foregoing standards, LLC must remove such content as soon as reasonably practical, but no later than within twenty-four (24) hours of Cinemark notifying LLC of such violation. If LLC fails to remove such content within such twenty-four (24)-hour period, Cinemark may discontinue the Digital Content Service in such auditoriums where such content is shown until the violating content is removed and shall have no liability for such discontinuation. To the extent the Post-Showtime Inventory or Trailer Pod Inventory is displayed using Cinemark’s equipment and contains any content that violates the foregoing standards, Cinemark may remove such content after notifying LLC of such violation and shall have no liability for such discontinuation. If any Founding Member does not agree to exhibit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11" w:name="page12"/>
    <w:bookmarkEnd w:id="11"/>
    <w:p>
      <w:pPr>
        <w:jc w:val="both"/>
        <w:ind w:left="660"/>
        <w:spacing w:after="0" w:line="253" w:lineRule="auto"/>
        <w:rPr>
          <w:sz w:val="20"/>
          <w:szCs w:val="20"/>
          <w:color w:val="auto"/>
        </w:rPr>
      </w:pPr>
      <w:r>
        <w:rPr>
          <w:rFonts w:ascii="Arial" w:cs="Arial" w:eastAsia="Arial" w:hAnsi="Arial"/>
          <w:sz w:val="22"/>
          <w:szCs w:val="22"/>
          <w:color w:val="auto"/>
        </w:rPr>
        <w:t>any content of the Advertising Services subject to Section 4.03A(i), (iii), (iv), (v) or (vi), then LLC shall apply any revenue it is entitled to receive from such Post-Showtime Inventory (“</w:t>
      </w:r>
      <w:r>
        <w:rPr>
          <w:rFonts w:ascii="Arial" w:cs="Arial" w:eastAsia="Arial" w:hAnsi="Arial"/>
          <w:sz w:val="22"/>
          <w:szCs w:val="22"/>
          <w:b w:val="1"/>
          <w:bCs w:val="1"/>
          <w:color w:val="auto"/>
        </w:rPr>
        <w:t>Post-Showtime Content Revenue</w:t>
      </w:r>
      <w:r>
        <w:rPr>
          <w:rFonts w:ascii="Arial" w:cs="Arial" w:eastAsia="Arial" w:hAnsi="Arial"/>
          <w:sz w:val="22"/>
          <w:szCs w:val="22"/>
          <w:color w:val="auto"/>
        </w:rPr>
        <w:t xml:space="preserve">”) to adjust payments of the Post-Showtime Theatre Access Fee as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86" w:lineRule="exact"/>
        <w:rPr>
          <w:sz w:val="20"/>
          <w:szCs w:val="20"/>
          <w:color w:val="auto"/>
        </w:rPr>
      </w:pPr>
    </w:p>
    <w:p>
      <w:pPr>
        <w:ind w:firstLine="8"/>
        <w:spacing w:after="0" w:line="263" w:lineRule="auto"/>
        <w:tabs>
          <w:tab w:leader="none" w:pos="810" w:val="left"/>
        </w:tabs>
        <w:numPr>
          <w:ilvl w:val="0"/>
          <w:numId w:val="2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Branded Content. </w:t>
      </w:r>
      <w:r>
        <w:rPr>
          <w:rFonts w:ascii="Arial" w:cs="Arial" w:eastAsia="Arial" w:hAnsi="Arial"/>
          <w:sz w:val="22"/>
          <w:szCs w:val="22"/>
          <w:color w:val="auto"/>
        </w:rPr>
        <w:t>The second and third sentences of Section 4.05(a) of the ESA are hereby deleted and replaced with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following:</w:t>
      </w:r>
    </w:p>
    <w:p>
      <w:pPr>
        <w:spacing w:after="0" w:line="209" w:lineRule="exact"/>
        <w:rPr>
          <w:sz w:val="20"/>
          <w:szCs w:val="20"/>
          <w:color w:val="auto"/>
        </w:rPr>
      </w:pPr>
    </w:p>
    <w:p>
      <w:pPr>
        <w:jc w:val="both"/>
        <w:ind w:left="660" w:right="20"/>
        <w:spacing w:after="0" w:line="315" w:lineRule="auto"/>
        <w:rPr>
          <w:sz w:val="20"/>
          <w:szCs w:val="20"/>
          <w:color w:val="auto"/>
        </w:rPr>
      </w:pPr>
      <w:r>
        <w:rPr>
          <w:rFonts w:ascii="Arial" w:cs="Arial" w:eastAsia="Arial" w:hAnsi="Arial"/>
          <w:sz w:val="19"/>
          <w:szCs w:val="19"/>
          <w:color w:val="auto"/>
        </w:rPr>
        <w:t>The interstitial messaging shall include a Pre-Feature Program introduction and a “</w:t>
      </w:r>
      <w:r>
        <w:rPr>
          <w:rFonts w:ascii="Arial" w:cs="Arial" w:eastAsia="Arial" w:hAnsi="Arial"/>
          <w:sz w:val="19"/>
          <w:szCs w:val="19"/>
          <w:b w:val="1"/>
          <w:bCs w:val="1"/>
          <w:color w:val="auto"/>
        </w:rPr>
        <w:t>Pre-Feature Closing</w:t>
      </w:r>
      <w:r>
        <w:rPr>
          <w:rFonts w:ascii="Arial" w:cs="Arial" w:eastAsia="Arial" w:hAnsi="Arial"/>
          <w:sz w:val="19"/>
          <w:szCs w:val="19"/>
          <w:color w:val="auto"/>
        </w:rPr>
        <w:t>” containing content branded with the Cinemark Marks. The Pre-Feature Closing shall be displayed after Showtime, be no more than thirty (30) seconds in length, and include content branded with the marks of Cinemark’s beverage concessionaire.</w:t>
      </w:r>
    </w:p>
    <w:p>
      <w:pPr>
        <w:spacing w:after="0" w:line="132"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b w:val="1"/>
          <w:bCs w:val="1"/>
          <w:i w:val="1"/>
          <w:iCs w:val="1"/>
          <w:color w:val="auto"/>
        </w:rPr>
        <w:t>Branded Slot.</w:t>
      </w:r>
    </w:p>
    <w:p>
      <w:pPr>
        <w:spacing w:after="0" w:line="260" w:lineRule="exact"/>
        <w:rPr>
          <w:sz w:val="20"/>
          <w:szCs w:val="20"/>
          <w:color w:val="auto"/>
        </w:rPr>
      </w:pPr>
    </w:p>
    <w:p>
      <w:pPr>
        <w:ind w:left="720"/>
        <w:spacing w:after="0" w:line="263" w:lineRule="auto"/>
        <w:rPr>
          <w:sz w:val="20"/>
          <w:szCs w:val="20"/>
          <w:color w:val="auto"/>
        </w:rPr>
      </w:pPr>
      <w:r>
        <w:rPr>
          <w:rFonts w:ascii="Arial" w:cs="Arial" w:eastAsia="Arial" w:hAnsi="Arial"/>
          <w:sz w:val="22"/>
          <w:szCs w:val="22"/>
          <w:color w:val="auto"/>
        </w:rPr>
        <w:t>Each reference in Section 4.05(c) to “of the Play List” is hereby deleted and replaced with the following: “prior to Showtime.”</w:t>
      </w:r>
    </w:p>
    <w:p>
      <w:pPr>
        <w:spacing w:after="0" w:line="17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b w:val="1"/>
          <w:bCs w:val="1"/>
          <w:i w:val="1"/>
          <w:iCs w:val="1"/>
          <w:color w:val="auto"/>
        </w:rPr>
        <w:t>Beverage Agreements.</w:t>
      </w:r>
    </w:p>
    <w:p>
      <w:pPr>
        <w:spacing w:after="0" w:line="260" w:lineRule="exact"/>
        <w:rPr>
          <w:rFonts w:ascii="Arial" w:cs="Arial" w:eastAsia="Arial" w:hAnsi="Arial"/>
          <w:sz w:val="22"/>
          <w:szCs w:val="22"/>
          <w:color w:val="auto"/>
        </w:rPr>
      </w:pPr>
    </w:p>
    <w:p>
      <w:pPr>
        <w:ind w:left="1040" w:right="20" w:hanging="411"/>
        <w:spacing w:after="0" w:line="263" w:lineRule="auto"/>
        <w:tabs>
          <w:tab w:leader="none" w:pos="1040" w:val="left"/>
        </w:tabs>
        <w:numPr>
          <w:ilvl w:val="1"/>
          <w:numId w:val="22"/>
        </w:numPr>
        <w:rPr>
          <w:rFonts w:ascii="Arial" w:cs="Arial" w:eastAsia="Arial" w:hAnsi="Arial"/>
          <w:sz w:val="22"/>
          <w:szCs w:val="22"/>
          <w:color w:val="auto"/>
        </w:rPr>
      </w:pPr>
      <w:r>
        <w:rPr>
          <w:rFonts w:ascii="Arial" w:cs="Arial" w:eastAsia="Arial" w:hAnsi="Arial"/>
          <w:sz w:val="22"/>
          <w:szCs w:val="22"/>
          <w:color w:val="auto"/>
        </w:rPr>
        <w:t>In the first sentence of Section 4.06(a) of the ESA, “advertising Inventory” is hereby deleted and replaced with the following: “Beverage Slot”.</w:t>
      </w:r>
    </w:p>
    <w:p>
      <w:pPr>
        <w:spacing w:after="0" w:line="215" w:lineRule="exact"/>
        <w:rPr>
          <w:rFonts w:ascii="Arial" w:cs="Arial" w:eastAsia="Arial" w:hAnsi="Arial"/>
          <w:sz w:val="22"/>
          <w:szCs w:val="22"/>
          <w:color w:val="auto"/>
        </w:rPr>
      </w:pPr>
    </w:p>
    <w:p>
      <w:pPr>
        <w:ind w:left="1040" w:hanging="411"/>
        <w:spacing w:after="0" w:line="263" w:lineRule="auto"/>
        <w:tabs>
          <w:tab w:leader="none" w:pos="1040" w:val="left"/>
        </w:tabs>
        <w:numPr>
          <w:ilvl w:val="1"/>
          <w:numId w:val="22"/>
        </w:numPr>
        <w:rPr>
          <w:rFonts w:ascii="Arial" w:cs="Arial" w:eastAsia="Arial" w:hAnsi="Arial"/>
          <w:sz w:val="22"/>
          <w:szCs w:val="22"/>
          <w:color w:val="auto"/>
        </w:rPr>
      </w:pPr>
      <w:r>
        <w:rPr>
          <w:rFonts w:ascii="Arial" w:cs="Arial" w:eastAsia="Arial" w:hAnsi="Arial"/>
          <w:sz w:val="22"/>
          <w:szCs w:val="22"/>
          <w:color w:val="auto"/>
        </w:rPr>
        <w:t>In the first sentence of Section 4.06(a) of the ESA, “within the Play List, as set forth in the Specification Documentation,” is hereby deleted and replaced with the following: “following the Pre-Feature Closing”.</w:t>
      </w:r>
    </w:p>
    <w:p>
      <w:pPr>
        <w:spacing w:after="0" w:line="215" w:lineRule="exact"/>
        <w:rPr>
          <w:rFonts w:ascii="Arial" w:cs="Arial" w:eastAsia="Arial" w:hAnsi="Arial"/>
          <w:sz w:val="22"/>
          <w:szCs w:val="22"/>
          <w:color w:val="auto"/>
        </w:rPr>
      </w:pPr>
    </w:p>
    <w:p>
      <w:pPr>
        <w:ind w:left="1040" w:hanging="411"/>
        <w:spacing w:after="0"/>
        <w:tabs>
          <w:tab w:leader="none" w:pos="1040" w:val="left"/>
        </w:tabs>
        <w:numPr>
          <w:ilvl w:val="1"/>
          <w:numId w:val="22"/>
        </w:numPr>
        <w:rPr>
          <w:rFonts w:ascii="Arial" w:cs="Arial" w:eastAsia="Arial" w:hAnsi="Arial"/>
          <w:sz w:val="22"/>
          <w:szCs w:val="22"/>
          <w:color w:val="auto"/>
        </w:rPr>
      </w:pPr>
      <w:r>
        <w:rPr>
          <w:rFonts w:ascii="Arial" w:cs="Arial" w:eastAsia="Arial" w:hAnsi="Arial"/>
          <w:sz w:val="22"/>
          <w:szCs w:val="22"/>
          <w:color w:val="auto"/>
        </w:rPr>
        <w:t>Effective November 1, 2019, the following is hereby inserted at the end of Section 4.06(a) of the ESA:</w:t>
      </w:r>
    </w:p>
    <w:p>
      <w:pPr>
        <w:spacing w:after="0" w:line="21" w:lineRule="exact"/>
        <w:rPr>
          <w:rFonts w:ascii="Arial" w:cs="Arial" w:eastAsia="Arial" w:hAnsi="Arial"/>
          <w:sz w:val="22"/>
          <w:szCs w:val="22"/>
          <w:color w:val="auto"/>
        </w:rPr>
      </w:pPr>
    </w:p>
    <w:p>
      <w:pPr>
        <w:jc w:val="both"/>
        <w:ind w:left="1040"/>
        <w:spacing w:after="0" w:line="287" w:lineRule="auto"/>
        <w:rPr>
          <w:rFonts w:ascii="Arial" w:cs="Arial" w:eastAsia="Arial" w:hAnsi="Arial"/>
          <w:sz w:val="22"/>
          <w:szCs w:val="22"/>
          <w:color w:val="auto"/>
        </w:rPr>
      </w:pPr>
      <w:r>
        <w:rPr>
          <w:rFonts w:ascii="Arial" w:cs="Arial" w:eastAsia="Arial" w:hAnsi="Arial"/>
          <w:sz w:val="19"/>
          <w:szCs w:val="19"/>
          <w:color w:val="auto"/>
        </w:rPr>
        <w:t>“For the avoidance of doubt, other than as set forth in this paragraph, no other amounts shall be payable by Cinemark to LLC in consideration for the Beverage Slot (including, for the avoidance of doubt, the Beverage Slot prior to the Co-Branded Spot (as defined below) and the Beverage Slot which follows the final trailer position). The Parties agree that Cinemark’s co-branded spot with its beverage concessionaire (the “</w:t>
      </w:r>
      <w:r>
        <w:rPr>
          <w:rFonts w:ascii="Arial" w:cs="Arial" w:eastAsia="Arial" w:hAnsi="Arial"/>
          <w:sz w:val="19"/>
          <w:szCs w:val="19"/>
          <w:b w:val="1"/>
          <w:bCs w:val="1"/>
          <w:color w:val="auto"/>
        </w:rPr>
        <w:t>Co-Branded Slot</w:t>
      </w:r>
      <w:r>
        <w:rPr>
          <w:rFonts w:ascii="Arial" w:cs="Arial" w:eastAsia="Arial" w:hAnsi="Arial"/>
          <w:sz w:val="19"/>
          <w:szCs w:val="19"/>
          <w:color w:val="auto"/>
        </w:rPr>
        <w:t>”), which is up to (and including) thirty (:30) seconds in length, shall be displayed prior to the Policy Trailer, and may be an advertisement for or may include advertisements for Cinemark’s beverage concessionaire, (i) is not a Beverage Slot for the purposes of this Agreement, (ii) does not reduce the amount of time allotted under Section 4.05 to its Branded Slots within the Play List, and (iii) Cinemark is not required to pay the Beverage Agreement Advertising Rate for such spot.”</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jc w:val="both"/>
        <w:ind w:firstLine="8"/>
        <w:spacing w:after="0" w:line="253" w:lineRule="auto"/>
        <w:tabs>
          <w:tab w:leader="none" w:pos="910" w:val="left"/>
        </w:tabs>
        <w:numPr>
          <w:ilvl w:val="0"/>
          <w:numId w:val="2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Excluded Theatres. </w:t>
      </w:r>
      <w:r>
        <w:rPr>
          <w:rFonts w:ascii="Arial" w:cs="Arial" w:eastAsia="Arial" w:hAnsi="Arial"/>
          <w:sz w:val="22"/>
          <w:szCs w:val="22"/>
          <w:color w:val="auto"/>
        </w:rPr>
        <w:t>In Section 4.13(a) of the ESA, the words “calculation of Theatre Access Fees” are hereby deleted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replaced with the following: “calculation of Theatre Access Fees, Post-Showtime Theatre Access Fees, Trailer Pod Fees, or [***]”.</w:t>
      </w:r>
    </w:p>
    <w:p>
      <w:pPr>
        <w:spacing w:after="0" w:line="226" w:lineRule="exact"/>
        <w:rPr>
          <w:rFonts w:ascii="Arial" w:cs="Arial" w:eastAsia="Arial" w:hAnsi="Arial"/>
          <w:sz w:val="22"/>
          <w:szCs w:val="22"/>
          <w:color w:val="auto"/>
        </w:rPr>
      </w:pPr>
    </w:p>
    <w:p>
      <w:pPr>
        <w:jc w:val="both"/>
        <w:ind w:firstLine="8"/>
        <w:spacing w:after="0" w:line="253" w:lineRule="auto"/>
        <w:tabs>
          <w:tab w:leader="none" w:pos="918" w:val="left"/>
        </w:tabs>
        <w:numPr>
          <w:ilvl w:val="0"/>
          <w:numId w:val="2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Payment. </w:t>
      </w:r>
      <w:r>
        <w:rPr>
          <w:rFonts w:ascii="Arial" w:cs="Arial" w:eastAsia="Arial" w:hAnsi="Arial"/>
          <w:sz w:val="22"/>
          <w:szCs w:val="22"/>
          <w:color w:val="auto"/>
        </w:rPr>
        <w:t>In the first sentence of Section 8.01 of the ESA, the words “(</w:t>
      </w:r>
      <w:r>
        <w:rPr>
          <w:rFonts w:ascii="Arial" w:cs="Arial" w:eastAsia="Arial" w:hAnsi="Arial"/>
          <w:sz w:val="22"/>
          <w:szCs w:val="22"/>
          <w:i w:val="1"/>
          <w:iCs w:val="1"/>
          <w:color w:val="auto"/>
        </w:rPr>
        <w:t>e.g.</w:t>
      </w:r>
      <w:r>
        <w:rPr>
          <w:rFonts w:ascii="Arial" w:cs="Arial" w:eastAsia="Arial" w:hAnsi="Arial"/>
          <w:sz w:val="22"/>
          <w:szCs w:val="22"/>
          <w:color w:val="auto"/>
        </w:rPr>
        <w:t>, payment of the Theatre Access Fees pursuant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Section 2.05(b))” are hereby deleted and replaced with the following: “(</w:t>
      </w:r>
      <w:r>
        <w:rPr>
          <w:rFonts w:ascii="Arial" w:cs="Arial" w:eastAsia="Arial" w:hAnsi="Arial"/>
          <w:sz w:val="22"/>
          <w:szCs w:val="22"/>
          <w:i w:val="1"/>
          <w:iCs w:val="1"/>
          <w:color w:val="auto"/>
        </w:rPr>
        <w:t>e.g.</w:t>
      </w:r>
      <w:r>
        <w:rPr>
          <w:rFonts w:ascii="Arial" w:cs="Arial" w:eastAsia="Arial" w:hAnsi="Arial"/>
          <w:sz w:val="22"/>
          <w:szCs w:val="22"/>
          <w:color w:val="auto"/>
        </w:rPr>
        <w:t>, payment of the Theatre Access Fees, Post-Showtime Theatre Access Fees, Trailer Pod Fees, and [***] pursuant to Section 2.05(b)(ii))”.</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12" w:name="page13"/>
    <w:bookmarkEnd w:id="12"/>
    <w:p>
      <w:pPr>
        <w:ind w:left="920" w:hanging="912"/>
        <w:spacing w:after="0"/>
        <w:tabs>
          <w:tab w:leader="none" w:pos="920" w:val="left"/>
        </w:tabs>
        <w:numPr>
          <w:ilvl w:val="0"/>
          <w:numId w:val="2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“February 13, 2037” in the first sentence of Section 9.01 of the ESA is hereby deleted and replaced with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 “February 13, 2041”.</w:t>
      </w:r>
    </w:p>
    <w:p>
      <w:pPr>
        <w:spacing w:after="0" w:line="242" w:lineRule="exact"/>
        <w:rPr>
          <w:rFonts w:ascii="Arial" w:cs="Arial" w:eastAsia="Arial" w:hAnsi="Arial"/>
          <w:sz w:val="19"/>
          <w:szCs w:val="19"/>
          <w:color w:val="auto"/>
        </w:rPr>
      </w:pPr>
    </w:p>
    <w:p>
      <w:pPr>
        <w:ind w:firstLine="8"/>
        <w:spacing w:after="0" w:line="287" w:lineRule="auto"/>
        <w:tabs>
          <w:tab w:leader="none" w:pos="918" w:val="left"/>
        </w:tabs>
        <w:numPr>
          <w:ilvl w:val="0"/>
          <w:numId w:val="2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Termination of Post-Showtime Inventory and Post-Showtime Theatre Access Fees. </w:t>
      </w:r>
      <w:r>
        <w:rPr>
          <w:rFonts w:ascii="Arial" w:cs="Arial" w:eastAsia="Arial" w:hAnsi="Arial"/>
          <w:sz w:val="21"/>
          <w:szCs w:val="21"/>
          <w:color w:val="auto"/>
        </w:rPr>
        <w:t>The following is hereby added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ESA as a new and separate Section 9.02A and is inserted immediately prior to Section 9.03 of the ESA:</w:t>
      </w:r>
    </w:p>
    <w:p>
      <w:pPr>
        <w:spacing w:after="0" w:line="186"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9"/>
          <w:szCs w:val="19"/>
          <w:b w:val="1"/>
          <w:bCs w:val="1"/>
          <w:color w:val="auto"/>
        </w:rPr>
        <w:t xml:space="preserve">Section 9.02A </w:t>
      </w:r>
      <w:r>
        <w:rPr>
          <w:rFonts w:ascii="Arial" w:cs="Arial" w:eastAsia="Arial" w:hAnsi="Arial"/>
          <w:sz w:val="19"/>
          <w:szCs w:val="19"/>
          <w:b w:val="1"/>
          <w:bCs w:val="1"/>
          <w:u w:val="single" w:color="auto"/>
          <w:color w:val="auto"/>
        </w:rPr>
        <w:t>Termination of Post-Showtime Inventory and Post-Showtime Theatre Access Fees</w:t>
      </w:r>
      <w:r>
        <w:rPr>
          <w:rFonts w:ascii="Arial" w:cs="Arial" w:eastAsia="Arial" w:hAnsi="Arial"/>
          <w:sz w:val="19"/>
          <w:szCs w:val="19"/>
          <w:b w:val="1"/>
          <w:bCs w:val="1"/>
          <w:color w:val="auto"/>
        </w:rPr>
        <w:t xml:space="preserve">. </w:t>
      </w:r>
      <w:r>
        <w:rPr>
          <w:rFonts w:ascii="Arial" w:cs="Arial" w:eastAsia="Arial" w:hAnsi="Arial"/>
          <w:sz w:val="19"/>
          <w:szCs w:val="19"/>
          <w:color w:val="auto"/>
        </w:rPr>
        <w:t>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LLC may, by written notice to Cinemark no later than August 1, 2022, terminate: (i) the display of the Post-Showtime Inventory and the Trailer Pod Inventory, and (ii) payments of the Post-Showtime Theatre Access Fees and [***], both effective as of November 1, 2022. If LLC exercises such termination option, then, as of November 1, 2022, the First Amendment to Amended and Restated Exhibitor Services Agreement dated September 17, 2019 between LLC and Cinemark (other than Section 15 thereof that amends Section 14.01 of this Agreement) shall be terminated and deemed to be null and void and of no further force or effect with respect to this Agreement.</w:t>
      </w:r>
    </w:p>
    <w:p>
      <w:pPr>
        <w:spacing w:after="0" w:line="151" w:lineRule="exact"/>
        <w:rPr>
          <w:sz w:val="20"/>
          <w:szCs w:val="20"/>
          <w:color w:val="auto"/>
        </w:rPr>
      </w:pPr>
    </w:p>
    <w:p>
      <w:pPr>
        <w:jc w:val="both"/>
        <w:ind w:firstLine="8"/>
        <w:spacing w:after="0" w:line="253" w:lineRule="auto"/>
        <w:tabs>
          <w:tab w:leader="none" w:pos="918" w:val="left"/>
        </w:tabs>
        <w:numPr>
          <w:ilvl w:val="0"/>
          <w:numId w:val="2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Confidential Treatment. </w:t>
      </w:r>
      <w:r>
        <w:rPr>
          <w:rFonts w:ascii="Arial" w:cs="Arial" w:eastAsia="Arial" w:hAnsi="Arial"/>
          <w:sz w:val="22"/>
          <w:szCs w:val="22"/>
          <w:color w:val="auto"/>
        </w:rPr>
        <w:t>“For a period of three years after the termination of this Agreement:” in Section 14.01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ESA is hereby deleted and replaced with the following: “During the Term, and for a period of three (3) years after the termination of this Agreement:”.</w:t>
      </w:r>
    </w:p>
    <w:p>
      <w:pPr>
        <w:spacing w:after="0" w:line="226" w:lineRule="exact"/>
        <w:rPr>
          <w:rFonts w:ascii="Arial" w:cs="Arial" w:eastAsia="Arial" w:hAnsi="Arial"/>
          <w:sz w:val="22"/>
          <w:szCs w:val="22"/>
          <w:color w:val="auto"/>
        </w:rPr>
      </w:pPr>
    </w:p>
    <w:p>
      <w:pPr>
        <w:ind w:right="20" w:firstLine="8"/>
        <w:spacing w:after="0" w:line="263" w:lineRule="auto"/>
        <w:tabs>
          <w:tab w:leader="none" w:pos="918" w:val="left"/>
        </w:tabs>
        <w:numPr>
          <w:ilvl w:val="0"/>
          <w:numId w:val="2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Fiscal Calendar; No Affiliates. </w:t>
      </w:r>
      <w:r>
        <w:rPr>
          <w:rFonts w:ascii="Arial" w:cs="Arial" w:eastAsia="Arial" w:hAnsi="Arial"/>
          <w:sz w:val="22"/>
          <w:szCs w:val="22"/>
          <w:color w:val="auto"/>
        </w:rPr>
        <w:t>The following is hereby added to the ESA as a new and separate Section 15.05A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15.05B and is inserted immediately after Section 15.05 of the ESA:</w:t>
      </w:r>
    </w:p>
    <w:p>
      <w:pPr>
        <w:spacing w:after="0" w:line="209"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 xml:space="preserve">Section 15.05A </w:t>
      </w:r>
      <w:r>
        <w:rPr>
          <w:rFonts w:ascii="Arial" w:cs="Arial" w:eastAsia="Arial" w:hAnsi="Arial"/>
          <w:sz w:val="22"/>
          <w:szCs w:val="22"/>
          <w:b w:val="1"/>
          <w:bCs w:val="1"/>
          <w:u w:val="single" w:color="auto"/>
          <w:color w:val="auto"/>
        </w:rPr>
        <w:t>Fiscal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LLC’s fiscal year ends on the first Thursday after December 25 each year. LLC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change its method of calculating its fiscal year (i) unless for a bona fide accounting reason, and (ii) in any event without prior written notice to Cinemark.</w:t>
      </w:r>
    </w:p>
    <w:p>
      <w:pPr>
        <w:spacing w:after="0" w:line="176"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b w:val="1"/>
          <w:bCs w:val="1"/>
          <w:color w:val="auto"/>
        </w:rPr>
        <w:t xml:space="preserve">Section 15.05B </w:t>
      </w:r>
      <w:r>
        <w:rPr>
          <w:rFonts w:ascii="Arial" w:cs="Arial" w:eastAsia="Arial" w:hAnsi="Arial"/>
          <w:sz w:val="19"/>
          <w:szCs w:val="19"/>
          <w:b w:val="1"/>
          <w:bCs w:val="1"/>
          <w:u w:val="single" w:color="auto"/>
          <w:color w:val="auto"/>
        </w:rPr>
        <w:t>No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date of the First Amendment to the Agreement, LLC hereby represents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warrants to Cinemark that LLC has no Affiliates. LLC acknowledges and agrees that it shall not sell Advertising Services through Affiliates of LLC without Cinemark’s consent, and, if Cinemark so consents, then references in this Agreement to “revenue payable to LLC” or similar phrases shall be deemed to refer to “revenue payable to LLC or its Affiliates”.</w:t>
      </w:r>
    </w:p>
    <w:p>
      <w:pPr>
        <w:spacing w:after="0" w:line="141" w:lineRule="exact"/>
        <w:rPr>
          <w:sz w:val="20"/>
          <w:szCs w:val="20"/>
          <w:color w:val="auto"/>
        </w:rPr>
      </w:pPr>
    </w:p>
    <w:p>
      <w:pPr>
        <w:ind w:firstLine="8"/>
        <w:spacing w:after="0" w:line="263" w:lineRule="auto"/>
        <w:tabs>
          <w:tab w:leader="none" w:pos="918" w:val="left"/>
        </w:tabs>
        <w:numPr>
          <w:ilvl w:val="0"/>
          <w:numId w:val="2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Beverage Agreement Advertising Rate. </w:t>
      </w:r>
      <w:r>
        <w:rPr>
          <w:rFonts w:ascii="Arial" w:cs="Arial" w:eastAsia="Arial" w:hAnsi="Arial"/>
          <w:sz w:val="22"/>
          <w:szCs w:val="22"/>
          <w:color w:val="auto"/>
        </w:rPr>
        <w:t>The first paragraph of Section B of Exhibit B to the ESA is hereby deleted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replaced with the following:</w:t>
      </w:r>
    </w:p>
    <w:p>
      <w:pPr>
        <w:spacing w:after="0" w:line="215" w:lineRule="exact"/>
        <w:rPr>
          <w:sz w:val="20"/>
          <w:szCs w:val="20"/>
          <w:color w:val="auto"/>
        </w:rPr>
      </w:pPr>
    </w:p>
    <w:p>
      <w:pPr>
        <w:jc w:val="both"/>
        <w:ind w:left="1040"/>
        <w:spacing w:after="0" w:line="288" w:lineRule="auto"/>
        <w:rPr>
          <w:sz w:val="20"/>
          <w:szCs w:val="20"/>
          <w:color w:val="auto"/>
        </w:rPr>
      </w:pPr>
      <w:r>
        <w:rPr>
          <w:rFonts w:ascii="Arial" w:cs="Arial" w:eastAsia="Arial" w:hAnsi="Arial"/>
          <w:sz w:val="19"/>
          <w:szCs w:val="19"/>
          <w:color w:val="auto"/>
        </w:rPr>
        <w:t>The initial Beverage Agreement Advertising Rate as of the Original Effective Date is $[***] in Cinemark Attendance for a thirty second (:30) advertisement. The Beverage Agreement Advertising Rate shall (i) increase eight percent (8%) per year for each of the first two fiscal years beginning at the end of LLC’s 2007 fiscal year; (ii) beginning at the end of the period set forth in clause (i) above, increase six percent (6%) per year for each of the next two fiscal years; and (iii) beginning at the end of the period set forth in clause (ii) above until November 1, 2019, increase in an amount equal to the annual percentage increase in the advertising rates per thousand attendees charged by LLC to unaffiliated third parties (excluding the advertising associated with the Beverage Agreement) for on-screen advertising in the Pre-Feature Program during the last six (6) minutes preceding the start of the Trailers for each fiscal year, but in no event more than the highest advertising rate per thousand attendees being then-charged by LLC. Commencing on November 1, 2019, the Beverage Agreement Advertising Rate shall be $[***] in Cinemark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13" w:name="page14"/>
    <w:bookmarkEnd w:id="13"/>
    <w:p>
      <w:pPr>
        <w:jc w:val="both"/>
        <w:ind w:left="1040"/>
        <w:spacing w:after="0" w:line="312" w:lineRule="auto"/>
        <w:rPr>
          <w:sz w:val="20"/>
          <w:szCs w:val="20"/>
          <w:color w:val="auto"/>
        </w:rPr>
      </w:pPr>
      <w:r>
        <w:rPr>
          <w:rFonts w:ascii="Arial" w:cs="Arial" w:eastAsia="Arial" w:hAnsi="Arial"/>
          <w:sz w:val="19"/>
          <w:szCs w:val="19"/>
          <w:color w:val="auto"/>
        </w:rPr>
        <w:t>Attendance for a thirty second (:30) advertisement, which is the cost per mille charged by LLC to Cinemark as of the beginning of LLC’s 2019 fiscal year for the Beverage Slot and shall increase two percent (2%) annually (1) effective beginning the first day of the 2020 fiscal year and (2) thereafter on each fiscal year anniversary of such date.</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For clarity, prior to November 1, 2019, the existence of this Amendment shall not impact the then-current Beverage Agreement Advertising Rate.</w:t>
      </w:r>
    </w:p>
    <w:p>
      <w:pPr>
        <w:spacing w:after="0" w:line="175" w:lineRule="exact"/>
        <w:rPr>
          <w:sz w:val="20"/>
          <w:szCs w:val="20"/>
          <w:color w:val="auto"/>
        </w:rPr>
      </w:pPr>
    </w:p>
    <w:p>
      <w:pPr>
        <w:ind w:right="20" w:firstLine="8"/>
        <w:spacing w:after="0" w:line="263" w:lineRule="auto"/>
        <w:tabs>
          <w:tab w:leader="none" w:pos="918" w:val="left"/>
        </w:tabs>
        <w:numPr>
          <w:ilvl w:val="0"/>
          <w:numId w:val="2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Calculation of Exhibitor Allocation, Theatre Access Fee and Run-Out Obligations. </w:t>
      </w:r>
      <w:r>
        <w:rPr>
          <w:rFonts w:ascii="Arial" w:cs="Arial" w:eastAsia="Arial" w:hAnsi="Arial"/>
          <w:sz w:val="22"/>
          <w:szCs w:val="22"/>
          <w:u w:val="single" w:color="auto"/>
          <w:color w:val="auto"/>
        </w:rPr>
        <w:t>Schedule 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is hereby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amended as follows:</w:t>
      </w:r>
    </w:p>
    <w:p>
      <w:pPr>
        <w:spacing w:after="0" w:line="215" w:lineRule="exact"/>
        <w:rPr>
          <w:sz w:val="20"/>
          <w:szCs w:val="20"/>
          <w:color w:val="auto"/>
        </w:rPr>
      </w:pPr>
    </w:p>
    <w:p>
      <w:pPr>
        <w:ind w:left="720" w:hanging="415"/>
        <w:spacing w:after="0"/>
        <w:tabs>
          <w:tab w:leader="none" w:pos="720" w:val="left"/>
        </w:tabs>
        <w:numPr>
          <w:ilvl w:val="0"/>
          <w:numId w:val="27"/>
        </w:numPr>
        <w:rPr>
          <w:rFonts w:ascii="Arial" w:cs="Arial" w:eastAsia="Arial" w:hAnsi="Arial"/>
          <w:sz w:val="22"/>
          <w:szCs w:val="22"/>
          <w:color w:val="auto"/>
        </w:rPr>
      </w:pPr>
      <w:r>
        <w:rPr>
          <w:rFonts w:ascii="Arial" w:cs="Arial" w:eastAsia="Arial" w:hAnsi="Arial"/>
          <w:sz w:val="22"/>
          <w:szCs w:val="22"/>
          <w:b w:val="1"/>
          <w:bCs w:val="1"/>
          <w:i w:val="1"/>
          <w:iCs w:val="1"/>
          <w:color w:val="auto"/>
        </w:rPr>
        <w:t>Definitions:</w:t>
      </w:r>
    </w:p>
    <w:p>
      <w:pPr>
        <w:spacing w:after="0" w:line="21" w:lineRule="exact"/>
        <w:rPr>
          <w:rFonts w:ascii="Arial" w:cs="Arial" w:eastAsia="Arial" w:hAnsi="Arial"/>
          <w:sz w:val="22"/>
          <w:szCs w:val="22"/>
          <w:color w:val="auto"/>
        </w:rPr>
      </w:pPr>
    </w:p>
    <w:p>
      <w:pPr>
        <w:ind w:left="720" w:right="340"/>
        <w:spacing w:after="0" w:line="437" w:lineRule="auto"/>
        <w:rPr>
          <w:rFonts w:ascii="Arial" w:cs="Arial" w:eastAsia="Arial" w:hAnsi="Arial"/>
          <w:sz w:val="22"/>
          <w:szCs w:val="22"/>
          <w:color w:val="auto"/>
        </w:rPr>
      </w:pPr>
      <w:r>
        <w:rPr>
          <w:rFonts w:ascii="Arial" w:cs="Arial" w:eastAsia="Arial" w:hAnsi="Arial"/>
          <w:sz w:val="22"/>
          <w:szCs w:val="22"/>
          <w:color w:val="auto"/>
        </w:rPr>
        <w:t xml:space="preserve">The following definitions are hereby added to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to the ESA and inserted alphabetically into Section A thereof: “</w:t>
      </w:r>
      <w:r>
        <w:rPr>
          <w:rFonts w:ascii="Arial" w:cs="Arial" w:eastAsia="Arial" w:hAnsi="Arial"/>
          <w:sz w:val="22"/>
          <w:szCs w:val="22"/>
          <w:b w:val="1"/>
          <w:bCs w:val="1"/>
          <w:color w:val="auto"/>
        </w:rPr>
        <w:t>Aggregate Post-Showtime Opt-In Attendance</w:t>
      </w:r>
      <w:r>
        <w:rPr>
          <w:rFonts w:ascii="Arial" w:cs="Arial" w:eastAsia="Arial" w:hAnsi="Arial"/>
          <w:sz w:val="22"/>
          <w:szCs w:val="22"/>
          <w:color w:val="auto"/>
        </w:rPr>
        <w:t>” means [***].</w:t>
      </w: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Post-Showtime Opt-In Revenue</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Post-Showtime Theatre Access Pool</w:t>
      </w:r>
      <w:r>
        <w:rPr>
          <w:rFonts w:ascii="Arial" w:cs="Arial" w:eastAsia="Arial" w:hAnsi="Arial"/>
          <w:sz w:val="22"/>
          <w:szCs w:val="22"/>
          <w:color w:val="auto"/>
        </w:rPr>
        <w:t>” means [***].</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Attendance Allocation</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 Section 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Post-Showtime Opt-In Revenue</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Post-Showtime Opt-Out Attendance</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Post-Showtime Opt-Out Revenue</w:t>
      </w:r>
      <w:r>
        <w:rPr>
          <w:rFonts w:ascii="Arial" w:cs="Arial" w:eastAsia="Arial" w:hAnsi="Arial"/>
          <w:sz w:val="22"/>
          <w:szCs w:val="22"/>
          <w:color w:val="auto"/>
        </w:rPr>
        <w:t>” means [***].</w:t>
      </w:r>
    </w:p>
    <w:p>
      <w:pPr>
        <w:spacing w:after="0" w:line="22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Post-Showtime Theatre Access Fee</w:t>
      </w:r>
      <w:r>
        <w:rPr>
          <w:rFonts w:ascii="Arial" w:cs="Arial" w:eastAsia="Arial" w:hAnsi="Arial"/>
          <w:sz w:val="22"/>
          <w:szCs w:val="22"/>
          <w:color w:val="auto"/>
        </w:rPr>
        <w:t>” means the product of (i) the Post-Showtime Theatre Access Fee per Patron and (ii) Cinemark Attendance for the applicable fiscal month.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Cinemark Pro-Rated Platinum Revenue Minimum</w:t>
      </w:r>
      <w:r>
        <w:rPr>
          <w:rFonts w:ascii="Arial" w:cs="Arial" w:eastAsia="Arial" w:hAnsi="Arial"/>
          <w:sz w:val="21"/>
          <w:szCs w:val="21"/>
          <w:color w:val="auto"/>
        </w:rPr>
        <w:t xml:space="preserve">” has the meaning assigned to it in </w:t>
      </w:r>
      <w:r>
        <w:rPr>
          <w:rFonts w:ascii="Arial" w:cs="Arial" w:eastAsia="Arial" w:hAnsi="Arial"/>
          <w:sz w:val="21"/>
          <w:szCs w:val="21"/>
          <w:u w:val="single" w:color="auto"/>
          <w:color w:val="auto"/>
        </w:rPr>
        <w:t>Schedule 1, Section E</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Cinemark Pro-Rated Platinum Revenue Trailer Pod Fee</w:t>
      </w:r>
      <w:r>
        <w:rPr>
          <w:rFonts w:ascii="Arial" w:cs="Arial" w:eastAsia="Arial" w:hAnsi="Arial"/>
          <w:sz w:val="19"/>
          <w:szCs w:val="19"/>
          <w:color w:val="auto"/>
        </w:rPr>
        <w:t xml:space="preserve">” has the meaning assigned to it in </w:t>
      </w:r>
      <w:r>
        <w:rPr>
          <w:rFonts w:ascii="Arial" w:cs="Arial" w:eastAsia="Arial" w:hAnsi="Arial"/>
          <w:sz w:val="19"/>
          <w:szCs w:val="19"/>
          <w:u w:val="single" w:color="auto"/>
          <w:color w:val="auto"/>
        </w:rPr>
        <w:t>Schedule 1</w:t>
      </w:r>
      <w:r>
        <w:rPr>
          <w:rFonts w:ascii="Arial" w:cs="Arial" w:eastAsia="Arial" w:hAnsi="Arial"/>
          <w:sz w:val="19"/>
          <w:szCs w:val="19"/>
          <w:color w:val="auto"/>
        </w:rPr>
        <w:t>, Section 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Spot Trailer Pod Fees</w:t>
      </w:r>
      <w:r>
        <w:rPr>
          <w:rFonts w:ascii="Arial" w:cs="Arial" w:eastAsia="Arial" w:hAnsi="Arial"/>
          <w:sz w:val="22"/>
          <w:szCs w:val="22"/>
          <w:color w:val="auto"/>
        </w:rPr>
        <w:t>” means Cinemark’s Trailer Pod Fees for any [***] Platinum Spot.</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Network Split</w:t>
      </w:r>
      <w:r>
        <w:rPr>
          <w:rFonts w:ascii="Arial" w:cs="Arial" w:eastAsia="Arial" w:hAnsi="Arial"/>
          <w:sz w:val="22"/>
          <w:szCs w:val="22"/>
          <w:color w:val="auto"/>
        </w:rPr>
        <w:t>” means displaying [***] concurrent advertisers’ Platinum Spots in different auditoriums in Theatres that receive the applicable advertiser’s Platinum Spot in a Play List (but never, for the avoidance of doubt, in any auditorium in the same Play List). The [***] Network Splits will always add up to 100% of the auditoriums in 100% of the Theatres, except as provided for in Section 4.01(b)(i)(B)(I)(10).</w:t>
      </w:r>
    </w:p>
    <w:p>
      <w:pPr>
        <w:spacing w:after="0" w:line="180" w:lineRule="exact"/>
        <w:rPr>
          <w:sz w:val="20"/>
          <w:szCs w:val="20"/>
          <w:color w:val="auto"/>
        </w:rPr>
      </w:pPr>
    </w:p>
    <w:p>
      <w:pPr>
        <w:jc w:val="both"/>
        <w:ind w:left="660" w:right="2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Participating Cinemark Attendance</w:t>
      </w:r>
      <w:r>
        <w:rPr>
          <w:rFonts w:ascii="Arial" w:cs="Arial" w:eastAsia="Arial" w:hAnsi="Arial"/>
          <w:sz w:val="19"/>
          <w:szCs w:val="19"/>
          <w:color w:val="auto"/>
        </w:rPr>
        <w:t>” means the Cinemark Attendance for auditoriums in Theatres that: (a) for Platinum Spots, actually displayed the applicable Platinum Spot(s) as Platinum Spot(s) in the Trailer Pod Inventory, and (b) [***].</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14" w:name="page15"/>
    <w:bookmarkEnd w:id="14"/>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Post-Showtime Content Opt-Out</w:t>
      </w:r>
      <w:r>
        <w:rPr>
          <w:rFonts w:ascii="Arial" w:cs="Arial" w:eastAsia="Arial" w:hAnsi="Arial"/>
          <w:sz w:val="19"/>
          <w:szCs w:val="19"/>
          <w:color w:val="auto"/>
        </w:rPr>
        <w:t>” means the process of opting out of Post-Showtime Inventory under Section 4.03A.</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Content Participating Attendance</w:t>
      </w:r>
      <w:r>
        <w:rPr>
          <w:rFonts w:ascii="Arial" w:cs="Arial" w:eastAsia="Arial" w:hAnsi="Arial"/>
          <w:sz w:val="22"/>
          <w:szCs w:val="22"/>
          <w:color w:val="auto"/>
        </w:rPr>
        <w:t>” means [***].</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Content Theatre Access Fee</w:t>
      </w:r>
      <w:r>
        <w:rPr>
          <w:rFonts w:ascii="Arial" w:cs="Arial" w:eastAsia="Arial" w:hAnsi="Arial"/>
          <w:sz w:val="22"/>
          <w:szCs w:val="22"/>
          <w:color w:val="auto"/>
        </w:rPr>
        <w:t>” means [***].</w:t>
      </w:r>
    </w:p>
    <w:p>
      <w:pPr>
        <w:spacing w:after="0" w:line="220" w:lineRule="exact"/>
        <w:rPr>
          <w:sz w:val="20"/>
          <w:szCs w:val="20"/>
          <w:color w:val="auto"/>
        </w:rPr>
      </w:pPr>
    </w:p>
    <w:p>
      <w:pPr>
        <w:jc w:val="both"/>
        <w:ind w:left="3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Fee</w:t>
      </w:r>
      <w:r>
        <w:rPr>
          <w:rFonts w:ascii="Arial" w:cs="Arial" w:eastAsia="Arial" w:hAnsi="Arial"/>
          <w:sz w:val="22"/>
          <w:szCs w:val="22"/>
          <w:color w:val="auto"/>
        </w:rPr>
        <w:t>” means a monthly payment from LLC to Cinemark in consideration for Theatres’ participation in Post-Showtime Advertising Services, which shall be the sum of (i) the Cinemark Post-Showtime Theatre Access Fee and (ii) the Post-Showtime Content Theatre Access Fee.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Fee per Patron</w:t>
      </w:r>
      <w:r>
        <w:rPr>
          <w:rFonts w:ascii="Arial" w:cs="Arial" w:eastAsia="Arial" w:hAnsi="Arial"/>
          <w:sz w:val="22"/>
          <w:szCs w:val="22"/>
          <w:color w:val="auto"/>
        </w:rPr>
        <w:t>” means the fee per patron as follows:</w:t>
      </w:r>
    </w:p>
    <w:p>
      <w:pPr>
        <w:spacing w:after="0" w:line="226" w:lineRule="exact"/>
        <w:rPr>
          <w:sz w:val="20"/>
          <w:szCs w:val="20"/>
          <w:color w:val="auto"/>
        </w:rPr>
      </w:pPr>
    </w:p>
    <w:p>
      <w:pPr>
        <w:ind w:left="1660" w:hanging="331"/>
        <w:spacing w:after="0"/>
        <w:tabs>
          <w:tab w:leader="none" w:pos="1660" w:val="left"/>
        </w:tabs>
        <w:numPr>
          <w:ilvl w:val="0"/>
          <w:numId w:val="28"/>
        </w:numPr>
        <w:rPr>
          <w:rFonts w:ascii="Arial" w:cs="Arial" w:eastAsia="Arial" w:hAnsi="Arial"/>
          <w:sz w:val="21"/>
          <w:szCs w:val="21"/>
          <w:color w:val="auto"/>
        </w:rPr>
      </w:pPr>
      <w:r>
        <w:rPr>
          <w:rFonts w:ascii="Arial" w:cs="Arial" w:eastAsia="Arial" w:hAnsi="Arial"/>
          <w:sz w:val="21"/>
          <w:szCs w:val="21"/>
          <w:color w:val="auto"/>
        </w:rPr>
        <w:t>Beginning on November 1, 2019, the Post-Showtime Theatre Access Fee per Patron will be $0.025.</w:t>
      </w:r>
    </w:p>
    <w:p>
      <w:pPr>
        <w:spacing w:after="0" w:line="271" w:lineRule="exact"/>
        <w:rPr>
          <w:rFonts w:ascii="Arial" w:cs="Arial" w:eastAsia="Arial" w:hAnsi="Arial"/>
          <w:sz w:val="21"/>
          <w:szCs w:val="21"/>
          <w:color w:val="auto"/>
        </w:rPr>
      </w:pPr>
    </w:p>
    <w:p>
      <w:pPr>
        <w:ind w:left="1660" w:hanging="331"/>
        <w:spacing w:after="0"/>
        <w:tabs>
          <w:tab w:leader="none" w:pos="1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Beginning on November 1, 2020, the Post-Showtime Theatre Access Fee per Patron will increase to $0.0375.</w:t>
      </w:r>
    </w:p>
    <w:p>
      <w:pPr>
        <w:spacing w:after="0" w:line="294" w:lineRule="exact"/>
        <w:rPr>
          <w:rFonts w:ascii="Arial" w:cs="Arial" w:eastAsia="Arial" w:hAnsi="Arial"/>
          <w:sz w:val="19"/>
          <w:szCs w:val="19"/>
          <w:color w:val="auto"/>
        </w:rPr>
      </w:pPr>
    </w:p>
    <w:p>
      <w:pPr>
        <w:ind w:left="1660" w:hanging="331"/>
        <w:spacing w:after="0"/>
        <w:tabs>
          <w:tab w:leader="none" w:pos="1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Beginning on November 1, 2021, the Post-Showtime Theatre Access Fee per Patron will increase to $0.05.</w:t>
      </w:r>
    </w:p>
    <w:p>
      <w:pPr>
        <w:spacing w:after="0" w:line="294" w:lineRule="exact"/>
        <w:rPr>
          <w:rFonts w:ascii="Arial" w:cs="Arial" w:eastAsia="Arial" w:hAnsi="Arial"/>
          <w:sz w:val="19"/>
          <w:szCs w:val="19"/>
          <w:color w:val="auto"/>
        </w:rPr>
      </w:pPr>
    </w:p>
    <w:p>
      <w:pPr>
        <w:ind w:left="1660" w:hanging="331"/>
        <w:spacing w:after="0" w:line="263" w:lineRule="auto"/>
        <w:tabs>
          <w:tab w:leader="none" w:pos="1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Beginning on November 1, 2022, the Post-Showtime Theater Access Fee per Patron shall increase by four percent (4%).</w:t>
      </w:r>
    </w:p>
    <w:p>
      <w:pPr>
        <w:spacing w:after="0" w:line="215" w:lineRule="exact"/>
        <w:rPr>
          <w:rFonts w:ascii="Arial" w:cs="Arial" w:eastAsia="Arial" w:hAnsi="Arial"/>
          <w:sz w:val="22"/>
          <w:szCs w:val="22"/>
          <w:color w:val="auto"/>
        </w:rPr>
      </w:pPr>
    </w:p>
    <w:p>
      <w:pPr>
        <w:ind w:left="1660" w:hanging="331"/>
        <w:spacing w:after="0" w:line="263" w:lineRule="auto"/>
        <w:tabs>
          <w:tab w:leader="none" w:pos="1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On November 1, 2027 and every five (5) years thereafter on November 1, the Post-Showtime Theatre Access Fee per Patron shall increase by eight percent (8%).</w:t>
      </w:r>
    </w:p>
    <w:p>
      <w:pPr>
        <w:spacing w:after="0" w:line="200" w:lineRule="exact"/>
        <w:rPr>
          <w:sz w:val="20"/>
          <w:szCs w:val="20"/>
          <w:color w:val="auto"/>
        </w:r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Pool Percentage</w:t>
      </w:r>
      <w:r>
        <w:rPr>
          <w:rFonts w:ascii="Arial" w:cs="Arial" w:eastAsia="Arial" w:hAnsi="Arial"/>
          <w:sz w:val="22"/>
          <w:szCs w:val="22"/>
          <w:color w:val="auto"/>
        </w:rPr>
        <w:t>” means [***].</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Pro-Rated Platinum Minimum Ratio</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 Section E.</w:t>
      </w:r>
    </w:p>
    <w:p>
      <w:pPr>
        <w:spacing w:after="0" w:line="220" w:lineRule="exact"/>
        <w:rPr>
          <w:sz w:val="20"/>
          <w:szCs w:val="20"/>
          <w:color w:val="auto"/>
        </w:rPr>
      </w:pPr>
    </w:p>
    <w:p>
      <w:pPr>
        <w:ind w:left="3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Post-Showtime Theatre Access Fee</w:t>
      </w:r>
      <w:r>
        <w:rPr>
          <w:rFonts w:ascii="Arial" w:cs="Arial" w:eastAsia="Arial" w:hAnsi="Arial"/>
          <w:sz w:val="22"/>
          <w:szCs w:val="22"/>
          <w:color w:val="auto"/>
        </w:rPr>
        <w:t>” means the Regal Post-Showtime Theatre Access Fee, calculated pursuant to the Regal Exhibitor Agreement.</w:t>
      </w:r>
    </w:p>
    <w:p>
      <w:pPr>
        <w:spacing w:after="0" w:line="162" w:lineRule="exact"/>
        <w:rPr>
          <w:sz w:val="20"/>
          <w:szCs w:val="20"/>
          <w:color w:val="auto"/>
        </w:rPr>
      </w:pPr>
    </w:p>
    <w:p>
      <w:pPr>
        <w:ind w:left="3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Spot Trailer Pod Revenue</w:t>
      </w:r>
      <w:r>
        <w:rPr>
          <w:rFonts w:ascii="Arial" w:cs="Arial" w:eastAsia="Arial" w:hAnsi="Arial"/>
          <w:sz w:val="22"/>
          <w:szCs w:val="22"/>
          <w:color w:val="auto"/>
        </w:rPr>
        <w:t>” means all revenue generated from any [***] Platinum Spot as Trailer Pod Inventory that was displayed in the applicable period.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21"/>
          <w:szCs w:val="21"/>
          <w:color w:val="auto"/>
        </w:rPr>
        <w:t xml:space="preserve">The following definition in Section A of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to the ESA is hereby deleted and replaced with the following: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420" w:right="20" w:hanging="415"/>
        <w:spacing w:after="0" w:line="253" w:lineRule="auto"/>
        <w:tabs>
          <w:tab w:leader="none" w:pos="420" w:val="left"/>
        </w:tabs>
        <w:numPr>
          <w:ilvl w:val="0"/>
          <w:numId w:val="2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Definition References: </w:t>
      </w:r>
      <w:r>
        <w:rPr>
          <w:rFonts w:ascii="Arial" w:cs="Arial" w:eastAsia="Arial" w:hAnsi="Arial"/>
          <w:sz w:val="22"/>
          <w:szCs w:val="22"/>
          <w:color w:val="auto"/>
        </w:rPr>
        <w:t>The Parties agree that the table at the end of Section A of</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containing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references to the definitions in the main body of the ESA is hereby updated to include all new and updated definitions set forth in the main body of this Amendment.</w:t>
      </w: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20"/>
          </w:cols>
          <w:pgMar w:left="540" w:top="585" w:right="239" w:bottom="1440" w:gutter="0" w:footer="0" w:header="0"/>
        </w:sectPr>
      </w:pPr>
    </w:p>
    <w:bookmarkStart w:id="15" w:name="page16"/>
    <w:bookmarkEnd w:id="15"/>
    <w:p>
      <w:pPr>
        <w:jc w:val="both"/>
        <w:ind w:left="720" w:hanging="415"/>
        <w:spacing w:after="0" w:line="253" w:lineRule="auto"/>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Section C: </w:t>
      </w:r>
      <w:r>
        <w:rPr>
          <w:rFonts w:ascii="Arial" w:cs="Arial" w:eastAsia="Arial" w:hAnsi="Arial"/>
          <w:sz w:val="22"/>
          <w:szCs w:val="22"/>
          <w:color w:val="auto"/>
        </w:rPr>
        <w:t>The calculation for “Aggregate Advertising Revenue” in Section 2(c) of Section C of</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hereby deleted and replaced with the definition of Aggregate Advertising Revenue as defined in Section 1.B. of this Amendment.</w:t>
      </w:r>
    </w:p>
    <w:p>
      <w:pPr>
        <w:spacing w:after="0" w:line="226" w:lineRule="exact"/>
        <w:rPr>
          <w:rFonts w:ascii="Arial" w:cs="Arial" w:eastAsia="Arial" w:hAnsi="Arial"/>
          <w:sz w:val="22"/>
          <w:szCs w:val="22"/>
          <w:color w:val="auto"/>
        </w:rPr>
      </w:pPr>
    </w:p>
    <w:p>
      <w:pPr>
        <w:ind w:left="720" w:right="9760" w:hanging="415"/>
        <w:spacing w:after="0" w:line="263" w:lineRule="auto"/>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Section D: </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720" w:hanging="415"/>
        <w:spacing w:after="0"/>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New Section E: </w:t>
      </w:r>
      <w:r>
        <w:rPr>
          <w:rFonts w:ascii="Arial" w:cs="Arial" w:eastAsia="Arial" w:hAnsi="Arial"/>
          <w:sz w:val="19"/>
          <w:szCs w:val="19"/>
          <w:u w:val="single" w:color="auto"/>
          <w:color w:val="auto"/>
        </w:rPr>
        <w:t>Schedule 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ESA is hereby amended by adding at the end thereof, and as Section E thereto, the</w:t>
      </w:r>
    </w:p>
    <w:p>
      <w:pPr>
        <w:spacing w:after="0" w:line="56" w:lineRule="exact"/>
        <w:rPr>
          <w:rFonts w:ascii="Arial" w:cs="Arial" w:eastAsia="Arial" w:hAnsi="Arial"/>
          <w:sz w:val="19"/>
          <w:szCs w:val="19"/>
          <w:color w:val="auto"/>
        </w:rPr>
      </w:pPr>
    </w:p>
    <w:p>
      <w:pPr>
        <w:ind w:left="720"/>
        <w:spacing w:after="0"/>
        <w:rPr>
          <w:rFonts w:ascii="Arial" w:cs="Arial" w:eastAsia="Arial" w:hAnsi="Arial"/>
          <w:sz w:val="19"/>
          <w:szCs w:val="19"/>
          <w:color w:val="auto"/>
        </w:rPr>
      </w:pPr>
      <w:r>
        <w:rPr>
          <w:rFonts w:ascii="Arial" w:cs="Arial" w:eastAsia="Arial" w:hAnsi="Arial"/>
          <w:sz w:val="19"/>
          <w:szCs w:val="19"/>
          <w:color w:val="auto"/>
        </w:rPr>
        <w:t xml:space="preserve">section titled “Section E: Post-Showtime Theatre Access Fees and Trailer Pod Fees”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277" w:lineRule="exact"/>
        <w:rPr>
          <w:sz w:val="20"/>
          <w:szCs w:val="20"/>
          <w:color w:val="auto"/>
        </w:rPr>
      </w:pPr>
    </w:p>
    <w:p>
      <w:pPr>
        <w:jc w:val="both"/>
        <w:ind w:firstLine="8"/>
        <w:spacing w:after="0" w:line="253" w:lineRule="auto"/>
        <w:tabs>
          <w:tab w:leader="none" w:pos="918" w:val="left"/>
        </w:tabs>
        <w:numPr>
          <w:ilvl w:val="0"/>
          <w:numId w:val="3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Remaining Terms; Conflicts. </w:t>
      </w:r>
      <w:r>
        <w:rPr>
          <w:rFonts w:ascii="Arial" w:cs="Arial" w:eastAsia="Arial" w:hAnsi="Arial"/>
          <w:sz w:val="22"/>
          <w:szCs w:val="22"/>
          <w:color w:val="auto"/>
        </w:rPr>
        <w:t>Except as modified by this Amendment, all terms and conditions of the ESA shall remain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full force and effect. To the extent there is a conflict between the terms of the ESA and this Amendment, the terms of this Amendment shall control.</w:t>
      </w:r>
    </w:p>
    <w:p>
      <w:pPr>
        <w:spacing w:after="0" w:line="226" w:lineRule="exact"/>
        <w:rPr>
          <w:sz w:val="20"/>
          <w:szCs w:val="20"/>
          <w:color w:val="auto"/>
        </w:rPr>
      </w:pPr>
    </w:p>
    <w:p>
      <w:pPr>
        <w:ind w:left="2980"/>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16" w:name="page17"/>
    <w:bookmarkEnd w:id="16"/>
    <w:p>
      <w:pPr>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by their respective duly authorized representatives, executed this Amendment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Amendment Effective Date.</w:t>
      </w:r>
    </w:p>
    <w:p>
      <w:pPr>
        <w:sectPr>
          <w:pgSz w:w="11900" w:h="16838" w:orient="portrait"/>
          <w:cols w:equalWidth="0" w:num="1">
            <w:col w:w="11420"/>
          </w:cols>
          <w:pgMar w:left="240" w:top="841" w:right="239" w:bottom="1440" w:gutter="0" w:footer="0" w:header="0"/>
        </w:sectPr>
      </w:pPr>
    </w:p>
    <w:p>
      <w:pPr>
        <w:spacing w:after="0" w:line="35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National CineMedia, LLC</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 xml:space="preserve">By National CineMedia, Inc., </w:t>
      </w:r>
      <w:r>
        <w:rPr>
          <w:rFonts w:ascii="Arial" w:cs="Arial" w:eastAsia="Arial" w:hAnsi="Arial"/>
          <w:sz w:val="19"/>
          <w:szCs w:val="19"/>
          <w:color w:val="auto"/>
        </w:rPr>
        <w:t>its manager</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 Tom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24765</wp:posOffset>
            </wp:positionV>
            <wp:extent cx="3138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Tom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24765</wp:posOffset>
            </wp:positionV>
            <wp:extent cx="31388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Printed Name</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24765</wp:posOffset>
            </wp:positionV>
            <wp:extent cx="31388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Cinemark USA,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/s/ Michael Cavalier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24765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Michael Cavalier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24765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46355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140" w:space="720"/>
            <w:col w:w="5560"/>
          </w:cols>
          <w:pgMar w:left="240" w:top="8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First Amendment to Amended and Restated Exhibitor Services Agreement</w:t>
      </w:r>
    </w:p>
    <w:p>
      <w:pPr>
        <w:sectPr>
          <w:pgSz w:w="11900" w:h="16838" w:orient="portrait"/>
          <w:cols w:equalWidth="0" w:num="1">
            <w:col w:w="11420"/>
          </w:cols>
          <w:pgMar w:left="240" w:top="841" w:right="2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w:t>
      </w:r>
    </w:p>
    <w:p>
      <w:pPr>
        <w:spacing w:after="0" w:line="211" w:lineRule="exact"/>
        <w:rPr>
          <w:sz w:val="20"/>
          <w:szCs w:val="20"/>
          <w:color w:val="auto"/>
        </w:rPr>
      </w:pPr>
    </w:p>
    <w:p>
      <w:pPr>
        <w:jc w:val="both"/>
        <w:ind w:right="420"/>
        <w:spacing w:after="0" w:line="256" w:lineRule="auto"/>
        <w:rPr>
          <w:sz w:val="20"/>
          <w:szCs w:val="20"/>
          <w:color w:val="auto"/>
        </w:rPr>
      </w:pPr>
      <w:r>
        <w:rPr>
          <w:rFonts w:ascii="Arial" w:cs="Arial" w:eastAsia="Arial" w:hAnsi="Arial"/>
          <w:sz w:val="22"/>
          <w:szCs w:val="22"/>
          <w:b w:val="1"/>
          <w:bCs w:val="1"/>
          <w:color w:val="auto"/>
        </w:rPr>
        <w:t>NOTE: CERTAIN IDENTIFIED INFORMATION HAS BEEN EXCLUDED FROM THIS EXHIBIT BECAUSE IT IS NOT MATERIAL AND WOULD LIKELY CAUSE COMPETITIVE HARM TO THE REGISTRANT IF PUBLICLY DISCLOSED. “[***]” INDICATES THAT INFORMATION HAS BEEN REDACTED.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EXHIBITOR SERVICES AGREEMENT</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Second Amendment to Amended and Restated Exhibitor Services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dated September 17, 2019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is by and between National CineMedia, LLC (“</w:t>
      </w:r>
      <w:r>
        <w:rPr>
          <w:rFonts w:ascii="Arial" w:cs="Arial" w:eastAsia="Arial" w:hAnsi="Arial"/>
          <w:sz w:val="22"/>
          <w:szCs w:val="22"/>
          <w:b w:val="1"/>
          <w:bCs w:val="1"/>
          <w:color w:val="auto"/>
        </w:rPr>
        <w:t>LLC</w:t>
      </w:r>
      <w:r>
        <w:rPr>
          <w:rFonts w:ascii="Arial" w:cs="Arial" w:eastAsia="Arial" w:hAnsi="Arial"/>
          <w:sz w:val="22"/>
          <w:szCs w:val="22"/>
          <w:color w:val="auto"/>
        </w:rPr>
        <w:t>”) and Regal Cinemas, Inc. (“</w:t>
      </w:r>
      <w:r>
        <w:rPr>
          <w:rFonts w:ascii="Arial" w:cs="Arial" w:eastAsia="Arial" w:hAnsi="Arial"/>
          <w:sz w:val="22"/>
          <w:szCs w:val="22"/>
          <w:b w:val="1"/>
          <w:bCs w:val="1"/>
          <w:color w:val="auto"/>
        </w:rPr>
        <w:t>Regal</w:t>
      </w:r>
      <w:r>
        <w:rPr>
          <w:rFonts w:ascii="Arial" w:cs="Arial" w:eastAsia="Arial" w:hAnsi="Arial"/>
          <w:sz w:val="22"/>
          <w:szCs w:val="22"/>
          <w:color w:val="auto"/>
        </w:rPr>
        <w:t>”). Capitalized terms used but not defined herein shall have the respective meanings given to them in the Amended and Restated Exhibitor Services Agreement between LLC and Regal, dated as of February 13, 2007, amended and restated as of December 26, 2013 and amended on March 9, 2017 (the “</w:t>
      </w:r>
      <w:r>
        <w:rPr>
          <w:rFonts w:ascii="Arial" w:cs="Arial" w:eastAsia="Arial" w:hAnsi="Arial"/>
          <w:sz w:val="22"/>
          <w:szCs w:val="22"/>
          <w:b w:val="1"/>
          <w:bCs w:val="1"/>
          <w:color w:val="auto"/>
        </w:rPr>
        <w:t>ESA</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the ESA; and</w:t>
      </w:r>
    </w:p>
    <w:p>
      <w:pPr>
        <w:spacing w:after="0" w:line="220"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of Directors of National CineMedia, Inc. (“</w:t>
      </w:r>
      <w:r>
        <w:rPr>
          <w:rFonts w:ascii="Arial" w:cs="Arial" w:eastAsia="Arial" w:hAnsi="Arial"/>
          <w:sz w:val="21"/>
          <w:szCs w:val="21"/>
          <w:b w:val="1"/>
          <w:bCs w:val="1"/>
          <w:color w:val="auto"/>
        </w:rPr>
        <w:t>NCM Parent</w:t>
      </w:r>
      <w:r>
        <w:rPr>
          <w:rFonts w:ascii="Arial" w:cs="Arial" w:eastAsia="Arial" w:hAnsi="Arial"/>
          <w:sz w:val="21"/>
          <w:szCs w:val="21"/>
          <w:color w:val="auto"/>
        </w:rPr>
        <w:t>”) and the Transaction Review Committee of</w:t>
      </w:r>
      <w:r>
        <w:rPr>
          <w:rFonts w:ascii="Arial" w:cs="Arial" w:eastAsia="Arial" w:hAnsi="Arial"/>
          <w:sz w:val="21"/>
          <w:szCs w:val="21"/>
          <w:b w:val="1"/>
          <w:bCs w:val="1"/>
          <w:color w:val="auto"/>
        </w:rPr>
        <w:t xml:space="preserve"> </w:t>
      </w:r>
      <w:r>
        <w:rPr>
          <w:rFonts w:ascii="Arial" w:cs="Arial" w:eastAsia="Arial" w:hAnsi="Arial"/>
          <w:sz w:val="21"/>
          <w:szCs w:val="21"/>
          <w:color w:val="auto"/>
        </w:rPr>
        <w:t>NCM Parent have deemed this Amendment to be in the best interest of NCM Parent and its shareholders.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covenants and conditions set forth below,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82" w:lineRule="exact"/>
        <w:rPr>
          <w:sz w:val="20"/>
          <w:szCs w:val="20"/>
          <w:color w:val="auto"/>
        </w:rPr>
      </w:pPr>
    </w:p>
    <w:p>
      <w:pPr>
        <w:ind w:left="820" w:hanging="812"/>
        <w:spacing w:after="0"/>
        <w:tabs>
          <w:tab w:leader="none" w:pos="820" w:val="left"/>
        </w:tabs>
        <w:numPr>
          <w:ilvl w:val="0"/>
          <w:numId w:val="32"/>
        </w:numPr>
        <w:rPr>
          <w:rFonts w:ascii="Arial" w:cs="Arial" w:eastAsia="Arial" w:hAnsi="Arial"/>
          <w:sz w:val="22"/>
          <w:szCs w:val="22"/>
          <w:color w:val="auto"/>
        </w:rPr>
      </w:pPr>
      <w:r>
        <w:rPr>
          <w:rFonts w:ascii="Arial" w:cs="Arial" w:eastAsia="Arial" w:hAnsi="Arial"/>
          <w:sz w:val="22"/>
          <w:szCs w:val="22"/>
          <w:b w:val="1"/>
          <w:bCs w:val="1"/>
          <w:i w:val="1"/>
          <w:iCs w:val="1"/>
          <w:color w:val="auto"/>
        </w:rPr>
        <w:t>Definitions.</w:t>
      </w:r>
    </w:p>
    <w:p>
      <w:pPr>
        <w:spacing w:after="0" w:line="21"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A.  The following definitions are hereby added to the ESA and inserted alphabetically into Section 1.01 thereof:</w:t>
      </w:r>
    </w:p>
    <w:p>
      <w:pPr>
        <w:spacing w:after="0" w:line="236" w:lineRule="exact"/>
        <w:rPr>
          <w:rFonts w:ascii="Arial" w:cs="Arial" w:eastAsia="Arial" w:hAnsi="Arial"/>
          <w:sz w:val="22"/>
          <w:szCs w:val="22"/>
          <w:color w:val="auto"/>
        </w:rPr>
      </w:pPr>
    </w:p>
    <w:p>
      <w:pPr>
        <w:jc w:val="both"/>
        <w:ind w:left="1040"/>
        <w:spacing w:after="0" w:line="262" w:lineRule="auto"/>
        <w:rPr>
          <w:rFonts w:ascii="Arial" w:cs="Arial" w:eastAsia="Arial" w:hAnsi="Arial"/>
          <w:sz w:val="22"/>
          <w:szCs w:val="22"/>
          <w:color w:val="auto"/>
        </w:rPr>
      </w:pPr>
      <w:r>
        <w:rPr>
          <w:rFonts w:ascii="Arial" w:cs="Arial" w:eastAsia="Arial" w:hAnsi="Arial"/>
          <w:sz w:val="21"/>
          <w:szCs w:val="21"/>
          <w:b w:val="1"/>
          <w:bCs w:val="1"/>
          <w:color w:val="auto"/>
        </w:rPr>
        <w:t xml:space="preserve">“Aggregate Post-Showtime Revenue” </w:t>
      </w:r>
      <w:r>
        <w:rPr>
          <w:rFonts w:ascii="Arial" w:cs="Arial" w:eastAsia="Arial" w:hAnsi="Arial"/>
          <w:sz w:val="21"/>
          <w:szCs w:val="21"/>
          <w:color w:val="auto"/>
        </w:rPr>
        <w:t>means, for the applicable measurement period, the total revenue, in the form of</w:t>
      </w:r>
      <w:r>
        <w:rPr>
          <w:rFonts w:ascii="Arial" w:cs="Arial" w:eastAsia="Arial" w:hAnsi="Arial"/>
          <w:sz w:val="21"/>
          <w:szCs w:val="21"/>
          <w:b w:val="1"/>
          <w:bCs w:val="1"/>
          <w:color w:val="auto"/>
        </w:rPr>
        <w:t xml:space="preserve"> </w:t>
      </w:r>
      <w:r>
        <w:rPr>
          <w:rFonts w:ascii="Arial" w:cs="Arial" w:eastAsia="Arial" w:hAnsi="Arial"/>
          <w:sz w:val="21"/>
          <w:szCs w:val="21"/>
          <w:color w:val="auto"/>
        </w:rPr>
        <w:t>cash and non-cash consideration, payable to LLC for Advertising Services displayed in any Post-Showtime Inventory, excluding revenue payable to LLC related to (i) Event Sponsorships, (ii) Advertising Services provided to third parties that are not Founding Members, (iii) Advertising Services provided to Founding Members outside the provisions of this Agreement pursuant to a written agreement between LLC and such Founding Members, (iv) Inventory displayed prior to Showtime, and (v) Trailer Pod Inventory.</w:t>
      </w:r>
    </w:p>
    <w:p>
      <w:pPr>
        <w:spacing w:after="0" w:line="173" w:lineRule="exact"/>
        <w:rPr>
          <w:rFonts w:ascii="Arial" w:cs="Arial" w:eastAsia="Arial" w:hAnsi="Arial"/>
          <w:sz w:val="22"/>
          <w:szCs w:val="22"/>
          <w:color w:val="auto"/>
        </w:rPr>
      </w:pPr>
    </w:p>
    <w:p>
      <w:pPr>
        <w:jc w:val="both"/>
        <w:ind w:left="1040"/>
        <w:spacing w:after="0" w:line="248"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Trailer Pod Revenue</w:t>
      </w:r>
      <w:r>
        <w:rPr>
          <w:rFonts w:ascii="Arial" w:cs="Arial" w:eastAsia="Arial" w:hAnsi="Arial"/>
          <w:sz w:val="22"/>
          <w:szCs w:val="22"/>
          <w:color w:val="auto"/>
        </w:rPr>
        <w:t>” means, for the applicable measurement period, the total revenue, in the form of cash, payable to LLC for Advertising Services displayed in any Trailer Pod Inventory, excluding revenue payable to LLC related to (i) Event Sponsorships, (ii) Advertising Services provided to third parties that are not Founding Members, (iii) Advertising Services provided to Founding Members outside the provisions of this Agreement pursuant to a written agreement between LLC and such Founding Members, (iv) Inventory displayed prior to Showtime, and (v) Post-Showtime Inventory.</w:t>
      </w:r>
    </w:p>
    <w:p>
      <w:pPr>
        <w:spacing w:after="0" w:line="193" w:lineRule="exact"/>
        <w:rPr>
          <w:rFonts w:ascii="Arial" w:cs="Arial" w:eastAsia="Arial" w:hAnsi="Arial"/>
          <w:sz w:val="22"/>
          <w:szCs w:val="22"/>
          <w:color w:val="auto"/>
        </w:rPr>
      </w:pPr>
    </w:p>
    <w:p>
      <w:pPr>
        <w:ind w:left="104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8" w:name="page19"/>
    <w:bookmarkEnd w:id="18"/>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Beverage Slot</w:t>
      </w:r>
      <w:r>
        <w:rPr>
          <w:rFonts w:ascii="Arial" w:cs="Arial" w:eastAsia="Arial" w:hAnsi="Arial"/>
          <w:sz w:val="22"/>
          <w:szCs w:val="22"/>
          <w:color w:val="auto"/>
        </w:rPr>
        <w:t>” means the Inventory sold to Regal pursuant to Section 4.06(a).</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Co-Branded Slot</w:t>
      </w:r>
      <w:r>
        <w:rPr>
          <w:rFonts w:ascii="Arial" w:cs="Arial" w:eastAsia="Arial" w:hAnsi="Arial"/>
          <w:sz w:val="22"/>
          <w:szCs w:val="22"/>
          <w:color w:val="auto"/>
        </w:rPr>
        <w:t>” has the meaning assigned to it in Section 4.06(a).</w:t>
      </w:r>
    </w:p>
    <w:p>
      <w:pPr>
        <w:spacing w:after="0" w:line="220" w:lineRule="exact"/>
        <w:rPr>
          <w:sz w:val="20"/>
          <w:szCs w:val="20"/>
          <w:color w:val="auto"/>
        </w:rPr>
      </w:pPr>
    </w:p>
    <w:p>
      <w:pPr>
        <w:ind w:left="411"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Exhibitor</w:t>
      </w:r>
      <w:r>
        <w:rPr>
          <w:rFonts w:ascii="Arial" w:cs="Arial" w:eastAsia="Arial" w:hAnsi="Arial"/>
          <w:sz w:val="22"/>
          <w:szCs w:val="22"/>
          <w:color w:val="auto"/>
        </w:rPr>
        <w:t>” means Regal or any other motion picture theatre exhibitor which participates in LLC’s Advertising Services.</w:t>
      </w:r>
    </w:p>
    <w:p>
      <w:pPr>
        <w:spacing w:after="0" w:line="168"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ind w:left="41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Platinum Contract Year</w:t>
      </w:r>
      <w:r>
        <w:rPr>
          <w:rFonts w:ascii="Arial" w:cs="Arial" w:eastAsia="Arial" w:hAnsi="Arial"/>
          <w:sz w:val="19"/>
          <w:szCs w:val="19"/>
          <w:color w:val="auto"/>
        </w:rPr>
        <w:t>” means the time period of November 1 of each year to October 31 of the following year.</w:t>
      </w:r>
    </w:p>
    <w:p>
      <w:pPr>
        <w:spacing w:after="0" w:line="254"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Platinum Revenue Minimum</w:t>
      </w:r>
      <w:r>
        <w:rPr>
          <w:rFonts w:ascii="Arial" w:cs="Arial" w:eastAsia="Arial" w:hAnsi="Arial"/>
          <w:sz w:val="22"/>
          <w:szCs w:val="22"/>
          <w:color w:val="auto"/>
        </w:rPr>
        <w:t>” has the meaning assigned to it in Section 4.01(b)(i)(B)(I)(8)(ii).</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Platinum Spot</w:t>
      </w:r>
      <w:r>
        <w:rPr>
          <w:rFonts w:ascii="Arial" w:cs="Arial" w:eastAsia="Arial" w:hAnsi="Arial"/>
          <w:sz w:val="22"/>
          <w:szCs w:val="22"/>
          <w:color w:val="auto"/>
        </w:rPr>
        <w:t>” has the meaning assigned to it in Section 4.01(b)(i)(B)(I)(5).</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Content Revenue</w:t>
      </w:r>
      <w:r>
        <w:rPr>
          <w:rFonts w:ascii="Arial" w:cs="Arial" w:eastAsia="Arial" w:hAnsi="Arial"/>
          <w:sz w:val="22"/>
          <w:szCs w:val="22"/>
          <w:color w:val="auto"/>
        </w:rPr>
        <w:t>” has the meaning assigned to it in Section 4.03A.</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Inventory</w:t>
      </w:r>
      <w:r>
        <w:rPr>
          <w:rFonts w:ascii="Arial" w:cs="Arial" w:eastAsia="Arial" w:hAnsi="Arial"/>
          <w:sz w:val="22"/>
          <w:szCs w:val="22"/>
          <w:color w:val="auto"/>
        </w:rPr>
        <w:t>” has the meaning assigned to it in Section 4.01(b)(i)(B)(I)(4).</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Fees</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Pre-Feature Closing</w:t>
      </w:r>
      <w:r>
        <w:rPr>
          <w:rFonts w:ascii="Arial" w:cs="Arial" w:eastAsia="Arial" w:hAnsi="Arial"/>
          <w:sz w:val="22"/>
          <w:szCs w:val="22"/>
          <w:color w:val="auto"/>
        </w:rPr>
        <w:t>” has the meaning assigned to it in Section 4.05(a).</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Pre-Showtime Reduction</w:t>
      </w:r>
      <w:r>
        <w:rPr>
          <w:rFonts w:ascii="Arial" w:cs="Arial" w:eastAsia="Arial" w:hAnsi="Arial"/>
          <w:sz w:val="22"/>
          <w:szCs w:val="22"/>
          <w:color w:val="auto"/>
        </w:rPr>
        <w:t>” has the meaning assigned to it in Section 4.01(b)(i)(B)(I)(2).</w:t>
      </w:r>
    </w:p>
    <w:p>
      <w:pPr>
        <w:spacing w:after="0" w:line="220" w:lineRule="exact"/>
        <w:rPr>
          <w:sz w:val="20"/>
          <w:szCs w:val="20"/>
          <w:color w:val="auto"/>
        </w:rPr>
      </w:pPr>
    </w:p>
    <w:p>
      <w:pPr>
        <w:jc w:val="both"/>
        <w:ind w:left="411"/>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Pre-Showtime Trailer</w:t>
      </w:r>
      <w:r>
        <w:rPr>
          <w:rFonts w:ascii="Arial" w:cs="Arial" w:eastAsia="Arial" w:hAnsi="Arial"/>
          <w:sz w:val="22"/>
          <w:szCs w:val="22"/>
          <w:color w:val="auto"/>
        </w:rPr>
        <w:t>” is a Trailer up to two and a half (2.5) minutes in length to be displayed by LLC, at Regal’s option, on Regal’s behalf in the Pre-Feature Program beginning approximately six (6) minutes prior to Showtime and ending approximately three and a half (3.5) minutes prior to Showtime.</w:t>
      </w:r>
    </w:p>
    <w:p>
      <w:pPr>
        <w:spacing w:after="0" w:line="176"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Pro-Rated Platinum Revenue Minimum</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 Pod Fees</w:t>
      </w:r>
      <w:r>
        <w:rPr>
          <w:rFonts w:ascii="Arial" w:cs="Arial" w:eastAsia="Arial" w:hAnsi="Arial"/>
          <w:sz w:val="22"/>
          <w:szCs w:val="22"/>
          <w:color w:val="auto"/>
        </w:rPr>
        <w:t>” has the meaning assigned to it in Section 2.05(b)(i)(C).</w:t>
      </w:r>
    </w:p>
    <w:p>
      <w:pPr>
        <w:spacing w:after="0" w:line="220"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 Pod Inventory</w:t>
      </w:r>
      <w:r>
        <w:rPr>
          <w:rFonts w:ascii="Arial" w:cs="Arial" w:eastAsia="Arial" w:hAnsi="Arial"/>
          <w:sz w:val="22"/>
          <w:szCs w:val="22"/>
          <w:color w:val="auto"/>
        </w:rPr>
        <w:t>” means, collectively, the Platinum Spot [***].</w:t>
      </w:r>
    </w:p>
    <w:p>
      <w:pPr>
        <w:spacing w:after="0" w:line="220" w:lineRule="exact"/>
        <w:rPr>
          <w:sz w:val="20"/>
          <w:szCs w:val="20"/>
          <w:color w:val="auto"/>
        </w:rPr>
      </w:pPr>
    </w:p>
    <w:p>
      <w:pPr>
        <w:jc w:val="both"/>
        <w:ind w:left="41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 Position</w:t>
      </w:r>
      <w:r>
        <w:rPr>
          <w:rFonts w:ascii="Arial" w:cs="Arial" w:eastAsia="Arial" w:hAnsi="Arial"/>
          <w:sz w:val="22"/>
          <w:szCs w:val="22"/>
          <w:color w:val="auto"/>
        </w:rPr>
        <w:t>” means a specified Inventory slot directly preceding the applicable Trailer. For example, “Third Trailer Position” means a slot directly preceding the third Trailer prior to the feature film.</w:t>
      </w:r>
    </w:p>
    <w:p>
      <w:pPr>
        <w:spacing w:after="0" w:line="168"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411" w:hanging="411"/>
        <w:spacing w:after="0" w:line="263" w:lineRule="auto"/>
        <w:tabs>
          <w:tab w:leader="none" w:pos="411"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definition of “Aggregate Advertising Revenue” in Article 1 of the ESA is hereby deleted and replaced with the following:</w:t>
      </w:r>
    </w:p>
    <w:p>
      <w:pPr>
        <w:spacing w:after="0" w:line="209" w:lineRule="exact"/>
        <w:rPr>
          <w:rFonts w:ascii="Arial" w:cs="Arial" w:eastAsia="Arial" w:hAnsi="Arial"/>
          <w:sz w:val="22"/>
          <w:szCs w:val="22"/>
          <w:color w:val="auto"/>
        </w:rPr>
      </w:pPr>
    </w:p>
    <w:p>
      <w:pPr>
        <w:ind w:left="411"/>
        <w:spacing w:after="0" w:line="269"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Advertising Revenue</w:t>
      </w:r>
      <w:r>
        <w:rPr>
          <w:rFonts w:ascii="Arial" w:cs="Arial" w:eastAsia="Arial" w:hAnsi="Arial"/>
          <w:sz w:val="22"/>
          <w:szCs w:val="22"/>
          <w:color w:val="auto"/>
        </w:rPr>
        <w:t>” means, for the applicable measurement period, the total revenue, in the form of cash and non-cash consideration, payable to LLC for Advertising Services,</w:t>
      </w:r>
    </w:p>
    <w:p>
      <w:pPr>
        <w:spacing w:after="0" w:line="200" w:lineRule="exact"/>
        <w:rPr>
          <w:sz w:val="20"/>
          <w:szCs w:val="20"/>
          <w:color w:val="auto"/>
        </w:rPr>
      </w:pPr>
    </w:p>
    <w:p>
      <w:pPr>
        <w:spacing w:after="0" w:line="205"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91"/>
          </w:cols>
          <w:pgMar w:left="869" w:top="1057" w:right="239" w:bottom="1440" w:gutter="0" w:footer="0" w:header="0"/>
        </w:sectPr>
      </w:pPr>
    </w:p>
    <w:bookmarkStart w:id="19" w:name="page20"/>
    <w:bookmarkEnd w:id="19"/>
    <w:p>
      <w:pPr>
        <w:jc w:val="both"/>
        <w:ind w:left="1040"/>
        <w:spacing w:after="0" w:line="250" w:lineRule="auto"/>
        <w:rPr>
          <w:sz w:val="20"/>
          <w:szCs w:val="20"/>
          <w:color w:val="auto"/>
        </w:rPr>
      </w:pPr>
      <w:r>
        <w:rPr>
          <w:rFonts w:ascii="Arial" w:cs="Arial" w:eastAsia="Arial" w:hAnsi="Arial"/>
          <w:sz w:val="22"/>
          <w:szCs w:val="22"/>
          <w:color w:val="auto"/>
        </w:rPr>
        <w:t>excluding revenue payable to LLC related to (i) Event Sponsorships, (ii) Advertising Services provided to third parties that are not Founding Members, (iii) Advertising Services provided to Founding Members outside the provisions of this Agreement pursuant to a written agreement between LLC and such Founding Members, (iv) Post-Showtime Inventory, and (v) Trailer Pod Inventory.</w:t>
      </w:r>
    </w:p>
    <w:p>
      <w:pPr>
        <w:spacing w:after="0" w:line="188" w:lineRule="exact"/>
        <w:rPr>
          <w:sz w:val="20"/>
          <w:szCs w:val="20"/>
          <w:color w:val="auto"/>
        </w:rPr>
      </w:pPr>
    </w:p>
    <w:p>
      <w:pPr>
        <w:ind w:left="1040" w:hanging="384"/>
        <w:spacing w:after="0"/>
        <w:tabs>
          <w:tab w:leader="none" w:pos="1040" w:val="left"/>
        </w:tabs>
        <w:numPr>
          <w:ilvl w:val="2"/>
          <w:numId w:val="34"/>
        </w:numPr>
        <w:rPr>
          <w:rFonts w:ascii="Arial" w:cs="Arial" w:eastAsia="Arial" w:hAnsi="Arial"/>
          <w:sz w:val="19"/>
          <w:szCs w:val="19"/>
          <w:color w:val="auto"/>
        </w:rPr>
      </w:pPr>
      <w:r>
        <w:rPr>
          <w:rFonts w:ascii="Arial" w:cs="Arial" w:eastAsia="Arial" w:hAnsi="Arial"/>
          <w:sz w:val="19"/>
          <w:szCs w:val="19"/>
          <w:color w:val="auto"/>
        </w:rPr>
        <w:t>The definition of “Beverage Agreement” in Article 1 of the ESA is hereby deleted and replaced with the following:</w:t>
      </w:r>
    </w:p>
    <w:p>
      <w:pPr>
        <w:spacing w:after="0" w:line="288" w:lineRule="exact"/>
        <w:rPr>
          <w:rFonts w:ascii="Arial" w:cs="Arial" w:eastAsia="Arial" w:hAnsi="Arial"/>
          <w:sz w:val="19"/>
          <w:szCs w:val="19"/>
          <w:color w:val="auto"/>
        </w:rPr>
      </w:pPr>
    </w:p>
    <w:p>
      <w:pPr>
        <w:jc w:val="both"/>
        <w:ind w:left="1040"/>
        <w:spacing w:after="0" w:line="298" w:lineRule="auto"/>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Beverage Agreement</w:t>
      </w:r>
      <w:r>
        <w:rPr>
          <w:rFonts w:ascii="Arial" w:cs="Arial" w:eastAsia="Arial" w:hAnsi="Arial"/>
          <w:sz w:val="19"/>
          <w:szCs w:val="19"/>
          <w:color w:val="auto"/>
        </w:rPr>
        <w:t>” means the Marketing, Advertising and Brand Presence Agreement by and between Coca-Cola North America, a division of The Coca-Cola Company, and Regal, dated as of October 30, 2001 and all exhibits and amendments thereto which is in effect on the effective date of the Second Amendment to the Agreement, as such agreement may be amended from time to time, and any subsequent agreements entered into by Regal and its beverage concessionaires at the expiration or termination of the agreement referenced above.</w:t>
      </w:r>
    </w:p>
    <w:p>
      <w:pPr>
        <w:spacing w:after="0" w:line="148" w:lineRule="exact"/>
        <w:rPr>
          <w:rFonts w:ascii="Arial" w:cs="Arial" w:eastAsia="Arial" w:hAnsi="Arial"/>
          <w:sz w:val="19"/>
          <w:szCs w:val="19"/>
          <w:color w:val="auto"/>
        </w:rPr>
      </w:pPr>
    </w:p>
    <w:p>
      <w:pPr>
        <w:ind w:left="1040" w:hanging="411"/>
        <w:spacing w:after="0"/>
        <w:tabs>
          <w:tab w:leader="none" w:pos="104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definition of “Pre-Feature Program” in Article 1 of the ESA is hereby deleted and replaced with the following:</w:t>
      </w:r>
    </w:p>
    <w:p>
      <w:pPr>
        <w:spacing w:after="0" w:line="56" w:lineRule="exact"/>
        <w:rPr>
          <w:rFonts w:ascii="Arial" w:cs="Arial" w:eastAsia="Arial" w:hAnsi="Arial"/>
          <w:sz w:val="19"/>
          <w:szCs w:val="19"/>
          <w:color w:val="auto"/>
        </w:rPr>
      </w:pPr>
    </w:p>
    <w:p>
      <w:pPr>
        <w:jc w:val="both"/>
        <w:ind w:left="1040"/>
        <w:spacing w:after="0" w:line="257" w:lineRule="auto"/>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b w:val="1"/>
          <w:bCs w:val="1"/>
          <w:color w:val="auto"/>
        </w:rPr>
        <w:t>Pre-Feature Program</w:t>
      </w:r>
      <w:r>
        <w:rPr>
          <w:rFonts w:ascii="Arial" w:cs="Arial" w:eastAsia="Arial" w:hAnsi="Arial"/>
          <w:sz w:val="21"/>
          <w:szCs w:val="21"/>
          <w:color w:val="auto"/>
        </w:rPr>
        <w:t>” means a program of digital content of between twenty (20) and thirty (30) minutes in length that is distributed by LLC through the Digital Content Network for exhibition in Digitized Theatres prior to and/or after Showtime (as further described in Section 4.01(b)) of a feature film or other programming or event (other than a Digital Programming Event) or that is distributed non-digitally by some other means, including DVD, for exhibition prior to and/or after Showtime of a feature film or other programming or event (other than a Digital Programming Event) in Non-Digitized Theatres. For the avoidance of doubt, the definition of Pre-Feature Program shall not include any Digital Programming Event Pre-Feature Program.</w:t>
      </w:r>
    </w:p>
    <w:p>
      <w:pPr>
        <w:spacing w:after="0" w:line="184" w:lineRule="exact"/>
        <w:rPr>
          <w:rFonts w:ascii="Arial" w:cs="Arial" w:eastAsia="Arial" w:hAnsi="Arial"/>
          <w:sz w:val="19"/>
          <w:szCs w:val="19"/>
          <w:color w:val="auto"/>
        </w:rPr>
      </w:pPr>
    </w:p>
    <w:p>
      <w:pPr>
        <w:ind w:left="1040" w:hanging="411"/>
        <w:spacing w:after="0"/>
        <w:tabs>
          <w:tab w:leader="none" w:pos="104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definition of “Trailer” in Article 1 of the ESA is hereby deleted and replaced with the following:</w:t>
      </w:r>
    </w:p>
    <w:p>
      <w:pPr>
        <w:spacing w:after="0" w:line="21" w:lineRule="exact"/>
        <w:rPr>
          <w:rFonts w:ascii="Arial" w:cs="Arial" w:eastAsia="Arial" w:hAnsi="Arial"/>
          <w:sz w:val="22"/>
          <w:szCs w:val="22"/>
          <w:color w:val="auto"/>
        </w:rPr>
      </w:pPr>
    </w:p>
    <w:p>
      <w:pPr>
        <w:jc w:val="both"/>
        <w:ind w:left="1040" w:right="20"/>
        <w:spacing w:after="0" w:line="24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Trailer</w:t>
      </w:r>
      <w:r>
        <w:rPr>
          <w:rFonts w:ascii="Arial" w:cs="Arial" w:eastAsia="Arial" w:hAnsi="Arial"/>
          <w:sz w:val="22"/>
          <w:szCs w:val="22"/>
          <w:color w:val="auto"/>
        </w:rPr>
        <w:t>” means a promotion secured by Regal, directly or indirectly, for a feature film or other programming, other than a Digital Programming Event, that is exhibited in the Theatres either as the Pre-Showtime Trailer or after Showtime.</w:t>
      </w:r>
    </w:p>
    <w:p>
      <w:pPr>
        <w:spacing w:after="0" w:line="193" w:lineRule="exact"/>
        <w:rPr>
          <w:rFonts w:ascii="Arial" w:cs="Arial" w:eastAsia="Arial" w:hAnsi="Arial"/>
          <w:sz w:val="22"/>
          <w:szCs w:val="22"/>
          <w:color w:val="auto"/>
        </w:rPr>
      </w:pPr>
    </w:p>
    <w:p>
      <w:pPr>
        <w:ind w:firstLine="8"/>
        <w:spacing w:after="0" w:line="263" w:lineRule="auto"/>
        <w:tabs>
          <w:tab w:leader="none" w:pos="810" w:val="left"/>
        </w:tabs>
        <w:numPr>
          <w:ilvl w:val="0"/>
          <w:numId w:val="3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Theatre Access Fees. </w:t>
      </w:r>
      <w:r>
        <w:rPr>
          <w:rFonts w:ascii="Arial" w:cs="Arial" w:eastAsia="Arial" w:hAnsi="Arial"/>
          <w:sz w:val="22"/>
          <w:szCs w:val="22"/>
          <w:color w:val="auto"/>
        </w:rPr>
        <w:t>The heading of Section 2.05(b) and Sections 2.05(b)(i) - (ii) of the ESA are hereby deleted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replaced with the following:</w:t>
      </w:r>
    </w:p>
    <w:p>
      <w:pPr>
        <w:spacing w:after="0" w:line="215" w:lineRule="exact"/>
        <w:rPr>
          <w:sz w:val="20"/>
          <w:szCs w:val="20"/>
          <w:color w:val="auto"/>
        </w:rPr>
      </w:pPr>
    </w:p>
    <w:p>
      <w:pPr>
        <w:ind w:left="1140" w:hanging="484"/>
        <w:spacing w:after="0"/>
        <w:tabs>
          <w:tab w:leader="none" w:pos="1140" w:val="left"/>
        </w:tabs>
        <w:numPr>
          <w:ilvl w:val="0"/>
          <w:numId w:val="37"/>
        </w:numPr>
        <w:rPr>
          <w:rFonts w:ascii="Arial" w:cs="Arial" w:eastAsia="Arial" w:hAnsi="Arial"/>
          <w:sz w:val="22"/>
          <w:szCs w:val="22"/>
          <w:b w:val="1"/>
          <w:bCs w:val="1"/>
          <w:color w:val="auto"/>
        </w:rPr>
      </w:pPr>
      <w:r>
        <w:rPr>
          <w:rFonts w:ascii="Arial" w:cs="Arial" w:eastAsia="Arial" w:hAnsi="Arial"/>
          <w:sz w:val="22"/>
          <w:szCs w:val="22"/>
          <w:u w:val="single" w:color="auto"/>
          <w:color w:val="auto"/>
        </w:rPr>
        <w:t>Fees: Theatre Access Fees, Post-Showtime Theatre Access Fees and Trailer Pod Fees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720" w:hanging="415"/>
        <w:spacing w:after="0"/>
        <w:tabs>
          <w:tab w:leader="none" w:pos="172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Calculation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960" w:hanging="7"/>
        <w:spacing w:after="0" w:line="290" w:lineRule="auto"/>
        <w:tabs>
          <w:tab w:leader="none" w:pos="2584" w:val="left"/>
        </w:tabs>
        <w:numPr>
          <w:ilvl w:val="2"/>
          <w:numId w:val="37"/>
        </w:numPr>
        <w:rPr>
          <w:rFonts w:ascii="Arial" w:cs="Arial" w:eastAsia="Arial" w:hAnsi="Arial"/>
          <w:sz w:val="19"/>
          <w:szCs w:val="19"/>
          <w:color w:val="auto"/>
        </w:rPr>
      </w:pPr>
      <w:r>
        <w:rPr>
          <w:rFonts w:ascii="Arial" w:cs="Arial" w:eastAsia="Arial" w:hAnsi="Arial"/>
          <w:sz w:val="19"/>
          <w:szCs w:val="19"/>
          <w:u w:val="single" w:color="auto"/>
          <w:color w:val="auto"/>
        </w:rPr>
        <w:t>Theatre Access Fees</w:t>
      </w:r>
      <w:r>
        <w:rPr>
          <w:rFonts w:ascii="Arial" w:cs="Arial" w:eastAsia="Arial" w:hAnsi="Arial"/>
          <w:sz w:val="19"/>
          <w:szCs w:val="19"/>
          <w:color w:val="auto"/>
        </w:rPr>
        <w:t xml:space="preserve">. In consideration for utilization of the Theatres pre-Showtime pursuant to the terms hereof, LLC shall calculate and Regal shall be entitled to receive a Theatre Access Fee, as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which shall be paid based on Regal Attendance for the relevant fiscal month in which LLC provides the Advertising Services and number of Digital Screens during the fiscal month in which LLC provides the Advertising Services (calculated as the average between the number of Digital Screens on the last day of the fiscal month preceding the relevant fiscal month in which LLC provides the Advertising Services and the last day of the fiscal month in which LLC provides the Advertising Services), and which shall include the amount of 4.03 Revenue allocated to Regal for the same fiscal month.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20" w:name="page21"/>
    <w:bookmarkEnd w:id="20"/>
    <w:p>
      <w:pPr>
        <w:jc w:val="both"/>
        <w:ind w:left="1960" w:hanging="7"/>
        <w:spacing w:after="0" w:line="259" w:lineRule="auto"/>
        <w:tabs>
          <w:tab w:leader="none" w:pos="2559" w:val="left"/>
        </w:tabs>
        <w:numPr>
          <w:ilvl w:val="3"/>
          <w:numId w:val="38"/>
        </w:numPr>
        <w:rPr>
          <w:rFonts w:ascii="Arial" w:cs="Arial" w:eastAsia="Arial" w:hAnsi="Arial"/>
          <w:sz w:val="21"/>
          <w:szCs w:val="21"/>
          <w:color w:val="auto"/>
        </w:rPr>
      </w:pPr>
      <w:r>
        <w:rPr>
          <w:rFonts w:ascii="Arial" w:cs="Arial" w:eastAsia="Arial" w:hAnsi="Arial"/>
          <w:sz w:val="21"/>
          <w:szCs w:val="21"/>
          <w:u w:val="single" w:color="auto"/>
          <w:color w:val="auto"/>
        </w:rPr>
        <w:t>Post-Showtime Theatre Access Fees</w:t>
      </w:r>
      <w:r>
        <w:rPr>
          <w:rFonts w:ascii="Arial" w:cs="Arial" w:eastAsia="Arial" w:hAnsi="Arial"/>
          <w:sz w:val="21"/>
          <w:szCs w:val="21"/>
          <w:color w:val="auto"/>
        </w:rPr>
        <w:t xml:space="preserve">. In consideration for utilization of the Theatres post-Showtime pursuant to the terms hereof (other than for [***] Platinum Spots), LLC shall calculate and Regal shall be entitled to receive Post-Showtime Theatre Access Fees as set forth in </w:t>
      </w:r>
      <w:r>
        <w:rPr>
          <w:rFonts w:ascii="Arial" w:cs="Arial" w:eastAsia="Arial" w:hAnsi="Arial"/>
          <w:sz w:val="21"/>
          <w:szCs w:val="21"/>
          <w:u w:val="single" w:color="auto"/>
          <w:color w:val="auto"/>
        </w:rPr>
        <w:t>Schedule 1</w:t>
      </w:r>
      <w:r>
        <w:rPr>
          <w:rFonts w:ascii="Arial" w:cs="Arial" w:eastAsia="Arial" w:hAnsi="Arial"/>
          <w:sz w:val="21"/>
          <w:szCs w:val="21"/>
          <w:color w:val="auto"/>
        </w:rPr>
        <w:t>, which shall be paid based on Regal Attendance for the relevant fiscal month in which LLC provides the Post-Showtime Inventory, and which shall include the amount of Post-Showtime Content Revenue allocated to Regal for the same fiscal month. For the avoidance of doubt, the Parties agree that the Post-Showtime Theatre Access Fees for the relevant fiscal month are owed to Regal even if the amount of Aggregate Post-Showtime Revenue for the same fiscal month is zero dollars ($0).</w:t>
      </w:r>
    </w:p>
    <w:p>
      <w:pPr>
        <w:spacing w:after="0" w:line="184" w:lineRule="exact"/>
        <w:rPr>
          <w:rFonts w:ascii="Arial" w:cs="Arial" w:eastAsia="Arial" w:hAnsi="Arial"/>
          <w:sz w:val="21"/>
          <w:szCs w:val="21"/>
          <w:color w:val="auto"/>
        </w:rPr>
      </w:pPr>
    </w:p>
    <w:p>
      <w:pPr>
        <w:jc w:val="both"/>
        <w:ind w:left="1960" w:hanging="7"/>
        <w:spacing w:after="0" w:line="265" w:lineRule="auto"/>
        <w:tabs>
          <w:tab w:leader="none" w:pos="2505" w:val="left"/>
        </w:tabs>
        <w:numPr>
          <w:ilvl w:val="3"/>
          <w:numId w:val="38"/>
        </w:numPr>
        <w:rPr>
          <w:rFonts w:ascii="Arial" w:cs="Arial" w:eastAsia="Arial" w:hAnsi="Arial"/>
          <w:sz w:val="21"/>
          <w:szCs w:val="21"/>
          <w:color w:val="auto"/>
        </w:rPr>
      </w:pPr>
      <w:r>
        <w:rPr>
          <w:rFonts w:ascii="Arial" w:cs="Arial" w:eastAsia="Arial" w:hAnsi="Arial"/>
          <w:sz w:val="21"/>
          <w:szCs w:val="21"/>
          <w:u w:val="single" w:color="auto"/>
          <w:color w:val="auto"/>
        </w:rPr>
        <w:t>Trailer Pod Fee</w:t>
      </w:r>
      <w:r>
        <w:rPr>
          <w:rFonts w:ascii="Arial" w:cs="Arial" w:eastAsia="Arial" w:hAnsi="Arial"/>
          <w:sz w:val="21"/>
          <w:szCs w:val="21"/>
          <w:color w:val="auto"/>
        </w:rPr>
        <w:t xml:space="preserve">. In consideration for the utilization of the Theatres post-Showtime for [***] Platinum Spots pursuant to the terms hereof, LLC shall calculate and Regal shall be entitled to receive twenty-five (25%) of all revenue generated by LLC from the actual display of [***] Platinum Spots in the Theatres (as more particularly calculated in </w:t>
      </w:r>
      <w:r>
        <w:rPr>
          <w:rFonts w:ascii="Arial" w:cs="Arial" w:eastAsia="Arial" w:hAnsi="Arial"/>
          <w:sz w:val="21"/>
          <w:szCs w:val="21"/>
          <w:u w:val="single" w:color="auto"/>
          <w:color w:val="auto"/>
        </w:rPr>
        <w:t>Schedule 1</w:t>
      </w:r>
      <w:r>
        <w:rPr>
          <w:rFonts w:ascii="Arial" w:cs="Arial" w:eastAsia="Arial" w:hAnsi="Arial"/>
          <w:sz w:val="21"/>
          <w:szCs w:val="21"/>
          <w:color w:val="auto"/>
        </w:rPr>
        <w:t>, the “</w:t>
      </w:r>
      <w:r>
        <w:rPr>
          <w:rFonts w:ascii="Arial" w:cs="Arial" w:eastAsia="Arial" w:hAnsi="Arial"/>
          <w:sz w:val="21"/>
          <w:szCs w:val="21"/>
          <w:b w:val="1"/>
          <w:bCs w:val="1"/>
          <w:color w:val="auto"/>
        </w:rPr>
        <w:t>Trailer Pod Fees</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1300" w:firstLine="5"/>
        <w:spacing w:after="0" w:line="257" w:lineRule="auto"/>
        <w:tabs>
          <w:tab w:leader="none" w:pos="1780" w:val="left"/>
        </w:tabs>
        <w:numPr>
          <w:ilvl w:val="2"/>
          <w:numId w:val="39"/>
        </w:numPr>
        <w:rPr>
          <w:rFonts w:ascii="Arial" w:cs="Arial" w:eastAsia="Arial" w:hAnsi="Arial"/>
          <w:sz w:val="21"/>
          <w:szCs w:val="2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LLC shall pay Regal its Theatre Access Fees, Post-Showtime Theatre Access Fees, [***], and Trailer Pod Fees, as applicable, on or before the last day of LLC’s fiscal month following the fiscal month in which the applicable Advertising Services are provided by LLC; provided that Regal has, by the fourteenth (14th) day of LLC’s fiscal month following the fiscal month in which Advertising Services are provided by LLC, given LLC the data regarding attendance and number of Digital Screens necessary for LLC to calculate the Theatre Access Fees, the Post-Showtime Theatre Access Fees, [***], and the Trailer Pod Fees. If Regal has not, by the fourteenth (14th) day of LLC’s fiscal month following the fiscal month in which Advertising Services are provided by LLC, given LLC the data regarding attendance and number of Digital Screens necessary for LLC to calculate the Theatre Access Fee, Post-Showtime Theatre Access Fee, [***], or Trailer Pod Fee, the due date of the payment for the relevant fee for which data has not been provided shall be extended by one day for each day that Regal is late in providing such data. LLC shall provide Regal with a detailed report of the calculation of the Theatre Access Fees, Post-Showtime Theatre Access Fees, [***], and Trailer Pod Fees, pursuant to </w:t>
      </w:r>
      <w:r>
        <w:rPr>
          <w:rFonts w:ascii="Arial" w:cs="Arial" w:eastAsia="Arial" w:hAnsi="Arial"/>
          <w:sz w:val="21"/>
          <w:szCs w:val="21"/>
          <w:u w:val="single" w:color="auto"/>
          <w:color w:val="auto"/>
        </w:rPr>
        <w:t>Schedule 1</w:t>
      </w:r>
      <w:r>
        <w:rPr>
          <w:rFonts w:ascii="Arial" w:cs="Arial" w:eastAsia="Arial" w:hAnsi="Arial"/>
          <w:sz w:val="21"/>
          <w:szCs w:val="21"/>
          <w:color w:val="auto"/>
        </w:rPr>
        <w:t>, which report shall accompany each such payment.</w:t>
      </w:r>
    </w:p>
    <w:p>
      <w:pPr>
        <w:spacing w:after="0" w:line="184" w:lineRule="exact"/>
        <w:rPr>
          <w:rFonts w:ascii="Arial" w:cs="Arial" w:eastAsia="Arial" w:hAnsi="Arial"/>
          <w:sz w:val="21"/>
          <w:szCs w:val="21"/>
          <w:color w:val="auto"/>
        </w:rPr>
      </w:pPr>
    </w:p>
    <w:p>
      <w:pPr>
        <w:ind w:right="20" w:firstLine="8"/>
        <w:spacing w:after="0" w:line="269" w:lineRule="auto"/>
        <w:tabs>
          <w:tab w:leader="none" w:pos="810" w:val="left"/>
        </w:tabs>
        <w:numPr>
          <w:ilvl w:val="0"/>
          <w:numId w:val="40"/>
        </w:numPr>
        <w:rPr>
          <w:rFonts w:ascii="Arial" w:cs="Arial" w:eastAsia="Arial" w:hAnsi="Arial"/>
          <w:sz w:val="22"/>
          <w:szCs w:val="22"/>
          <w:color w:val="auto"/>
        </w:rPr>
      </w:pPr>
      <w:r>
        <w:rPr>
          <w:rFonts w:ascii="Arial" w:cs="Arial" w:eastAsia="Arial" w:hAnsi="Arial"/>
          <w:sz w:val="22"/>
          <w:szCs w:val="22"/>
          <w:b w:val="1"/>
          <w:bCs w:val="1"/>
          <w:i w:val="1"/>
          <w:iCs w:val="1"/>
          <w:color w:val="auto"/>
        </w:rPr>
        <w:t>Non-Cash Consideration</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reference to “Aggregate Advertising Revenue” in Section 2.06 is hereby deleted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replaced with the following: “Aggregate Advertising Revenue and Aggregate Post-Showtime Revenue”.</w:t>
      </w:r>
    </w:p>
    <w:p>
      <w:pPr>
        <w:spacing w:after="0" w:line="208" w:lineRule="exact"/>
        <w:rPr>
          <w:rFonts w:ascii="Arial" w:cs="Arial" w:eastAsia="Arial" w:hAnsi="Arial"/>
          <w:sz w:val="22"/>
          <w:szCs w:val="22"/>
          <w:color w:val="auto"/>
        </w:rPr>
      </w:pPr>
    </w:p>
    <w:p>
      <w:pPr>
        <w:ind w:left="820" w:hanging="812"/>
        <w:spacing w:after="0"/>
        <w:tabs>
          <w:tab w:leader="none" w:pos="820" w:val="left"/>
        </w:tabs>
        <w:numPr>
          <w:ilvl w:val="0"/>
          <w:numId w:val="4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Pre-Feature Programs. </w:t>
      </w:r>
      <w:r>
        <w:rPr>
          <w:rFonts w:ascii="Arial" w:cs="Arial" w:eastAsia="Arial" w:hAnsi="Arial"/>
          <w:sz w:val="22"/>
          <w:szCs w:val="22"/>
          <w:color w:val="auto"/>
        </w:rPr>
        <w:t>Section 4.01(b)(i) of the ESA is hereby deleted and replaced with the following:</w:t>
      </w:r>
    </w:p>
    <w:p>
      <w:pPr>
        <w:spacing w:after="0" w:line="21" w:lineRule="exact"/>
        <w:rPr>
          <w:rFonts w:ascii="Arial" w:cs="Arial" w:eastAsia="Arial" w:hAnsi="Arial"/>
          <w:sz w:val="22"/>
          <w:szCs w:val="22"/>
          <w:color w:val="auto"/>
        </w:rPr>
      </w:pPr>
    </w:p>
    <w:p>
      <w:pPr>
        <w:ind w:left="1080" w:hanging="424"/>
        <w:spacing w:after="0"/>
        <w:tabs>
          <w:tab w:leader="none" w:pos="108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Pre-Feature Program</w:t>
      </w:r>
      <w:r>
        <w:rPr>
          <w:rFonts w:ascii="Arial" w:cs="Arial" w:eastAsia="Arial" w:hAnsi="Arial"/>
          <w:sz w:val="22"/>
          <w:szCs w:val="22"/>
          <w:color w:val="auto"/>
        </w:rPr>
        <w:t>.</w:t>
      </w:r>
    </w:p>
    <w:p>
      <w:pPr>
        <w:spacing w:after="0" w:line="202" w:lineRule="exact"/>
        <w:rPr>
          <w:sz w:val="20"/>
          <w:szCs w:val="20"/>
          <w:color w:val="auto"/>
        </w:rPr>
      </w:pPr>
    </w:p>
    <w:p>
      <w:pPr>
        <w:jc w:val="both"/>
        <w:ind w:left="1300" w:firstLine="5"/>
        <w:spacing w:after="0" w:line="260" w:lineRule="auto"/>
        <w:tabs>
          <w:tab w:leader="none" w:pos="187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The Pre-Feature Program shall consist of the following elements: (I) commercial advertising; (II) promotions for the Regal brand (including the Brand and Branded Slots), Concessions sold and services used by Regal and other products and services in accordance with Section 4.05; (III) interstitial content, including the Pre-Feature Closing; (IV) subject to Section 4.01(b)(i)(B)(I)(1), the Pre-Showtime Trailer; and (V) other entertainment programming content which, while promotional of businesses or products, shall be primarily entertaining, educational or informational in nature, rather than commercially inspired. Additionally, only to the extent required by the terms of the Alternative Content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21" w:name="page22"/>
    <w:bookmarkEnd w:id="21"/>
    <w:p>
      <w:pPr>
        <w:ind w:left="100" w:right="20"/>
        <w:spacing w:after="0" w:line="263" w:lineRule="auto"/>
        <w:rPr>
          <w:sz w:val="20"/>
          <w:szCs w:val="20"/>
          <w:color w:val="auto"/>
        </w:rPr>
      </w:pPr>
      <w:r>
        <w:rPr>
          <w:rFonts w:ascii="Arial" w:cs="Arial" w:eastAsia="Arial" w:hAnsi="Arial"/>
          <w:sz w:val="22"/>
          <w:szCs w:val="22"/>
          <w:color w:val="auto"/>
        </w:rPr>
        <w:t>Services Agreement and subject to the limitations set forth therein, Event Sponsorships and promotions for Digital Programming Events may be included in the Pre-Feature Program.</w:t>
      </w:r>
    </w:p>
    <w:p>
      <w:pPr>
        <w:spacing w:after="0" w:line="175" w:lineRule="exact"/>
        <w:rPr>
          <w:sz w:val="20"/>
          <w:szCs w:val="20"/>
          <w:color w:val="auto"/>
        </w:rPr>
      </w:pPr>
    </w:p>
    <w:p>
      <w:pPr>
        <w:ind w:left="600" w:hanging="495"/>
        <w:spacing w:after="0"/>
        <w:tabs>
          <w:tab w:leader="none" w:pos="60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Pre-Showtime and Post-Showtime Allocations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80" w:hanging="427"/>
        <w:spacing w:after="0"/>
        <w:tabs>
          <w:tab w:leader="none" w:pos="11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Beginning on November 1, 2019:</w:t>
      </w:r>
    </w:p>
    <w:p>
      <w:pPr>
        <w:spacing w:after="0" w:line="219" w:lineRule="exact"/>
        <w:rPr>
          <w:rFonts w:ascii="Arial" w:cs="Arial" w:eastAsia="Arial" w:hAnsi="Arial"/>
          <w:sz w:val="22"/>
          <w:szCs w:val="22"/>
          <w:color w:val="auto"/>
        </w:rPr>
      </w:pPr>
    </w:p>
    <w:p>
      <w:pPr>
        <w:jc w:val="both"/>
        <w:ind w:left="1880" w:hanging="479"/>
        <w:spacing w:after="0" w:line="253" w:lineRule="auto"/>
        <w:tabs>
          <w:tab w:leader="none" w:pos="18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Regal will have the option to display a Pre-Showtime Trailer. Pre-Showtime Trailer display requests will be in accordance with the then-current LLC national advertising delivery guidelines and specifications.</w:t>
      </w:r>
    </w:p>
    <w:p>
      <w:pPr>
        <w:spacing w:after="0" w:line="226" w:lineRule="exact"/>
        <w:rPr>
          <w:rFonts w:ascii="Arial" w:cs="Arial" w:eastAsia="Arial" w:hAnsi="Arial"/>
          <w:sz w:val="22"/>
          <w:szCs w:val="22"/>
          <w:color w:val="auto"/>
        </w:rPr>
      </w:pPr>
    </w:p>
    <w:p>
      <w:pPr>
        <w:jc w:val="both"/>
        <w:ind w:left="1880" w:hanging="479"/>
        <w:spacing w:after="0" w:line="261" w:lineRule="auto"/>
        <w:tabs>
          <w:tab w:leader="none" w:pos="1880" w:val="left"/>
        </w:tabs>
        <w:numPr>
          <w:ilvl w:val="2"/>
          <w:numId w:val="42"/>
        </w:numPr>
        <w:rPr>
          <w:rFonts w:ascii="Arial" w:cs="Arial" w:eastAsia="Arial" w:hAnsi="Arial"/>
          <w:sz w:val="21"/>
          <w:szCs w:val="21"/>
          <w:color w:val="auto"/>
        </w:rPr>
      </w:pPr>
      <w:r>
        <w:rPr>
          <w:rFonts w:ascii="Arial" w:cs="Arial" w:eastAsia="Arial" w:hAnsi="Arial"/>
          <w:sz w:val="21"/>
          <w:szCs w:val="21"/>
          <w:color w:val="auto"/>
        </w:rPr>
        <w:t>The amount of time included in the Pre-Feature Program displayed prior to Showtime for any Play List shall be reduced by five (5) minutes (not including the Pre-Showtime Trailer) plus the lengths of any Platinum Spot [***] displayed after such Showtime in that Play List (the “</w:t>
      </w:r>
      <w:r>
        <w:rPr>
          <w:rFonts w:ascii="Arial" w:cs="Arial" w:eastAsia="Arial" w:hAnsi="Arial"/>
          <w:sz w:val="21"/>
          <w:szCs w:val="21"/>
          <w:b w:val="1"/>
          <w:bCs w:val="1"/>
          <w:color w:val="auto"/>
        </w:rPr>
        <w:t>Pre-Showtime Reduction</w:t>
      </w:r>
      <w:r>
        <w:rPr>
          <w:rFonts w:ascii="Arial" w:cs="Arial" w:eastAsia="Arial" w:hAnsi="Arial"/>
          <w:sz w:val="21"/>
          <w:szCs w:val="21"/>
          <w:color w:val="auto"/>
        </w:rPr>
        <w:t>”). For the purposes of clarity, in the event that there is no Trailer Pod</w:t>
      </w:r>
      <w:r>
        <w:rPr>
          <w:rFonts w:ascii="Arial" w:cs="Arial" w:eastAsia="Arial" w:hAnsi="Arial"/>
          <w:sz w:val="21"/>
          <w:szCs w:val="21"/>
          <w:b w:val="1"/>
          <w:bCs w:val="1"/>
          <w:color w:val="auto"/>
        </w:rPr>
        <w:t xml:space="preserve"> </w:t>
      </w:r>
      <w:r>
        <w:rPr>
          <w:rFonts w:ascii="Arial" w:cs="Arial" w:eastAsia="Arial" w:hAnsi="Arial"/>
          <w:sz w:val="21"/>
          <w:szCs w:val="21"/>
          <w:color w:val="auto"/>
        </w:rPr>
        <w:t>Inventory displayed in the applicable Play List, the Pre-Showtime Reduction for that Play List will be five (5) minutes (not including the Pre-Showtime Trailer).</w:t>
      </w:r>
    </w:p>
    <w:p>
      <w:pPr>
        <w:spacing w:after="0" w:line="220" w:lineRule="exact"/>
        <w:rPr>
          <w:rFonts w:ascii="Arial" w:cs="Arial" w:eastAsia="Arial" w:hAnsi="Arial"/>
          <w:sz w:val="21"/>
          <w:szCs w:val="21"/>
          <w:color w:val="auto"/>
        </w:rPr>
      </w:pPr>
    </w:p>
    <w:p>
      <w:pPr>
        <w:ind w:left="1880" w:hanging="479"/>
        <w:spacing w:after="0"/>
        <w:tabs>
          <w:tab w:leader="none" w:pos="18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The Event Trailer (commonly known as the “Fathom trailer”) will display at Showtime.</w:t>
      </w:r>
    </w:p>
    <w:p>
      <w:pPr>
        <w:spacing w:after="0" w:line="260" w:lineRule="exact"/>
        <w:rPr>
          <w:rFonts w:ascii="Arial" w:cs="Arial" w:eastAsia="Arial" w:hAnsi="Arial"/>
          <w:sz w:val="22"/>
          <w:szCs w:val="22"/>
          <w:color w:val="auto"/>
        </w:rPr>
      </w:pPr>
    </w:p>
    <w:p>
      <w:pPr>
        <w:jc w:val="both"/>
        <w:ind w:left="1880" w:hanging="479"/>
        <w:spacing w:after="0" w:line="250" w:lineRule="auto"/>
        <w:tabs>
          <w:tab w:leader="none" w:pos="18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LLC will be entitled to display up to five (5) minutes of the Pre-Feature Program post-Showtime (“</w:t>
      </w:r>
      <w:r>
        <w:rPr>
          <w:rFonts w:ascii="Arial" w:cs="Arial" w:eastAsia="Arial" w:hAnsi="Arial"/>
          <w:sz w:val="22"/>
          <w:szCs w:val="22"/>
          <w:b w:val="1"/>
          <w:bCs w:val="1"/>
          <w:color w:val="auto"/>
        </w:rPr>
        <w:t>Post-Showtime Inventory</w:t>
      </w:r>
      <w:r>
        <w:rPr>
          <w:rFonts w:ascii="Arial" w:cs="Arial" w:eastAsia="Arial" w:hAnsi="Arial"/>
          <w:sz w:val="22"/>
          <w:szCs w:val="22"/>
          <w:color w:val="auto"/>
        </w:rPr>
        <w:t>”), to be displayed between the Event Trailer and the Pre-Feature Closing and followed by the Pre-Feature Closing, a Beverage Slot, the Co-Branded Slot, and the Policy Trailer.</w:t>
      </w:r>
    </w:p>
    <w:p>
      <w:pPr>
        <w:spacing w:after="0" w:line="228" w:lineRule="exact"/>
        <w:rPr>
          <w:rFonts w:ascii="Arial" w:cs="Arial" w:eastAsia="Arial" w:hAnsi="Arial"/>
          <w:sz w:val="22"/>
          <w:szCs w:val="22"/>
          <w:color w:val="auto"/>
        </w:rPr>
      </w:pPr>
    </w:p>
    <w:p>
      <w:pPr>
        <w:jc w:val="both"/>
        <w:ind w:left="1880" w:hanging="479"/>
        <w:spacing w:after="0" w:line="250" w:lineRule="auto"/>
        <w:tabs>
          <w:tab w:leader="none" w:pos="18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 xml:space="preserve">LLC will be entitled to display an additional single unit that is either thirty seconds (:30) or sixty seconds (:60) of the Pre-Feature Program in the Final Trailer Position, </w:t>
      </w:r>
      <w:r>
        <w:rPr>
          <w:rFonts w:ascii="Arial" w:cs="Arial" w:eastAsia="Arial" w:hAnsi="Arial"/>
          <w:sz w:val="22"/>
          <w:szCs w:val="22"/>
          <w:i w:val="1"/>
          <w:iCs w:val="1"/>
          <w:color w:val="auto"/>
        </w:rPr>
        <w:t>i.e.</w:t>
      </w:r>
      <w:r>
        <w:rPr>
          <w:rFonts w:ascii="Arial" w:cs="Arial" w:eastAsia="Arial" w:hAnsi="Arial"/>
          <w:sz w:val="22"/>
          <w:szCs w:val="22"/>
          <w:color w:val="auto"/>
        </w:rPr>
        <w:t xml:space="preserve"> directly prior to the attached Trailer(s) (the one to two (1-2) Trailer(s) immediately) preceding the feature film (the “</w:t>
      </w:r>
      <w:r>
        <w:rPr>
          <w:rFonts w:ascii="Arial" w:cs="Arial" w:eastAsia="Arial" w:hAnsi="Arial"/>
          <w:sz w:val="22"/>
          <w:szCs w:val="22"/>
          <w:b w:val="1"/>
          <w:bCs w:val="1"/>
          <w:color w:val="auto"/>
        </w:rPr>
        <w:t>Platinum Spot</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ind w:left="1880" w:hanging="479"/>
        <w:spacing w:after="0" w:line="263" w:lineRule="auto"/>
        <w:tabs>
          <w:tab w:leader="none" w:pos="18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The Platinum Spot shall only be used for advertising across LLC’s national network and shall not be used for local advertising or self-promotion of LLC or its brands.</w:t>
      </w:r>
    </w:p>
    <w:p>
      <w:pPr>
        <w:spacing w:after="0" w:line="215" w:lineRule="exact"/>
        <w:rPr>
          <w:rFonts w:ascii="Arial" w:cs="Arial" w:eastAsia="Arial" w:hAnsi="Arial"/>
          <w:sz w:val="22"/>
          <w:szCs w:val="22"/>
          <w:color w:val="auto"/>
        </w:rPr>
      </w:pPr>
    </w:p>
    <w:p>
      <w:pPr>
        <w:ind w:left="1880" w:hanging="479"/>
        <w:spacing w:after="0"/>
        <w:tabs>
          <w:tab w:leader="none" w:pos="18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880" w:hanging="479"/>
        <w:spacing w:after="0" w:line="251" w:lineRule="auto"/>
        <w:tabs>
          <w:tab w:leader="none" w:pos="1880" w:val="left"/>
        </w:tabs>
        <w:numPr>
          <w:ilvl w:val="2"/>
          <w:numId w:val="42"/>
        </w:numPr>
        <w:rPr>
          <w:rFonts w:ascii="Arial" w:cs="Arial" w:eastAsia="Arial" w:hAnsi="Arial"/>
          <w:sz w:val="22"/>
          <w:szCs w:val="22"/>
          <w:color w:val="auto"/>
        </w:rPr>
      </w:pPr>
      <w:r>
        <w:rPr>
          <w:rFonts w:ascii="Arial" w:cs="Arial" w:eastAsia="Arial" w:hAnsi="Arial"/>
          <w:sz w:val="22"/>
          <w:szCs w:val="22"/>
          <w:color w:val="auto"/>
        </w:rPr>
        <w:t>(i) If LLC does not sell the Platinum Spot in any given Play List, there will be no Trailer Pod Fee [***] for the applicable Play List.</w:t>
      </w:r>
    </w:p>
    <w:p>
      <w:pPr>
        <w:spacing w:after="0" w:line="2" w:lineRule="exact"/>
        <w:rPr>
          <w:rFonts w:ascii="Arial" w:cs="Arial" w:eastAsia="Arial" w:hAnsi="Arial"/>
          <w:sz w:val="22"/>
          <w:szCs w:val="22"/>
          <w:color w:val="auto"/>
        </w:rPr>
      </w:pPr>
    </w:p>
    <w:p>
      <w:pPr>
        <w:jc w:val="both"/>
        <w:ind w:left="1880" w:firstLine="7"/>
        <w:spacing w:after="0" w:line="258" w:lineRule="auto"/>
        <w:tabs>
          <w:tab w:leader="none" w:pos="2223" w:val="left"/>
        </w:tabs>
        <w:numPr>
          <w:ilvl w:val="3"/>
          <w:numId w:val="42"/>
        </w:numPr>
        <w:rPr>
          <w:rFonts w:ascii="Arial" w:cs="Arial" w:eastAsia="Arial" w:hAnsi="Arial"/>
          <w:sz w:val="21"/>
          <w:szCs w:val="21"/>
          <w:color w:val="auto"/>
        </w:rPr>
      </w:pPr>
      <w:r>
        <w:rPr>
          <w:rFonts w:ascii="Arial" w:cs="Arial" w:eastAsia="Arial" w:hAnsi="Arial"/>
          <w:sz w:val="21"/>
          <w:szCs w:val="21"/>
          <w:color w:val="auto"/>
        </w:rPr>
        <w:t>If NCM sells a Platinum Spot (whether a sixty second (:60) spot or a thirty second (:30) spot) in all Exhibitor theatres (i.e. all of LLC’s network of Exhibitors) across all Play Lists, then the Aggregate Trailer Pod Revenue specific to the Platinum Spot displayed in all Exhibitor theatres is expected (on an annualized basis, using a Platinum Contract Year) to be [***] dollars ($[***]) (the “</w:t>
      </w:r>
      <w:r>
        <w:rPr>
          <w:rFonts w:ascii="Arial" w:cs="Arial" w:eastAsia="Arial" w:hAnsi="Arial"/>
          <w:sz w:val="21"/>
          <w:szCs w:val="21"/>
          <w:b w:val="1"/>
          <w:bCs w:val="1"/>
          <w:color w:val="auto"/>
        </w:rPr>
        <w:t>Platinum Revenue Minimum</w:t>
      </w:r>
      <w:r>
        <w:rPr>
          <w:rFonts w:ascii="Arial" w:cs="Arial" w:eastAsia="Arial" w:hAnsi="Arial"/>
          <w:sz w:val="21"/>
          <w:szCs w:val="21"/>
          <w:color w:val="auto"/>
        </w:rPr>
        <w:t>”)</w:t>
      </w: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591" w:right="239" w:bottom="1440" w:gutter="0" w:footer="0" w:header="0"/>
        </w:sectPr>
      </w:pPr>
    </w:p>
    <w:bookmarkStart w:id="22" w:name="page23"/>
    <w:bookmarkEnd w:id="22"/>
    <w:p>
      <w:pPr>
        <w:jc w:val="both"/>
        <w:ind w:left="1880"/>
        <w:spacing w:after="0" w:line="260" w:lineRule="auto"/>
        <w:rPr>
          <w:sz w:val="20"/>
          <w:szCs w:val="20"/>
          <w:color w:val="auto"/>
        </w:rPr>
      </w:pPr>
      <w:r>
        <w:rPr>
          <w:rFonts w:ascii="Arial" w:cs="Arial" w:eastAsia="Arial" w:hAnsi="Arial"/>
          <w:sz w:val="21"/>
          <w:szCs w:val="21"/>
          <w:color w:val="auto"/>
        </w:rPr>
        <w:t xml:space="preserve">and, as applied to Regal, shall be pro-rated based on the annual Regal Attendance (as defined in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as a percentage of all aggregate Exhibitor attendance for such period. Notwithstanding the foregoing, in the event that the Platinum Spot (whether a sixty second (:60) spot or a thirty second (:30) spot) is sold in less than all Exhibitor theatres (i.e. all of LLC’s network of Exhibitors) or less than across all Play Lists, then the amount of the Platinum Revenue Minimum in respect to such Platinum Spot, as applied to Regal, shall be the Regal Pro-Rated Platinum Revenue Minimum (as defined in </w:t>
      </w:r>
      <w:r>
        <w:rPr>
          <w:rFonts w:ascii="Arial" w:cs="Arial" w:eastAsia="Arial" w:hAnsi="Arial"/>
          <w:sz w:val="21"/>
          <w:szCs w:val="21"/>
          <w:u w:val="single" w:color="auto"/>
          <w:color w:val="auto"/>
        </w:rPr>
        <w:t>Schedule 1</w:t>
      </w:r>
      <w:r>
        <w:rPr>
          <w:rFonts w:ascii="Arial" w:cs="Arial" w:eastAsia="Arial" w:hAnsi="Arial"/>
          <w:sz w:val="21"/>
          <w:szCs w:val="21"/>
          <w:color w:val="auto"/>
        </w:rPr>
        <w:t>).</w:t>
      </w:r>
    </w:p>
    <w:p>
      <w:pPr>
        <w:spacing w:after="0" w:line="181" w:lineRule="exact"/>
        <w:rPr>
          <w:sz w:val="20"/>
          <w:szCs w:val="20"/>
          <w:color w:val="auto"/>
        </w:rPr>
      </w:pPr>
    </w:p>
    <w:p>
      <w:pPr>
        <w:jc w:val="both"/>
        <w:ind w:left="1880" w:hanging="479"/>
        <w:spacing w:after="0" w:line="253" w:lineRule="auto"/>
        <w:tabs>
          <w:tab w:leader="none" w:pos="18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Subject to Sections 4.01(b)(i)(B)(I)(10) and (11), if LLC is selling a Platinum Spot, LLC shall always offer Regal the ability to display such Platinum Spot in 100% of auditoriums in all Theatres.</w:t>
      </w:r>
    </w:p>
    <w:p>
      <w:pPr>
        <w:spacing w:after="0" w:line="226" w:lineRule="exact"/>
        <w:rPr>
          <w:rFonts w:ascii="Arial" w:cs="Arial" w:eastAsia="Arial" w:hAnsi="Arial"/>
          <w:sz w:val="22"/>
          <w:szCs w:val="22"/>
          <w:color w:val="auto"/>
        </w:rPr>
      </w:pPr>
    </w:p>
    <w:p>
      <w:pPr>
        <w:jc w:val="both"/>
        <w:ind w:left="1880" w:hanging="479"/>
        <w:spacing w:after="0" w:line="250" w:lineRule="auto"/>
        <w:tabs>
          <w:tab w:leader="none" w:pos="18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In the event that a particular advertiser [***] opts out of displaying its Platinum Spot in front of [***], then LLC shall be entitled to sell the Platinum Spot to such advertiser and shall offer Regal the ability to display such Platinum Spot in 100% of auditoriums in all Theatres excluding auditoriums showing [***].</w:t>
      </w:r>
    </w:p>
    <w:p>
      <w:pPr>
        <w:spacing w:after="0" w:line="228" w:lineRule="exact"/>
        <w:rPr>
          <w:rFonts w:ascii="Arial" w:cs="Arial" w:eastAsia="Arial" w:hAnsi="Arial"/>
          <w:sz w:val="22"/>
          <w:szCs w:val="22"/>
          <w:color w:val="auto"/>
        </w:rPr>
      </w:pPr>
    </w:p>
    <w:p>
      <w:pPr>
        <w:jc w:val="both"/>
        <w:ind w:left="1880" w:hanging="479"/>
        <w:spacing w:after="0" w:line="248" w:lineRule="auto"/>
        <w:tabs>
          <w:tab w:leader="none" w:pos="18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 xml:space="preserve">LLC may elect to display up to [***] advertisers’ Platinum Spots concurrently by way of a Network Split (as defined in </w:t>
      </w:r>
      <w:r>
        <w:rPr>
          <w:rFonts w:ascii="Arial" w:cs="Arial" w:eastAsia="Arial" w:hAnsi="Arial"/>
          <w:sz w:val="22"/>
          <w:szCs w:val="22"/>
          <w:u w:val="single" w:color="auto"/>
          <w:color w:val="auto"/>
        </w:rPr>
        <w:t>Schedule 1</w:t>
      </w:r>
      <w:r>
        <w:rPr>
          <w:rFonts w:ascii="Arial" w:cs="Arial" w:eastAsia="Arial" w:hAnsi="Arial"/>
          <w:sz w:val="22"/>
          <w:szCs w:val="22"/>
          <w:color w:val="auto"/>
        </w:rPr>
        <w:t>). In the event that LLC is displaying [***] advertisers’ Platinum Spots by way of a Network Split, then LLC shall procure that the average cost per mille for each set of concurrent Platinum Spots will be equal to or greater than an average cost per mille of [***] dollars ($[***]).</w:t>
      </w:r>
    </w:p>
    <w:p>
      <w:pPr>
        <w:spacing w:after="0" w:line="232" w:lineRule="exact"/>
        <w:rPr>
          <w:rFonts w:ascii="Arial" w:cs="Arial" w:eastAsia="Arial" w:hAnsi="Arial"/>
          <w:sz w:val="22"/>
          <w:szCs w:val="22"/>
          <w:color w:val="auto"/>
        </w:rPr>
      </w:pPr>
    </w:p>
    <w:p>
      <w:pPr>
        <w:jc w:val="both"/>
        <w:ind w:left="1880" w:hanging="479"/>
        <w:spacing w:after="0" w:line="297" w:lineRule="auto"/>
        <w:tabs>
          <w:tab w:leader="none" w:pos="1880" w:val="left"/>
        </w:tabs>
        <w:numPr>
          <w:ilvl w:val="1"/>
          <w:numId w:val="43"/>
        </w:numPr>
        <w:rPr>
          <w:rFonts w:ascii="Arial" w:cs="Arial" w:eastAsia="Arial" w:hAnsi="Arial"/>
          <w:sz w:val="19"/>
          <w:szCs w:val="19"/>
          <w:color w:val="auto"/>
        </w:rPr>
      </w:pPr>
      <w:r>
        <w:rPr>
          <w:rFonts w:ascii="Arial" w:cs="Arial" w:eastAsia="Arial" w:hAnsi="Arial"/>
          <w:sz w:val="19"/>
          <w:szCs w:val="19"/>
          <w:color w:val="auto"/>
        </w:rPr>
        <w:t>Regal will display the Trailer Pod Inventory in accordance with technical specifications, including delivery and update timelines and file specifications in the same manner as have been customarily agreed by the Parties. Regal will notify LLC of the success or failure to display the Trailer Pod Inventory in order for LLC to comply with its obligations to advertising clients in the same manner as Regal customarily provides reporting to LLC of advertising displays.</w:t>
      </w:r>
    </w:p>
    <w:p>
      <w:pPr>
        <w:spacing w:after="0" w:line="187" w:lineRule="exact"/>
        <w:rPr>
          <w:rFonts w:ascii="Arial" w:cs="Arial" w:eastAsia="Arial" w:hAnsi="Arial"/>
          <w:sz w:val="19"/>
          <w:szCs w:val="19"/>
          <w:color w:val="auto"/>
        </w:rPr>
      </w:pPr>
    </w:p>
    <w:p>
      <w:pPr>
        <w:ind w:left="1880" w:hanging="479"/>
        <w:spacing w:after="0" w:line="263" w:lineRule="auto"/>
        <w:tabs>
          <w:tab w:leader="none" w:pos="18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LLC acknowledges and agrees that the Trailer Pod Inventory shall not be sold for non-cash consideration.</w:t>
      </w:r>
    </w:p>
    <w:p>
      <w:pPr>
        <w:spacing w:after="0" w:line="215" w:lineRule="exact"/>
        <w:rPr>
          <w:rFonts w:ascii="Arial" w:cs="Arial" w:eastAsia="Arial" w:hAnsi="Arial"/>
          <w:sz w:val="22"/>
          <w:szCs w:val="22"/>
          <w:color w:val="auto"/>
        </w:rPr>
      </w:pPr>
    </w:p>
    <w:p>
      <w:pPr>
        <w:jc w:val="both"/>
        <w:ind w:left="1880" w:hanging="479"/>
        <w:spacing w:after="0" w:line="248" w:lineRule="auto"/>
        <w:tabs>
          <w:tab w:leader="none" w:pos="18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Subject to any applicable health or safety legal requirements or regulations, Regal will ensure that at and after Showtime, the auditorium lighting in each Theatre will be materially similar to the auditorium lighting in that Theatre during the Trailers as of the Amendment Effective Date. In the event that such health or safety issues arise from the auditorium lighting, the Parties agree to work in good faith to find a resolution.</w:t>
      </w:r>
    </w:p>
    <w:p>
      <w:pPr>
        <w:spacing w:after="0" w:line="232" w:lineRule="exact"/>
        <w:rPr>
          <w:rFonts w:ascii="Arial" w:cs="Arial" w:eastAsia="Arial" w:hAnsi="Arial"/>
          <w:sz w:val="22"/>
          <w:szCs w:val="22"/>
          <w:color w:val="auto"/>
        </w:rPr>
      </w:pPr>
    </w:p>
    <w:p>
      <w:pPr>
        <w:ind w:left="1260" w:hanging="507"/>
        <w:spacing w:after="0"/>
        <w:tabs>
          <w:tab w:leader="none" w:pos="12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591" w:right="239" w:bottom="1440" w:gutter="0" w:footer="0" w:header="0"/>
        </w:sectPr>
      </w:pPr>
    </w:p>
    <w:bookmarkStart w:id="23" w:name="page24"/>
    <w:bookmarkEnd w:id="23"/>
    <w:p>
      <w:pPr>
        <w:jc w:val="both"/>
        <w:ind w:firstLine="8"/>
        <w:spacing w:after="0" w:line="250" w:lineRule="auto"/>
        <w:tabs>
          <w:tab w:leader="none" w:pos="81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As of November 1, 2019, NCM acknowledges that (until it is notified otherwise by Regal in writing): (i) the first Beverage Slot shall be displayed immediately after the Pre-Feature Closing, shall be thirty (:30) seconds in length, and shall immediately be followed by the Co-Branded Slot; and (ii) the second Beverage Slot shall be thirty (:30) seconds in length and shall be displayed immediately after the Final Trailer Position.</w:t>
      </w:r>
    </w:p>
    <w:p>
      <w:pPr>
        <w:spacing w:after="0" w:line="228" w:lineRule="exact"/>
        <w:rPr>
          <w:rFonts w:ascii="Arial" w:cs="Arial" w:eastAsia="Arial" w:hAnsi="Arial"/>
          <w:sz w:val="22"/>
          <w:szCs w:val="22"/>
          <w:color w:val="auto"/>
        </w:rPr>
      </w:pPr>
    </w:p>
    <w:p>
      <w:pPr>
        <w:ind w:firstLine="8"/>
        <w:spacing w:after="0" w:line="263" w:lineRule="auto"/>
        <w:tabs>
          <w:tab w:leader="none" w:pos="810" w:val="left"/>
        </w:tabs>
        <w:numPr>
          <w:ilvl w:val="0"/>
          <w:numId w:val="4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Content Standards. </w:t>
      </w:r>
      <w:r>
        <w:rPr>
          <w:rFonts w:ascii="Arial" w:cs="Arial" w:eastAsia="Arial" w:hAnsi="Arial"/>
          <w:sz w:val="22"/>
          <w:szCs w:val="22"/>
          <w:color w:val="auto"/>
        </w:rPr>
        <w:t>All references to “Advertising Services” throughout Section 4.03 will be deleted and replaced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following: “Advertising Services, excluding Post-Showtime Inventory and Trailer Pod Inventory”.</w:t>
      </w:r>
    </w:p>
    <w:p>
      <w:pPr>
        <w:spacing w:after="0" w:line="215" w:lineRule="exact"/>
        <w:rPr>
          <w:rFonts w:ascii="Arial" w:cs="Arial" w:eastAsia="Arial" w:hAnsi="Arial"/>
          <w:sz w:val="22"/>
          <w:szCs w:val="22"/>
          <w:color w:val="auto"/>
        </w:rPr>
      </w:pPr>
    </w:p>
    <w:p>
      <w:pPr>
        <w:ind w:firstLine="8"/>
        <w:spacing w:after="0" w:line="263" w:lineRule="auto"/>
        <w:tabs>
          <w:tab w:leader="none" w:pos="810" w:val="left"/>
        </w:tabs>
        <w:numPr>
          <w:ilvl w:val="0"/>
          <w:numId w:val="4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Content Standards. </w:t>
      </w:r>
      <w:r>
        <w:rPr>
          <w:rFonts w:ascii="Arial" w:cs="Arial" w:eastAsia="Arial" w:hAnsi="Arial"/>
          <w:sz w:val="22"/>
          <w:szCs w:val="22"/>
          <w:color w:val="auto"/>
        </w:rPr>
        <w:t>The following is hereby added to the ESA immediately after Section 4.03 as a new and separate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4.03A:</w:t>
      </w:r>
    </w:p>
    <w:p>
      <w:pPr>
        <w:spacing w:after="0" w:line="209" w:lineRule="exact"/>
        <w:rPr>
          <w:sz w:val="20"/>
          <w:szCs w:val="20"/>
          <w:color w:val="auto"/>
        </w:rPr>
      </w:pPr>
    </w:p>
    <w:p>
      <w:pPr>
        <w:jc w:val="both"/>
        <w:ind w:left="660"/>
        <w:spacing w:after="0" w:line="282" w:lineRule="auto"/>
        <w:rPr>
          <w:sz w:val="20"/>
          <w:szCs w:val="20"/>
          <w:color w:val="auto"/>
        </w:rPr>
      </w:pPr>
      <w:r>
        <w:rPr>
          <w:rFonts w:ascii="Arial" w:cs="Arial" w:eastAsia="Arial" w:hAnsi="Arial"/>
          <w:sz w:val="19"/>
          <w:szCs w:val="19"/>
          <w:b w:val="1"/>
          <w:bCs w:val="1"/>
          <w:color w:val="auto"/>
        </w:rPr>
        <w:t xml:space="preserve">Section 4.03A </w:t>
      </w:r>
      <w:r>
        <w:rPr>
          <w:rFonts w:ascii="Arial" w:cs="Arial" w:eastAsia="Arial" w:hAnsi="Arial"/>
          <w:sz w:val="19"/>
          <w:szCs w:val="19"/>
          <w:b w:val="1"/>
          <w:bCs w:val="1"/>
          <w:u w:val="single" w:color="auto"/>
          <w:color w:val="auto"/>
        </w:rPr>
        <w:t>Post-Showtime and Trailer Pod Content Standards</w:t>
      </w:r>
      <w:r>
        <w:rPr>
          <w:rFonts w:ascii="Arial" w:cs="Arial" w:eastAsia="Arial" w:hAnsi="Arial"/>
          <w:sz w:val="19"/>
          <w:szCs w:val="19"/>
          <w:color w:val="auto"/>
        </w:rPr>
        <w:t>. The Parties agree that (unless mutually agreed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clauses (i), (iii), (iv), (v) or (vi)) all content within the Post-Showtime Inventory or the Trailer Pod Inventory will not contain content or other material that: (i) has received, or had it been rated would have received, an MPAA “X” or “NC-17” rating (or the equivalent); (ii) promotes illegal activity; (iii) promotes the use of tobacco, sexual aids, birth control, firearms, weapons or similar products; (iv) promotes alcohol, except prior to “R”-rated films in the auditorium; (v) constitutes religious advertising (except on a local basis, exhibiting time and location for local church services); (vi) constitutes political advertising or promotes gambling; (vii) promotes theatres, theatre circuits or other entities that are competitive with Regal or LLC; (viii) would violate any of Regal’s Beverage Agreements or the exclusive contractual relationships identified in the Specification Documentation (including renewals and extensions of the foregoing, but excluding any amendments or modifications thereto as such relate to such content standards) and any subsequent exclusive arrangement entered into by LLC with respect to the Theatres; or (ix) otherwise reflects negatively on Regal or adversely affects Regal’s attendance as determined in Regal’s reasonable discretion. Regal may, without liability, breach or otherwise, prevent and/or take any other actions with respect to the use or distribution of content that violates the foregoing standards; provided, that with respect to Section 4.03A(ix), Regal may opt out of such content in Post-Showtime Inventory or the Trailer Pod Inventory only with respect to Theatres in the geographic locations identified, which may include all of Regal’s Theatres. To the extent Post-Showtime Inventory or Trailer Pod Inventory is displayed using the Digital Content Service, if either the Post-Showtime Inventory or Trailer Pod Inventory contains any content that violates the foregoing standards, LLC must remove such content as soon as reasonably practical, but no later than within twenty-four (24) hours of Regal notifying LLC of such violation. If LLC fails to remove such content within such twenty-four (24)-hour period, Regal may discontinue the Digital Content Service in such auditoriums where such content is shown until the violating content is removed and shall have no liability for such discontinuation. To the extent the Post-Showtime Inventory or Trailer Pod Inventory is displayed using Regal’s equipment and contains any content that violates the foregoing standards, Regal may remove such content after notifying LLC of such violation and shall have no liability for such discontinuation. If any Founding Member does not agree to exhibit any content of the Advertising Services subject to Section 4.03A(i), (iii), (iv),</w:t>
      </w:r>
    </w:p>
    <w:p>
      <w:pPr>
        <w:spacing w:after="0" w:line="21" w:lineRule="exact"/>
        <w:rPr>
          <w:sz w:val="20"/>
          <w:szCs w:val="20"/>
          <w:color w:val="auto"/>
        </w:rPr>
      </w:pPr>
    </w:p>
    <w:p>
      <w:pPr>
        <w:ind w:left="660" w:hanging="4"/>
        <w:spacing w:after="0" w:line="323" w:lineRule="auto"/>
        <w:tabs>
          <w:tab w:leader="none" w:pos="971" w:val="left"/>
        </w:tabs>
        <w:numPr>
          <w:ilvl w:val="1"/>
          <w:numId w:val="46"/>
        </w:numPr>
        <w:rPr>
          <w:rFonts w:ascii="Arial" w:cs="Arial" w:eastAsia="Arial" w:hAnsi="Arial"/>
          <w:sz w:val="19"/>
          <w:szCs w:val="19"/>
          <w:color w:val="auto"/>
        </w:rPr>
      </w:pPr>
      <w:r>
        <w:rPr>
          <w:rFonts w:ascii="Arial" w:cs="Arial" w:eastAsia="Arial" w:hAnsi="Arial"/>
          <w:sz w:val="19"/>
          <w:szCs w:val="19"/>
          <w:color w:val="auto"/>
        </w:rPr>
        <w:t>or (vi), then LLC shall apply any revenue it is entitled to receive from such Post-Showtime Inventory (“</w:t>
      </w:r>
      <w:r>
        <w:rPr>
          <w:rFonts w:ascii="Arial" w:cs="Arial" w:eastAsia="Arial" w:hAnsi="Arial"/>
          <w:sz w:val="19"/>
          <w:szCs w:val="19"/>
          <w:b w:val="1"/>
          <w:bCs w:val="1"/>
          <w:color w:val="auto"/>
        </w:rPr>
        <w:t>Post-Showtime</w:t>
      </w:r>
      <w:r>
        <w:rPr>
          <w:rFonts w:ascii="Arial" w:cs="Arial" w:eastAsia="Arial" w:hAnsi="Arial"/>
          <w:sz w:val="19"/>
          <w:szCs w:val="19"/>
          <w:color w:val="auto"/>
        </w:rPr>
        <w:t xml:space="preserve"> </w:t>
      </w:r>
      <w:r>
        <w:rPr>
          <w:rFonts w:ascii="Arial" w:cs="Arial" w:eastAsia="Arial" w:hAnsi="Arial"/>
          <w:sz w:val="19"/>
          <w:szCs w:val="19"/>
          <w:b w:val="1"/>
          <w:bCs w:val="1"/>
          <w:color w:val="auto"/>
        </w:rPr>
        <w:t>Content Revenue</w:t>
      </w:r>
      <w:r>
        <w:rPr>
          <w:rFonts w:ascii="Arial" w:cs="Arial" w:eastAsia="Arial" w:hAnsi="Arial"/>
          <w:sz w:val="19"/>
          <w:szCs w:val="19"/>
          <w:color w:val="auto"/>
        </w:rPr>
        <w:t>”) to adjust payments of the Post-Showtime Theatre Access Fee as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123" w:lineRule="exact"/>
        <w:rPr>
          <w:rFonts w:ascii="Arial" w:cs="Arial" w:eastAsia="Arial" w:hAnsi="Arial"/>
          <w:sz w:val="19"/>
          <w:szCs w:val="19"/>
          <w:color w:val="auto"/>
        </w:rPr>
      </w:pPr>
    </w:p>
    <w:p>
      <w:pPr>
        <w:ind w:firstLine="8"/>
        <w:spacing w:after="0" w:line="263" w:lineRule="auto"/>
        <w:tabs>
          <w:tab w:leader="none" w:pos="810" w:val="left"/>
        </w:tabs>
        <w:numPr>
          <w:ilvl w:val="0"/>
          <w:numId w:val="4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Branded Content. </w:t>
      </w:r>
      <w:r>
        <w:rPr>
          <w:rFonts w:ascii="Arial" w:cs="Arial" w:eastAsia="Arial" w:hAnsi="Arial"/>
          <w:sz w:val="22"/>
          <w:szCs w:val="22"/>
          <w:color w:val="auto"/>
        </w:rPr>
        <w:t>The second and third sentences of Section 4.05(a) of the ESA are hereby deleted and replaced with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24" w:name="page25"/>
    <w:bookmarkEnd w:id="24"/>
    <w:p>
      <w:pPr>
        <w:jc w:val="both"/>
        <w:ind w:left="1040"/>
        <w:spacing w:after="0" w:line="315" w:lineRule="auto"/>
        <w:rPr>
          <w:sz w:val="20"/>
          <w:szCs w:val="20"/>
          <w:color w:val="auto"/>
        </w:rPr>
      </w:pPr>
      <w:r>
        <w:rPr>
          <w:rFonts w:ascii="Arial" w:cs="Arial" w:eastAsia="Arial" w:hAnsi="Arial"/>
          <w:sz w:val="19"/>
          <w:szCs w:val="19"/>
          <w:color w:val="auto"/>
        </w:rPr>
        <w:t>The interstitial messaging shall include a Pre-Feature Program introduction and a “</w:t>
      </w:r>
      <w:r>
        <w:rPr>
          <w:rFonts w:ascii="Arial" w:cs="Arial" w:eastAsia="Arial" w:hAnsi="Arial"/>
          <w:sz w:val="19"/>
          <w:szCs w:val="19"/>
          <w:b w:val="1"/>
          <w:bCs w:val="1"/>
          <w:color w:val="auto"/>
        </w:rPr>
        <w:t>Pre-Feature Closing</w:t>
      </w:r>
      <w:r>
        <w:rPr>
          <w:rFonts w:ascii="Arial" w:cs="Arial" w:eastAsia="Arial" w:hAnsi="Arial"/>
          <w:sz w:val="19"/>
          <w:szCs w:val="19"/>
          <w:color w:val="auto"/>
        </w:rPr>
        <w:t>” containing content branded with the Regal Marks. The Pre-Feature Closing shall be displayed after Showtime, be no more than thirty (30) seconds in length, and include content branded with the marks of Regal’s beverage concessionaire.</w:t>
      </w:r>
    </w:p>
    <w:p>
      <w:pPr>
        <w:spacing w:after="0" w:line="132" w:lineRule="exact"/>
        <w:rPr>
          <w:sz w:val="20"/>
          <w:szCs w:val="20"/>
          <w:color w:val="auto"/>
        </w:rPr>
      </w:pPr>
    </w:p>
    <w:p>
      <w:pPr>
        <w:ind w:firstLine="8"/>
        <w:spacing w:after="0" w:line="263" w:lineRule="auto"/>
        <w:tabs>
          <w:tab w:leader="none" w:pos="810"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Branded Slot. </w:t>
      </w:r>
      <w:r>
        <w:rPr>
          <w:rFonts w:ascii="Arial" w:cs="Arial" w:eastAsia="Arial" w:hAnsi="Arial"/>
          <w:sz w:val="22"/>
          <w:szCs w:val="22"/>
          <w:color w:val="auto"/>
        </w:rPr>
        <w:t>Each reference in Section 4.05(c) to “of the Play List” is hereby deleted and replaced with the following: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to Showtime.”</w:t>
      </w:r>
    </w:p>
    <w:p>
      <w:pPr>
        <w:spacing w:after="0" w:line="215" w:lineRule="exact"/>
        <w:rPr>
          <w:rFonts w:ascii="Arial" w:cs="Arial" w:eastAsia="Arial" w:hAnsi="Arial"/>
          <w:sz w:val="22"/>
          <w:szCs w:val="22"/>
          <w:color w:val="auto"/>
        </w:rPr>
      </w:pPr>
    </w:p>
    <w:p>
      <w:pPr>
        <w:ind w:left="920" w:hanging="912"/>
        <w:spacing w:after="0"/>
        <w:tabs>
          <w:tab w:leader="none" w:pos="920"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Beverage Agreements.</w:t>
      </w:r>
    </w:p>
    <w:p>
      <w:pPr>
        <w:spacing w:after="0" w:line="260" w:lineRule="exact"/>
        <w:rPr>
          <w:rFonts w:ascii="Arial" w:cs="Arial" w:eastAsia="Arial" w:hAnsi="Arial"/>
          <w:sz w:val="22"/>
          <w:szCs w:val="22"/>
          <w:color w:val="auto"/>
        </w:rPr>
      </w:pPr>
    </w:p>
    <w:p>
      <w:pPr>
        <w:ind w:left="1040" w:right="20" w:hanging="411"/>
        <w:spacing w:after="0" w:line="263" w:lineRule="auto"/>
        <w:tabs>
          <w:tab w:leader="none" w:pos="10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the first sentence of Section 4.06(a) of the ESA, “advertising Inventory” is hereby deleted and replaced with the following: “Beverage Slot”.</w:t>
      </w:r>
    </w:p>
    <w:p>
      <w:pPr>
        <w:spacing w:after="0" w:line="215" w:lineRule="exact"/>
        <w:rPr>
          <w:rFonts w:ascii="Arial" w:cs="Arial" w:eastAsia="Arial" w:hAnsi="Arial"/>
          <w:sz w:val="22"/>
          <w:szCs w:val="22"/>
          <w:color w:val="auto"/>
        </w:rPr>
      </w:pPr>
    </w:p>
    <w:p>
      <w:pPr>
        <w:ind w:left="1040" w:hanging="411"/>
        <w:spacing w:after="0" w:line="263" w:lineRule="auto"/>
        <w:tabs>
          <w:tab w:leader="none" w:pos="10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the first sentence of Section 4.06(a) of the ESA, “within the Play List, as set forth in the Specification Documentation,” is hereby deleted and replaced with the following: “following the Pre-Feature Closing”.</w:t>
      </w:r>
    </w:p>
    <w:p>
      <w:pPr>
        <w:spacing w:after="0" w:line="215" w:lineRule="exact"/>
        <w:rPr>
          <w:rFonts w:ascii="Arial" w:cs="Arial" w:eastAsia="Arial" w:hAnsi="Arial"/>
          <w:sz w:val="22"/>
          <w:szCs w:val="22"/>
          <w:color w:val="auto"/>
        </w:rPr>
      </w:pPr>
    </w:p>
    <w:p>
      <w:pPr>
        <w:ind w:left="1040" w:hanging="411"/>
        <w:spacing w:after="0"/>
        <w:tabs>
          <w:tab w:leader="none" w:pos="1040" w:val="left"/>
        </w:tabs>
        <w:numPr>
          <w:ilvl w:val="1"/>
          <w:numId w:val="48"/>
        </w:numPr>
        <w:rPr>
          <w:rFonts w:ascii="Arial" w:cs="Arial" w:eastAsia="Arial" w:hAnsi="Arial"/>
          <w:sz w:val="22"/>
          <w:szCs w:val="22"/>
          <w:color w:val="auto"/>
        </w:rPr>
      </w:pPr>
      <w:r>
        <w:rPr>
          <w:rFonts w:ascii="Arial" w:cs="Arial" w:eastAsia="Arial" w:hAnsi="Arial"/>
          <w:sz w:val="22"/>
          <w:szCs w:val="22"/>
          <w:color w:val="auto"/>
        </w:rPr>
        <w:t>Effective November 1, 2019, the following is hereby inserted at the end of Section 4.06(a) of the ESA:</w:t>
      </w:r>
    </w:p>
    <w:p>
      <w:pPr>
        <w:spacing w:after="0" w:line="21" w:lineRule="exact"/>
        <w:rPr>
          <w:rFonts w:ascii="Arial" w:cs="Arial" w:eastAsia="Arial" w:hAnsi="Arial"/>
          <w:sz w:val="22"/>
          <w:szCs w:val="22"/>
          <w:color w:val="auto"/>
        </w:rPr>
      </w:pPr>
    </w:p>
    <w:p>
      <w:pPr>
        <w:jc w:val="both"/>
        <w:ind w:left="1040"/>
        <w:spacing w:after="0" w:line="287" w:lineRule="auto"/>
        <w:rPr>
          <w:rFonts w:ascii="Arial" w:cs="Arial" w:eastAsia="Arial" w:hAnsi="Arial"/>
          <w:sz w:val="22"/>
          <w:szCs w:val="22"/>
          <w:color w:val="auto"/>
        </w:rPr>
      </w:pPr>
      <w:r>
        <w:rPr>
          <w:rFonts w:ascii="Arial" w:cs="Arial" w:eastAsia="Arial" w:hAnsi="Arial"/>
          <w:sz w:val="19"/>
          <w:szCs w:val="19"/>
          <w:color w:val="auto"/>
        </w:rPr>
        <w:t>“For the avoidance of doubt, other than as set forth in this paragraph, no other amounts shall be payable by Regal to LLC in consideration for the Beverage Slot (including, for the avoidance of doubt, the Beverage Slot prior to the Co-Branded Spot (as defined below) and the Beverage Slot which follows the final trailer position). The Parties agree that Regal’s co-branded spot with its beverage concessionaire (the “</w:t>
      </w:r>
      <w:r>
        <w:rPr>
          <w:rFonts w:ascii="Arial" w:cs="Arial" w:eastAsia="Arial" w:hAnsi="Arial"/>
          <w:sz w:val="19"/>
          <w:szCs w:val="19"/>
          <w:b w:val="1"/>
          <w:bCs w:val="1"/>
          <w:color w:val="auto"/>
        </w:rPr>
        <w:t>Co-Branded Slot</w:t>
      </w:r>
      <w:r>
        <w:rPr>
          <w:rFonts w:ascii="Arial" w:cs="Arial" w:eastAsia="Arial" w:hAnsi="Arial"/>
          <w:sz w:val="19"/>
          <w:szCs w:val="19"/>
          <w:color w:val="auto"/>
        </w:rPr>
        <w:t>”), which is up to (and including) thirty (:30) seconds in length, shall be displayed prior to the Policy Trailer, and may be an advertisement for or may include advertisements for Regal’s beverage concessionaire, (i) is not a Beverage Slot for the purposes of this Agreement, (ii) does not reduce the amount of time allotted under Section 4.05 to its Branded Slots within the Play List, and (iii) Regal is not required to pay the Beverage Agreement Advertising Rate for such spot.”</w:t>
      </w:r>
    </w:p>
    <w:p>
      <w:pPr>
        <w:spacing w:after="0" w:line="160" w:lineRule="exact"/>
        <w:rPr>
          <w:rFonts w:ascii="Arial" w:cs="Arial" w:eastAsia="Arial" w:hAnsi="Arial"/>
          <w:sz w:val="22"/>
          <w:szCs w:val="22"/>
          <w:color w:val="auto"/>
        </w:rPr>
      </w:pPr>
    </w:p>
    <w:p>
      <w:pPr>
        <w:jc w:val="both"/>
        <w:ind w:firstLine="8"/>
        <w:spacing w:after="0" w:line="253" w:lineRule="auto"/>
        <w:tabs>
          <w:tab w:leader="none" w:pos="910"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Excluded Theatres. </w:t>
      </w:r>
      <w:r>
        <w:rPr>
          <w:rFonts w:ascii="Arial" w:cs="Arial" w:eastAsia="Arial" w:hAnsi="Arial"/>
          <w:sz w:val="22"/>
          <w:szCs w:val="22"/>
          <w:color w:val="auto"/>
        </w:rPr>
        <w:t>In Section 4.13(a) of the ESA, the words “calculation of Theatre Access Fees” are hereby deleted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replaced with the following: “calculation of Theatre Access Fees, Post-Showtime Theatre Access Fees, Trailer Pod Fees, or [***]”.</w:t>
      </w:r>
    </w:p>
    <w:p>
      <w:pPr>
        <w:spacing w:after="0" w:line="226" w:lineRule="exact"/>
        <w:rPr>
          <w:rFonts w:ascii="Arial" w:cs="Arial" w:eastAsia="Arial" w:hAnsi="Arial"/>
          <w:sz w:val="22"/>
          <w:szCs w:val="22"/>
          <w:color w:val="auto"/>
        </w:rPr>
      </w:pPr>
    </w:p>
    <w:p>
      <w:pPr>
        <w:jc w:val="both"/>
        <w:ind w:firstLine="8"/>
        <w:spacing w:after="0" w:line="253" w:lineRule="auto"/>
        <w:tabs>
          <w:tab w:leader="none" w:pos="918"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Payment. </w:t>
      </w:r>
      <w:r>
        <w:rPr>
          <w:rFonts w:ascii="Arial" w:cs="Arial" w:eastAsia="Arial" w:hAnsi="Arial"/>
          <w:sz w:val="22"/>
          <w:szCs w:val="22"/>
          <w:color w:val="auto"/>
        </w:rPr>
        <w:t>In the first sentence of Section 8.01 of the ESA, the words “(</w:t>
      </w:r>
      <w:r>
        <w:rPr>
          <w:rFonts w:ascii="Arial" w:cs="Arial" w:eastAsia="Arial" w:hAnsi="Arial"/>
          <w:sz w:val="22"/>
          <w:szCs w:val="22"/>
          <w:i w:val="1"/>
          <w:iCs w:val="1"/>
          <w:color w:val="auto"/>
        </w:rPr>
        <w:t>e.g.</w:t>
      </w:r>
      <w:r>
        <w:rPr>
          <w:rFonts w:ascii="Arial" w:cs="Arial" w:eastAsia="Arial" w:hAnsi="Arial"/>
          <w:sz w:val="22"/>
          <w:szCs w:val="22"/>
          <w:color w:val="auto"/>
        </w:rPr>
        <w:t>, payment of the Theatre Access Fees pursuant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Section 2.05(b))” are hereby deleted and replaced with the following: “(</w:t>
      </w:r>
      <w:r>
        <w:rPr>
          <w:rFonts w:ascii="Arial" w:cs="Arial" w:eastAsia="Arial" w:hAnsi="Arial"/>
          <w:sz w:val="22"/>
          <w:szCs w:val="22"/>
          <w:i w:val="1"/>
          <w:iCs w:val="1"/>
          <w:color w:val="auto"/>
        </w:rPr>
        <w:t>e.g.</w:t>
      </w:r>
      <w:r>
        <w:rPr>
          <w:rFonts w:ascii="Arial" w:cs="Arial" w:eastAsia="Arial" w:hAnsi="Arial"/>
          <w:sz w:val="22"/>
          <w:szCs w:val="22"/>
          <w:color w:val="auto"/>
        </w:rPr>
        <w:t>, payment of the Theatre Access Fees, Post-Showtime Theatre Access Fees, Trailer Pod Fees, and [***] pursuant to Section 2.05(b)(ii))”.</w:t>
      </w:r>
    </w:p>
    <w:p>
      <w:pPr>
        <w:spacing w:after="0" w:line="226" w:lineRule="exact"/>
        <w:rPr>
          <w:rFonts w:ascii="Arial" w:cs="Arial" w:eastAsia="Arial" w:hAnsi="Arial"/>
          <w:sz w:val="22"/>
          <w:szCs w:val="22"/>
          <w:color w:val="auto"/>
        </w:rPr>
      </w:pPr>
    </w:p>
    <w:p>
      <w:pPr>
        <w:ind w:left="920" w:hanging="912"/>
        <w:spacing w:after="0"/>
        <w:tabs>
          <w:tab w:leader="none" w:pos="920"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“February 13, 2037” in the first sentence of Section 9.01 of the ESA is hereby deleted and replaced with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 “February 13, 2041”.</w:t>
      </w:r>
    </w:p>
    <w:p>
      <w:pPr>
        <w:spacing w:after="0" w:line="242" w:lineRule="exact"/>
        <w:rPr>
          <w:rFonts w:ascii="Arial" w:cs="Arial" w:eastAsia="Arial" w:hAnsi="Arial"/>
          <w:sz w:val="19"/>
          <w:szCs w:val="19"/>
          <w:color w:val="auto"/>
        </w:rPr>
      </w:pPr>
    </w:p>
    <w:p>
      <w:pPr>
        <w:ind w:firstLine="8"/>
        <w:spacing w:after="0" w:line="287" w:lineRule="auto"/>
        <w:tabs>
          <w:tab w:leader="none" w:pos="918" w:val="left"/>
        </w:tabs>
        <w:numPr>
          <w:ilvl w:val="0"/>
          <w:numId w:val="4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Termination of Post-Showtime Inventory and Post-Showtime Theatre Access Fees. </w:t>
      </w:r>
      <w:r>
        <w:rPr>
          <w:rFonts w:ascii="Arial" w:cs="Arial" w:eastAsia="Arial" w:hAnsi="Arial"/>
          <w:sz w:val="21"/>
          <w:szCs w:val="21"/>
          <w:color w:val="auto"/>
        </w:rPr>
        <w:t>The following is hereby added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ESA as a new and separate Section 9.02A and is inserted immediately prior to Section 9.03 of the ESA:</w:t>
      </w:r>
    </w:p>
    <w:p>
      <w:pPr>
        <w:spacing w:after="0" w:line="186" w:lineRule="exact"/>
        <w:rPr>
          <w:sz w:val="20"/>
          <w:szCs w:val="20"/>
          <w:color w:val="auto"/>
        </w:rPr>
      </w:pPr>
    </w:p>
    <w:p>
      <w:pPr>
        <w:jc w:val="both"/>
        <w:ind w:left="660" w:firstLine="1297"/>
        <w:spacing w:after="0" w:line="256" w:lineRule="auto"/>
        <w:rPr>
          <w:sz w:val="20"/>
          <w:szCs w:val="20"/>
          <w:color w:val="auto"/>
        </w:rPr>
      </w:pPr>
      <w:r>
        <w:rPr>
          <w:rFonts w:ascii="Arial" w:cs="Arial" w:eastAsia="Arial" w:hAnsi="Arial"/>
          <w:sz w:val="22"/>
          <w:szCs w:val="22"/>
          <w:b w:val="1"/>
          <w:bCs w:val="1"/>
          <w:color w:val="auto"/>
        </w:rPr>
        <w:t xml:space="preserve">Section 9.02A </w:t>
      </w:r>
      <w:r>
        <w:rPr>
          <w:rFonts w:ascii="Arial" w:cs="Arial" w:eastAsia="Arial" w:hAnsi="Arial"/>
          <w:sz w:val="22"/>
          <w:szCs w:val="22"/>
          <w:b w:val="1"/>
          <w:bCs w:val="1"/>
          <w:u w:val="single" w:color="auto"/>
          <w:color w:val="auto"/>
        </w:rPr>
        <w:t>Termination of Post-Showtime Inventory and Post-Showtime Theatre Access Fees</w:t>
      </w:r>
      <w:r>
        <w:rPr>
          <w:rFonts w:ascii="Arial" w:cs="Arial" w:eastAsia="Arial" w:hAnsi="Arial"/>
          <w:sz w:val="22"/>
          <w:szCs w:val="22"/>
          <w:b w:val="1"/>
          <w:bCs w:val="1"/>
          <w:color w:val="auto"/>
        </w:rPr>
        <w:t xml:space="preserve">. </w:t>
      </w:r>
      <w:r>
        <w:rPr>
          <w:rFonts w:ascii="Arial" w:cs="Arial" w:eastAsia="Arial" w:hAnsi="Arial"/>
          <w:sz w:val="22"/>
          <w:szCs w:val="22"/>
          <w:color w:val="auto"/>
        </w:rPr>
        <w:t>In its</w:t>
      </w:r>
      <w:r>
        <w:rPr>
          <w:rFonts w:ascii="Arial" w:cs="Arial" w:eastAsia="Arial" w:hAnsi="Arial"/>
          <w:sz w:val="22"/>
          <w:szCs w:val="22"/>
          <w:b w:val="1"/>
          <w:bCs w:val="1"/>
          <w:color w:val="auto"/>
        </w:rPr>
        <w:t xml:space="preserve"> </w:t>
      </w:r>
      <w:r>
        <w:rPr>
          <w:rFonts w:ascii="Arial" w:cs="Arial" w:eastAsia="Arial" w:hAnsi="Arial"/>
          <w:sz w:val="22"/>
          <w:szCs w:val="22"/>
          <w:color w:val="auto"/>
        </w:rPr>
        <w:t>sole discretion, LLC may, by written notice to Regal no later than August 1, 2022, terminate: (i) the display of the Post-Showtime Inventory and the Trailer Pod Inventory, and (ii)</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5" w:right="239" w:bottom="1440" w:gutter="0" w:footer="0" w:header="0"/>
        </w:sectPr>
      </w:pPr>
    </w:p>
    <w:bookmarkStart w:id="25" w:name="page26"/>
    <w:bookmarkEnd w:id="25"/>
    <w:p>
      <w:pPr>
        <w:jc w:val="both"/>
        <w:ind w:left="660"/>
        <w:spacing w:after="0" w:line="248" w:lineRule="auto"/>
        <w:rPr>
          <w:sz w:val="20"/>
          <w:szCs w:val="20"/>
          <w:color w:val="auto"/>
        </w:rPr>
      </w:pPr>
      <w:r>
        <w:rPr>
          <w:rFonts w:ascii="Arial" w:cs="Arial" w:eastAsia="Arial" w:hAnsi="Arial"/>
          <w:sz w:val="22"/>
          <w:szCs w:val="22"/>
          <w:color w:val="auto"/>
        </w:rPr>
        <w:t>payments of the Post-Showtime Theatre Access Fees and [***], both effective as of November 1, 2022. If LLC exercises such termination option, then, as of November 1, 2022, the Second Amendment to Amended and Restated Exhibitor Services Agreement dated September 17, 2019 between LLC and Regal (other than Section 15 thereof that amends Section 14.01 of this Agreement) shall be terminated and deemed to be null and void and of no further force or effect with respect to this Agreement.</w:t>
      </w:r>
    </w:p>
    <w:p>
      <w:pPr>
        <w:spacing w:after="0" w:line="192" w:lineRule="exact"/>
        <w:rPr>
          <w:sz w:val="20"/>
          <w:szCs w:val="20"/>
          <w:color w:val="auto"/>
        </w:rPr>
      </w:pPr>
    </w:p>
    <w:p>
      <w:pPr>
        <w:jc w:val="both"/>
        <w:ind w:firstLine="8"/>
        <w:spacing w:after="0" w:line="253" w:lineRule="auto"/>
        <w:tabs>
          <w:tab w:leader="none" w:pos="918" w:val="left"/>
        </w:tabs>
        <w:numPr>
          <w:ilvl w:val="0"/>
          <w:numId w:val="4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Confidential Treatment. </w:t>
      </w:r>
      <w:r>
        <w:rPr>
          <w:rFonts w:ascii="Arial" w:cs="Arial" w:eastAsia="Arial" w:hAnsi="Arial"/>
          <w:sz w:val="22"/>
          <w:szCs w:val="22"/>
          <w:color w:val="auto"/>
        </w:rPr>
        <w:t>“For a period of three years after the termination of this Agreement:” in Section 14.01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ESA is hereby deleted and replaced with the following: “During the Term, and for a period of three (3) years after the termination of this Agreement:”.</w:t>
      </w:r>
    </w:p>
    <w:p>
      <w:pPr>
        <w:spacing w:after="0" w:line="226" w:lineRule="exact"/>
        <w:rPr>
          <w:rFonts w:ascii="Arial" w:cs="Arial" w:eastAsia="Arial" w:hAnsi="Arial"/>
          <w:sz w:val="22"/>
          <w:szCs w:val="22"/>
          <w:color w:val="auto"/>
        </w:rPr>
      </w:pPr>
    </w:p>
    <w:p>
      <w:pPr>
        <w:ind w:right="20" w:firstLine="8"/>
        <w:spacing w:after="0" w:line="263" w:lineRule="auto"/>
        <w:tabs>
          <w:tab w:leader="none" w:pos="918" w:val="left"/>
        </w:tabs>
        <w:numPr>
          <w:ilvl w:val="0"/>
          <w:numId w:val="4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Fiscal Calendar; No Affiliates. </w:t>
      </w:r>
      <w:r>
        <w:rPr>
          <w:rFonts w:ascii="Arial" w:cs="Arial" w:eastAsia="Arial" w:hAnsi="Arial"/>
          <w:sz w:val="22"/>
          <w:szCs w:val="22"/>
          <w:color w:val="auto"/>
        </w:rPr>
        <w:t>The following is hereby added to the ESA as a new and separate Section 15.05A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Section 15.05B and is inserted immediately after Section 15.05 of the ESA:</w:t>
      </w:r>
    </w:p>
    <w:p>
      <w:pPr>
        <w:spacing w:after="0" w:line="209" w:lineRule="exact"/>
        <w:rPr>
          <w:sz w:val="20"/>
          <w:szCs w:val="20"/>
          <w:color w:val="auto"/>
        </w:rPr>
      </w:pPr>
    </w:p>
    <w:p>
      <w:pPr>
        <w:jc w:val="both"/>
        <w:ind w:left="660" w:firstLine="1297"/>
        <w:spacing w:after="0" w:line="256" w:lineRule="auto"/>
        <w:rPr>
          <w:sz w:val="20"/>
          <w:szCs w:val="20"/>
          <w:color w:val="auto"/>
        </w:rPr>
      </w:pPr>
      <w:r>
        <w:rPr>
          <w:rFonts w:ascii="Arial" w:cs="Arial" w:eastAsia="Arial" w:hAnsi="Arial"/>
          <w:sz w:val="22"/>
          <w:szCs w:val="22"/>
          <w:b w:val="1"/>
          <w:bCs w:val="1"/>
          <w:color w:val="auto"/>
        </w:rPr>
        <w:t xml:space="preserve">Section 15.05A </w:t>
      </w:r>
      <w:r>
        <w:rPr>
          <w:rFonts w:ascii="Arial" w:cs="Arial" w:eastAsia="Arial" w:hAnsi="Arial"/>
          <w:sz w:val="22"/>
          <w:szCs w:val="22"/>
          <w:b w:val="1"/>
          <w:bCs w:val="1"/>
          <w:u w:val="single" w:color="auto"/>
          <w:color w:val="auto"/>
        </w:rPr>
        <w:t>Fiscal Calendar</w:t>
      </w:r>
      <w:r>
        <w:rPr>
          <w:rFonts w:ascii="Arial" w:cs="Arial" w:eastAsia="Arial" w:hAnsi="Arial"/>
          <w:sz w:val="22"/>
          <w:szCs w:val="22"/>
          <w:b w:val="1"/>
          <w:bCs w:val="1"/>
          <w:color w:val="auto"/>
        </w:rPr>
        <w:t xml:space="preserve">. </w:t>
      </w:r>
      <w:r>
        <w:rPr>
          <w:rFonts w:ascii="Arial" w:cs="Arial" w:eastAsia="Arial" w:hAnsi="Arial"/>
          <w:sz w:val="22"/>
          <w:szCs w:val="22"/>
          <w:color w:val="auto"/>
        </w:rPr>
        <w:t>LLC’s fiscal year ends on the first Thursday after December 25 each year.</w:t>
      </w:r>
      <w:r>
        <w:rPr>
          <w:rFonts w:ascii="Arial" w:cs="Arial" w:eastAsia="Arial" w:hAnsi="Arial"/>
          <w:sz w:val="22"/>
          <w:szCs w:val="22"/>
          <w:b w:val="1"/>
          <w:bCs w:val="1"/>
          <w:color w:val="auto"/>
        </w:rPr>
        <w:t xml:space="preserve"> </w:t>
      </w:r>
      <w:r>
        <w:rPr>
          <w:rFonts w:ascii="Arial" w:cs="Arial" w:eastAsia="Arial" w:hAnsi="Arial"/>
          <w:sz w:val="22"/>
          <w:szCs w:val="22"/>
          <w:color w:val="auto"/>
        </w:rPr>
        <w:t>LLC shall not change its method of calculating its fiscal year (i) unless for a bona fide accounting reason, and (ii) in any event without prior written notice to Regal.</w:t>
      </w:r>
    </w:p>
    <w:p>
      <w:pPr>
        <w:spacing w:after="0" w:line="176" w:lineRule="exact"/>
        <w:rPr>
          <w:sz w:val="20"/>
          <w:szCs w:val="20"/>
          <w:color w:val="auto"/>
        </w:rPr>
      </w:pPr>
    </w:p>
    <w:p>
      <w:pPr>
        <w:jc w:val="both"/>
        <w:ind w:left="660" w:firstLine="1297"/>
        <w:spacing w:after="0" w:line="304" w:lineRule="auto"/>
        <w:rPr>
          <w:sz w:val="20"/>
          <w:szCs w:val="20"/>
          <w:color w:val="auto"/>
        </w:rPr>
      </w:pPr>
      <w:r>
        <w:rPr>
          <w:rFonts w:ascii="Arial" w:cs="Arial" w:eastAsia="Arial" w:hAnsi="Arial"/>
          <w:sz w:val="19"/>
          <w:szCs w:val="19"/>
          <w:b w:val="1"/>
          <w:bCs w:val="1"/>
          <w:color w:val="auto"/>
        </w:rPr>
        <w:t xml:space="preserve">Section 15.05B </w:t>
      </w:r>
      <w:r>
        <w:rPr>
          <w:rFonts w:ascii="Arial" w:cs="Arial" w:eastAsia="Arial" w:hAnsi="Arial"/>
          <w:sz w:val="19"/>
          <w:szCs w:val="19"/>
          <w:b w:val="1"/>
          <w:bCs w:val="1"/>
          <w:u w:val="single" w:color="auto"/>
          <w:color w:val="auto"/>
        </w:rPr>
        <w:t>No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date of the Second Amendment to the Agreement, LLC hereby</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represents and warrants to Regal that LLC has no Affiliates. LLC acknowledges and agrees that it shall not sell Advertising Services through Affiliates of LLC without Regal’s consent, and, if Regal so consents, then references in this Agreement to “revenue payable to LLC” or similar phrases shall be deemed to refer to “revenue payable to LLC or its Affiliates”.</w:t>
      </w:r>
    </w:p>
    <w:p>
      <w:pPr>
        <w:spacing w:after="0" w:line="141" w:lineRule="exact"/>
        <w:rPr>
          <w:sz w:val="20"/>
          <w:szCs w:val="20"/>
          <w:color w:val="auto"/>
        </w:rPr>
      </w:pPr>
    </w:p>
    <w:p>
      <w:pPr>
        <w:ind w:firstLine="8"/>
        <w:spacing w:after="0" w:line="263" w:lineRule="auto"/>
        <w:tabs>
          <w:tab w:leader="none" w:pos="918" w:val="left"/>
        </w:tabs>
        <w:numPr>
          <w:ilvl w:val="0"/>
          <w:numId w:val="5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Beverage Agreement Advertising Rate. </w:t>
      </w:r>
      <w:r>
        <w:rPr>
          <w:rFonts w:ascii="Arial" w:cs="Arial" w:eastAsia="Arial" w:hAnsi="Arial"/>
          <w:sz w:val="22"/>
          <w:szCs w:val="22"/>
          <w:color w:val="auto"/>
        </w:rPr>
        <w:t>The first paragraph of Section B of</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Exhibit B</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is hereby deleted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replaced with the following:</w:t>
      </w:r>
    </w:p>
    <w:p>
      <w:pPr>
        <w:spacing w:after="0" w:line="215"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The initial Beverage Agreement Advertising Rate as of the Original Effective Date is $[***] in Regal Attendance for a thirty second (:30) advertisement. The Beverage Agreement Advertising Rate shall (i) increase eight percent (8%) per year for each of the first two fiscal years beginning at the end of LLC’s 2007 fiscal year; (ii) beginning at the end of the period set forth in clause (i) above, increase six percent (6%) per year for each of the next two fiscal years; and (iii) beginning at the end of the period set forth in clause (ii) above until November 1, 2019, increase in an amount equal to the annual percentage increase in the advertising rates per thousand attendees charged by LLC to unaffiliated third parties (excluding the advertising associated with the Beverage Agreement) for on-screen advertising in the Pre-Feature Program during the last six (6) minutes preceding the start of the Trailers for each fiscal year, but in no event more than the highest advertising rate per thousand attendees being then-charged by LLC. Commencing on November 1, 2019, the Beverage Agreement Advertising Rate shall be $[***] in Regal Attendance for a thirty second (:30) advertisement, which is the cost per mille charged by LLC to Regal as of the beginning of LLC’s 2019 fiscal year for the Beverage Slot and shall increase two percent (2%) annually (1) effective beginning the first day of the 2020 fiscal year and (2) thereafter on each fiscal year anniversary of such date.</w:t>
      </w:r>
    </w:p>
    <w:p>
      <w:pPr>
        <w:spacing w:after="0" w:line="19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For clarity, prior to November 1, 2019, the existence of this Amendment shall not impact the then-current Beverage Agreement Advertising Rate.</w:t>
      </w:r>
    </w:p>
    <w:p>
      <w:pPr>
        <w:spacing w:after="0" w:line="175" w:lineRule="exact"/>
        <w:rPr>
          <w:sz w:val="20"/>
          <w:szCs w:val="20"/>
          <w:color w:val="auto"/>
        </w:rPr>
      </w:pPr>
    </w:p>
    <w:p>
      <w:pPr>
        <w:ind w:right="20" w:firstLine="8"/>
        <w:spacing w:after="0" w:line="263" w:lineRule="auto"/>
        <w:tabs>
          <w:tab w:leader="none" w:pos="918" w:val="left"/>
        </w:tabs>
        <w:numPr>
          <w:ilvl w:val="0"/>
          <w:numId w:val="5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Calculation of Exhibitor Allocation, Theatre Access Fee and Run-Out Obligations. </w:t>
      </w:r>
      <w:r>
        <w:rPr>
          <w:rFonts w:ascii="Arial" w:cs="Arial" w:eastAsia="Arial" w:hAnsi="Arial"/>
          <w:sz w:val="22"/>
          <w:szCs w:val="22"/>
          <w:u w:val="single" w:color="auto"/>
          <w:color w:val="auto"/>
        </w:rPr>
        <w:t>Schedule 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is hereby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amended as follows: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26" w:name="page27"/>
    <w:bookmarkEnd w:id="26"/>
    <w:p>
      <w:pPr>
        <w:ind w:left="420" w:hanging="415"/>
        <w:spacing w:after="0" w:line="263" w:lineRule="auto"/>
        <w:tabs>
          <w:tab w:leader="none" w:pos="420" w:val="left"/>
        </w:tabs>
        <w:numPr>
          <w:ilvl w:val="0"/>
          <w:numId w:val="5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Definitions: </w:t>
      </w:r>
      <w:r>
        <w:rPr>
          <w:rFonts w:ascii="Arial" w:cs="Arial" w:eastAsia="Arial" w:hAnsi="Arial"/>
          <w:sz w:val="22"/>
          <w:szCs w:val="22"/>
          <w:color w:val="auto"/>
        </w:rPr>
        <w:t>The following definitions are hereby added to</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and inserted alphabetically into Section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thereof:</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Post-Showtime Opt-In Attendance</w:t>
      </w:r>
      <w:r>
        <w:rPr>
          <w:rFonts w:ascii="Arial" w:cs="Arial" w:eastAsia="Arial" w:hAnsi="Arial"/>
          <w:sz w:val="22"/>
          <w:szCs w:val="22"/>
          <w:color w:val="auto"/>
        </w:rPr>
        <w:t>” means [***].</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Post-Showtime Opt-In Revenue</w:t>
      </w:r>
      <w:r>
        <w:rPr>
          <w:rFonts w:ascii="Arial" w:cs="Arial" w:eastAsia="Arial" w:hAnsi="Arial"/>
          <w:sz w:val="22"/>
          <w:szCs w:val="22"/>
          <w:color w:val="auto"/>
        </w:rPr>
        <w:t>” means [***].</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Post-Showtime Theatre Access Pool</w:t>
      </w:r>
      <w:r>
        <w:rPr>
          <w:rFonts w:ascii="Arial" w:cs="Arial" w:eastAsia="Arial" w:hAnsi="Arial"/>
          <w:sz w:val="22"/>
          <w:szCs w:val="22"/>
          <w:color w:val="auto"/>
        </w:rPr>
        <w:t>” means [***].</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jc w:val="both"/>
        <w:ind w:left="3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Cinemark Post-Showtime Theatre Access Fee</w:t>
      </w:r>
      <w:r>
        <w:rPr>
          <w:rFonts w:ascii="Arial" w:cs="Arial" w:eastAsia="Arial" w:hAnsi="Arial"/>
          <w:sz w:val="22"/>
          <w:szCs w:val="22"/>
          <w:color w:val="auto"/>
        </w:rPr>
        <w:t>” means the Cinemark Post-Showtime Theatre Access Fee, calculated pursuant to the Cinemark Exhibitor Agreement.</w:t>
      </w:r>
    </w:p>
    <w:p>
      <w:pPr>
        <w:spacing w:after="0" w:line="162" w:lineRule="exact"/>
        <w:rPr>
          <w:sz w:val="20"/>
          <w:szCs w:val="20"/>
          <w:color w:val="auto"/>
        </w:rPr>
      </w:pPr>
    </w:p>
    <w:p>
      <w:pPr>
        <w:jc w:val="both"/>
        <w:ind w:left="3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Network Split</w:t>
      </w:r>
      <w:r>
        <w:rPr>
          <w:rFonts w:ascii="Arial" w:cs="Arial" w:eastAsia="Arial" w:hAnsi="Arial"/>
          <w:sz w:val="22"/>
          <w:szCs w:val="22"/>
          <w:color w:val="auto"/>
        </w:rPr>
        <w:t>” means displaying [***] concurrent advertisers’ Platinum Spots in different auditoriums in Theatres that receive the applicable advertiser’s Platinum Spot in a Play List (but never, for the avoidance of doubsdfsft, in any auditorium in the same Play List). The [***] Network Splits will always add up to 100% of the auditoriums in 100% of the Theatres, except as provided for in Section 4.01(b)(i)(B)(I)(10).</w:t>
      </w:r>
    </w:p>
    <w:p>
      <w:pPr>
        <w:spacing w:after="0" w:line="180" w:lineRule="exact"/>
        <w:rPr>
          <w:sz w:val="20"/>
          <w:szCs w:val="20"/>
          <w:color w:val="auto"/>
        </w:rPr>
      </w:pPr>
    </w:p>
    <w:p>
      <w:pPr>
        <w:jc w:val="both"/>
        <w:ind w:left="36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Participating Regal Attendance</w:t>
      </w:r>
      <w:r>
        <w:rPr>
          <w:rFonts w:ascii="Arial" w:cs="Arial" w:eastAsia="Arial" w:hAnsi="Arial"/>
          <w:sz w:val="19"/>
          <w:szCs w:val="19"/>
          <w:color w:val="auto"/>
        </w:rPr>
        <w:t>” means the Regal Attendance for auditoriums in Theatres that: (a) for Platinum Spots, actually displayed the applicable Platinum Spot(s) as Platinum Spot(s) in the Trailer Pod Inventory, and (b) [***].</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Post-Showtime Content Opt-Out</w:t>
      </w:r>
      <w:r>
        <w:rPr>
          <w:rFonts w:ascii="Arial" w:cs="Arial" w:eastAsia="Arial" w:hAnsi="Arial"/>
          <w:sz w:val="19"/>
          <w:szCs w:val="19"/>
          <w:color w:val="auto"/>
        </w:rPr>
        <w:t>” means the process of opting out of Post-Showtime Inventory under Section 4.03A.</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Content Participating Attendance</w:t>
      </w:r>
      <w:r>
        <w:rPr>
          <w:rFonts w:ascii="Arial" w:cs="Arial" w:eastAsia="Arial" w:hAnsi="Arial"/>
          <w:sz w:val="22"/>
          <w:szCs w:val="22"/>
          <w:color w:val="auto"/>
        </w:rPr>
        <w:t>” means [***].</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Content Theatre Access Fee</w:t>
      </w:r>
      <w:r>
        <w:rPr>
          <w:rFonts w:ascii="Arial" w:cs="Arial" w:eastAsia="Arial" w:hAnsi="Arial"/>
          <w:sz w:val="22"/>
          <w:szCs w:val="22"/>
          <w:color w:val="auto"/>
        </w:rPr>
        <w:t>” means [***].</w:t>
      </w:r>
    </w:p>
    <w:p>
      <w:pPr>
        <w:spacing w:after="0" w:line="220" w:lineRule="exact"/>
        <w:rPr>
          <w:sz w:val="20"/>
          <w:szCs w:val="20"/>
          <w:color w:val="auto"/>
        </w:rPr>
      </w:pPr>
    </w:p>
    <w:p>
      <w:pPr>
        <w:jc w:val="both"/>
        <w:ind w:left="3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Fee</w:t>
      </w:r>
      <w:r>
        <w:rPr>
          <w:rFonts w:ascii="Arial" w:cs="Arial" w:eastAsia="Arial" w:hAnsi="Arial"/>
          <w:sz w:val="22"/>
          <w:szCs w:val="22"/>
          <w:color w:val="auto"/>
        </w:rPr>
        <w:t>” means a monthly payment from LLC to Regal in consideration for Theatres’ participation in Post-Showtime Advertising Services, which shall be the sum of (i) the Regal Post-Showtime Theatre Access Fee and (ii) the Post-Showtime Content Theatre Access Fee.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Fee per Patron</w:t>
      </w:r>
      <w:r>
        <w:rPr>
          <w:rFonts w:ascii="Arial" w:cs="Arial" w:eastAsia="Arial" w:hAnsi="Arial"/>
          <w:sz w:val="22"/>
          <w:szCs w:val="22"/>
          <w:color w:val="auto"/>
        </w:rPr>
        <w:t>” means the fee per patron as follows:</w:t>
      </w:r>
    </w:p>
    <w:p>
      <w:pPr>
        <w:spacing w:after="0" w:line="226" w:lineRule="exact"/>
        <w:rPr>
          <w:sz w:val="20"/>
          <w:szCs w:val="20"/>
          <w:color w:val="auto"/>
        </w:rPr>
      </w:pPr>
    </w:p>
    <w:p>
      <w:pPr>
        <w:ind w:left="1320" w:hanging="315"/>
        <w:spacing w:after="0"/>
        <w:tabs>
          <w:tab w:leader="none" w:pos="13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Beginning on November 1, 2019, the Post-Showtime Theatre Access Fee per Patron will be $0.025.</w:t>
      </w:r>
    </w:p>
    <w:p>
      <w:pPr>
        <w:spacing w:after="0" w:line="21" w:lineRule="exact"/>
        <w:rPr>
          <w:rFonts w:ascii="Arial" w:cs="Arial" w:eastAsia="Arial" w:hAnsi="Arial"/>
          <w:sz w:val="22"/>
          <w:szCs w:val="22"/>
          <w:color w:val="auto"/>
        </w:rPr>
      </w:pPr>
    </w:p>
    <w:p>
      <w:pPr>
        <w:ind w:left="1320" w:hanging="315"/>
        <w:spacing w:after="0"/>
        <w:tabs>
          <w:tab w:leader="none" w:pos="13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Beginning on November 1, 2020, the Post-Showtime Theatre Access Fee per Patron will increase to $0.0375.</w:t>
      </w:r>
    </w:p>
    <w:p>
      <w:pPr>
        <w:spacing w:after="0" w:line="38" w:lineRule="exact"/>
        <w:rPr>
          <w:rFonts w:ascii="Arial" w:cs="Arial" w:eastAsia="Arial" w:hAnsi="Arial"/>
          <w:sz w:val="19"/>
          <w:szCs w:val="19"/>
          <w:color w:val="auto"/>
        </w:rPr>
      </w:pPr>
    </w:p>
    <w:p>
      <w:pPr>
        <w:ind w:left="1320" w:hanging="315"/>
        <w:spacing w:after="0"/>
        <w:tabs>
          <w:tab w:leader="none" w:pos="13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Beginning on November 1, 2021, the Post-Showtime Theatre Access Fee per Patron will increase to $0.05.</w:t>
      </w:r>
    </w:p>
    <w:p>
      <w:pPr>
        <w:spacing w:after="0" w:line="38" w:lineRule="exact"/>
        <w:rPr>
          <w:rFonts w:ascii="Arial" w:cs="Arial" w:eastAsia="Arial" w:hAnsi="Arial"/>
          <w:sz w:val="19"/>
          <w:szCs w:val="19"/>
          <w:color w:val="auto"/>
        </w:rPr>
      </w:pPr>
    </w:p>
    <w:p>
      <w:pPr>
        <w:ind w:left="1320" w:hanging="315"/>
        <w:spacing w:after="0" w:line="243" w:lineRule="auto"/>
        <w:tabs>
          <w:tab w:leader="none" w:pos="13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Beginning on November 1, 2022, the Post-Showtime Theater Access Fee per Patron shall increase by four percent (4%).</w:t>
      </w:r>
    </w:p>
    <w:p>
      <w:pPr>
        <w:ind w:left="1320" w:hanging="315"/>
        <w:spacing w:after="0" w:line="246" w:lineRule="auto"/>
        <w:tabs>
          <w:tab w:leader="none" w:pos="13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On November 1, 2027 and every five (5) years thereafter on November 1, the Post-Showtime Theatre Access Fee per Patron shall increase by eight percent (8%).</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Post-Showtime Theatre Access Pool Percentage</w:t>
      </w:r>
      <w:r>
        <w:rPr>
          <w:rFonts w:ascii="Arial" w:cs="Arial" w:eastAsia="Arial" w:hAnsi="Arial"/>
          <w:sz w:val="22"/>
          <w:szCs w:val="22"/>
          <w:color w:val="auto"/>
        </w:rPr>
        <w:t>” means [***].</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Pro-Rated Platinum Minimum Ratio</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 Section E.</w:t>
      </w:r>
    </w:p>
    <w:p>
      <w:pPr>
        <w:spacing w:after="0" w:line="200" w:lineRule="exact"/>
        <w:rPr>
          <w:sz w:val="20"/>
          <w:szCs w:val="20"/>
          <w:color w:val="auto"/>
        </w:rPr>
      </w:pPr>
    </w:p>
    <w:p>
      <w:pPr>
        <w:spacing w:after="0" w:line="26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540" w:top="591"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Attendance Allocation</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 Section 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Post-Showtime Opt-In Revenue</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Post-Showtime Opt-Out Attendance</w:t>
      </w:r>
      <w:r>
        <w:rPr>
          <w:rFonts w:ascii="Arial" w:cs="Arial" w:eastAsia="Arial" w:hAnsi="Arial"/>
          <w:sz w:val="22"/>
          <w:szCs w:val="22"/>
          <w:color w:val="auto"/>
        </w:rPr>
        <w:t>” means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Post-Showtime Opt-Out Revenue</w:t>
      </w:r>
      <w:r>
        <w:rPr>
          <w:rFonts w:ascii="Arial" w:cs="Arial" w:eastAsia="Arial" w:hAnsi="Arial"/>
          <w:sz w:val="22"/>
          <w:szCs w:val="22"/>
          <w:color w:val="auto"/>
        </w:rPr>
        <w:t>” means [***].</w:t>
      </w:r>
    </w:p>
    <w:p>
      <w:pPr>
        <w:spacing w:after="0" w:line="220" w:lineRule="exact"/>
        <w:rPr>
          <w:sz w:val="20"/>
          <w:szCs w:val="20"/>
          <w:color w:val="auto"/>
        </w:rPr>
      </w:pPr>
    </w:p>
    <w:p>
      <w:pPr>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Post-Showtime Theatre Access Fee</w:t>
      </w:r>
      <w:r>
        <w:rPr>
          <w:rFonts w:ascii="Arial" w:cs="Arial" w:eastAsia="Arial" w:hAnsi="Arial"/>
          <w:sz w:val="22"/>
          <w:szCs w:val="22"/>
          <w:color w:val="auto"/>
        </w:rPr>
        <w:t>” means the product of (i) the Post-Showtime Theatre Access Fee per Patron and (ii) Regal Attendance for the applicable fiscal month.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Pro-Rated Platinum Revenue Minimum</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Schedule 1</w:t>
      </w:r>
      <w:r>
        <w:rPr>
          <w:rFonts w:ascii="Arial" w:cs="Arial" w:eastAsia="Arial" w:hAnsi="Arial"/>
          <w:sz w:val="22"/>
          <w:szCs w:val="22"/>
          <w:color w:val="auto"/>
        </w:rPr>
        <w:t>, Section 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Regal Pro-Rated Platinum Revenue Trailer Pod Fee</w:t>
      </w:r>
      <w:r>
        <w:rPr>
          <w:rFonts w:ascii="Arial" w:cs="Arial" w:eastAsia="Arial" w:hAnsi="Arial"/>
          <w:sz w:val="21"/>
          <w:szCs w:val="21"/>
          <w:color w:val="auto"/>
        </w:rPr>
        <w:t xml:space="preserve">” has the meaning assigned to it in </w:t>
      </w:r>
      <w:r>
        <w:rPr>
          <w:rFonts w:ascii="Arial" w:cs="Arial" w:eastAsia="Arial" w:hAnsi="Arial"/>
          <w:sz w:val="21"/>
          <w:szCs w:val="21"/>
          <w:u w:val="single" w:color="auto"/>
          <w:color w:val="auto"/>
        </w:rPr>
        <w:t>Schedule 1</w:t>
      </w:r>
      <w:r>
        <w:rPr>
          <w:rFonts w:ascii="Arial" w:cs="Arial" w:eastAsia="Arial" w:hAnsi="Arial"/>
          <w:sz w:val="21"/>
          <w:szCs w:val="21"/>
          <w:color w:val="auto"/>
        </w:rPr>
        <w:t>, Section 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Regal Spot Trailer Pod Fees</w:t>
      </w:r>
      <w:r>
        <w:rPr>
          <w:rFonts w:ascii="Arial" w:cs="Arial" w:eastAsia="Arial" w:hAnsi="Arial"/>
          <w:sz w:val="22"/>
          <w:szCs w:val="22"/>
          <w:color w:val="auto"/>
        </w:rPr>
        <w:t>” means Regal’s Trailer Pod Fees for any [***] Platinum Spot.</w:t>
      </w:r>
    </w:p>
    <w:p>
      <w:pPr>
        <w:spacing w:after="0" w:line="220" w:lineRule="exact"/>
        <w:rPr>
          <w:sz w:val="20"/>
          <w:szCs w:val="20"/>
          <w:color w:val="auto"/>
        </w:rPr>
      </w:pPr>
    </w:p>
    <w:p>
      <w:pPr>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Spot Trailer Pod Revenue</w:t>
      </w:r>
      <w:r>
        <w:rPr>
          <w:rFonts w:ascii="Arial" w:cs="Arial" w:eastAsia="Arial" w:hAnsi="Arial"/>
          <w:sz w:val="22"/>
          <w:szCs w:val="22"/>
          <w:color w:val="auto"/>
        </w:rPr>
        <w:t>” means all revenue generated from any [***] Platinum Spot as Trailer Pod Inventory that was displayed in the applicable period.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The following definition in Section A of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to the ESA is hereby deleted and replaced with the following: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left="720" w:right="20" w:hanging="415"/>
        <w:spacing w:after="0" w:line="253" w:lineRule="auto"/>
        <w:tabs>
          <w:tab w:leader="none" w:pos="720"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Definition References: </w:t>
      </w:r>
      <w:r>
        <w:rPr>
          <w:rFonts w:ascii="Arial" w:cs="Arial" w:eastAsia="Arial" w:hAnsi="Arial"/>
          <w:sz w:val="22"/>
          <w:szCs w:val="22"/>
          <w:color w:val="auto"/>
        </w:rPr>
        <w:t>The Parties agree that the table at the end of Section A of</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containing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references to the definitions in the main body of the ESA is hereby updated to include all new and updated definitions set forth in the main body of this Amendment.</w:t>
      </w:r>
    </w:p>
    <w:p>
      <w:pPr>
        <w:spacing w:after="0" w:line="226" w:lineRule="exact"/>
        <w:rPr>
          <w:rFonts w:ascii="Arial" w:cs="Arial" w:eastAsia="Arial" w:hAnsi="Arial"/>
          <w:sz w:val="22"/>
          <w:szCs w:val="22"/>
          <w:color w:val="auto"/>
        </w:rPr>
      </w:pPr>
    </w:p>
    <w:p>
      <w:pPr>
        <w:jc w:val="both"/>
        <w:ind w:left="720" w:hanging="415"/>
        <w:spacing w:after="0" w:line="253" w:lineRule="auto"/>
        <w:tabs>
          <w:tab w:leader="none" w:pos="720"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Section C: </w:t>
      </w:r>
      <w:r>
        <w:rPr>
          <w:rFonts w:ascii="Arial" w:cs="Arial" w:eastAsia="Arial" w:hAnsi="Arial"/>
          <w:sz w:val="22"/>
          <w:szCs w:val="22"/>
          <w:color w:val="auto"/>
        </w:rPr>
        <w:t>The calculation for “Aggregate Advertising Revenue” in Section 2(c) of Section C of</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ESA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hereby deleted and replaced with the definition of Aggregate Advertising Revenue as defined in Section 1.B. of this Amendment.</w:t>
      </w:r>
    </w:p>
    <w:p>
      <w:pPr>
        <w:spacing w:after="0" w:line="226" w:lineRule="exact"/>
        <w:rPr>
          <w:rFonts w:ascii="Arial" w:cs="Arial" w:eastAsia="Arial" w:hAnsi="Arial"/>
          <w:sz w:val="22"/>
          <w:szCs w:val="22"/>
          <w:color w:val="auto"/>
        </w:rPr>
      </w:pPr>
    </w:p>
    <w:p>
      <w:pPr>
        <w:ind w:left="720" w:right="9760" w:hanging="415"/>
        <w:spacing w:after="0" w:line="263" w:lineRule="auto"/>
        <w:tabs>
          <w:tab w:leader="none" w:pos="720"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Section D: </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720" w:hanging="415"/>
        <w:spacing w:after="0"/>
        <w:tabs>
          <w:tab w:leader="none" w:pos="720" w:val="left"/>
        </w:tabs>
        <w:numPr>
          <w:ilvl w:val="0"/>
          <w:numId w:val="5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New Section E: </w:t>
      </w:r>
      <w:r>
        <w:rPr>
          <w:rFonts w:ascii="Arial" w:cs="Arial" w:eastAsia="Arial" w:hAnsi="Arial"/>
          <w:sz w:val="19"/>
          <w:szCs w:val="19"/>
          <w:u w:val="single" w:color="auto"/>
          <w:color w:val="auto"/>
        </w:rPr>
        <w:t>Schedule 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ESA is hereby amended by adding at the end thereof, and as Section E thereto, the</w:t>
      </w:r>
    </w:p>
    <w:p>
      <w:pPr>
        <w:spacing w:after="0" w:line="56" w:lineRule="exact"/>
        <w:rPr>
          <w:rFonts w:ascii="Arial" w:cs="Arial" w:eastAsia="Arial" w:hAnsi="Arial"/>
          <w:sz w:val="19"/>
          <w:szCs w:val="19"/>
          <w:color w:val="auto"/>
        </w:rPr>
      </w:pPr>
    </w:p>
    <w:p>
      <w:pPr>
        <w:ind w:left="720"/>
        <w:spacing w:after="0"/>
        <w:rPr>
          <w:rFonts w:ascii="Arial" w:cs="Arial" w:eastAsia="Arial" w:hAnsi="Arial"/>
          <w:sz w:val="19"/>
          <w:szCs w:val="19"/>
          <w:color w:val="auto"/>
        </w:rPr>
      </w:pPr>
      <w:r>
        <w:rPr>
          <w:rFonts w:ascii="Arial" w:cs="Arial" w:eastAsia="Arial" w:hAnsi="Arial"/>
          <w:sz w:val="19"/>
          <w:szCs w:val="19"/>
          <w:color w:val="auto"/>
        </w:rPr>
        <w:t xml:space="preserve">section titled “Section E: Post-Showtime Theatre Access Fees and Trailer Pod Fees”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277" w:lineRule="exact"/>
        <w:rPr>
          <w:sz w:val="20"/>
          <w:szCs w:val="20"/>
          <w:color w:val="auto"/>
        </w:rPr>
      </w:pPr>
    </w:p>
    <w:p>
      <w:pPr>
        <w:jc w:val="both"/>
        <w:ind w:firstLine="8"/>
        <w:spacing w:after="0" w:line="253" w:lineRule="auto"/>
        <w:tabs>
          <w:tab w:leader="none" w:pos="918" w:val="left"/>
        </w:tabs>
        <w:numPr>
          <w:ilvl w:val="0"/>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Remaining Terms; Conflicts. </w:t>
      </w:r>
      <w:r>
        <w:rPr>
          <w:rFonts w:ascii="Arial" w:cs="Arial" w:eastAsia="Arial" w:hAnsi="Arial"/>
          <w:sz w:val="22"/>
          <w:szCs w:val="22"/>
          <w:color w:val="auto"/>
        </w:rPr>
        <w:t>Except as modified by this Amendment, all terms and conditions of the ESA shall remain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full force and effect. To the extent there is a conflict between the terms of the ESA and this Amendment, the terms of this Amendment shall control.</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5" w:right="239" w:bottom="1440" w:gutter="0" w:footer="0" w:header="0"/>
        </w:sectPr>
      </w:pPr>
    </w:p>
    <w:bookmarkStart w:id="28" w:name="page29"/>
    <w:bookmarkEnd w:id="28"/>
    <w:p>
      <w:pPr>
        <w:spacing w:after="0" w:line="372"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by their respective duly authorized representatives, executed this Amendment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Amendment Effective Date.</w:t>
      </w:r>
    </w:p>
    <w:p>
      <w:pPr>
        <w:spacing w:after="0" w:line="30"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5360" w:type="dxa"/>
            <w:vAlign w:val="bottom"/>
            <w:gridSpan w:val="2"/>
          </w:tcPr>
          <w:p>
            <w:pPr>
              <w:ind w:left="40"/>
              <w:spacing w:after="0"/>
              <w:rPr>
                <w:sz w:val="20"/>
                <w:szCs w:val="20"/>
                <w:color w:val="auto"/>
              </w:rPr>
            </w:pPr>
            <w:r>
              <w:rPr>
                <w:rFonts w:ascii="Arial" w:cs="Arial" w:eastAsia="Arial" w:hAnsi="Arial"/>
                <w:sz w:val="22"/>
                <w:szCs w:val="22"/>
                <w:b w:val="1"/>
                <w:bCs w:val="1"/>
                <w:color w:val="auto"/>
              </w:rPr>
              <w:t>National CineMedia, LLC</w:t>
            </w:r>
          </w:p>
        </w:tc>
        <w:tc>
          <w:tcPr>
            <w:tcW w:w="5140" w:type="dxa"/>
            <w:vAlign w:val="bottom"/>
          </w:tcPr>
          <w:p>
            <w:pPr>
              <w:ind w:left="40"/>
              <w:spacing w:after="0"/>
              <w:rPr>
                <w:sz w:val="20"/>
                <w:szCs w:val="20"/>
                <w:color w:val="auto"/>
              </w:rPr>
            </w:pPr>
            <w:r>
              <w:rPr>
                <w:rFonts w:ascii="Arial" w:cs="Arial" w:eastAsia="Arial" w:hAnsi="Arial"/>
                <w:sz w:val="22"/>
                <w:szCs w:val="22"/>
                <w:b w:val="1"/>
                <w:bCs w:val="1"/>
                <w:color w:val="auto"/>
              </w:rPr>
              <w:t>Regal Cinemas, Inc.</w:t>
            </w:r>
          </w:p>
        </w:tc>
      </w:tr>
      <w:tr>
        <w:trPr>
          <w:trHeight w:val="281"/>
        </w:trPr>
        <w:tc>
          <w:tcPr>
            <w:tcW w:w="5360" w:type="dxa"/>
            <w:vAlign w:val="bottom"/>
            <w:gridSpan w:val="2"/>
          </w:tcPr>
          <w:p>
            <w:pPr>
              <w:ind w:left="40"/>
              <w:spacing w:after="0"/>
              <w:rPr>
                <w:sz w:val="20"/>
                <w:szCs w:val="20"/>
                <w:color w:val="auto"/>
              </w:rPr>
            </w:pPr>
            <w:r>
              <w:rPr>
                <w:rFonts w:ascii="Arial" w:cs="Arial" w:eastAsia="Arial" w:hAnsi="Arial"/>
                <w:sz w:val="22"/>
                <w:szCs w:val="22"/>
                <w:b w:val="1"/>
                <w:bCs w:val="1"/>
                <w:color w:val="auto"/>
              </w:rPr>
              <w:t xml:space="preserve">By National CineMedia, Inc., </w:t>
            </w:r>
            <w:r>
              <w:rPr>
                <w:rFonts w:ascii="Arial" w:cs="Arial" w:eastAsia="Arial" w:hAnsi="Arial"/>
                <w:sz w:val="22"/>
                <w:szCs w:val="22"/>
                <w:color w:val="auto"/>
              </w:rPr>
              <w:t>its manager</w:t>
            </w:r>
          </w:p>
        </w:tc>
        <w:tc>
          <w:tcPr>
            <w:tcW w:w="5140" w:type="dxa"/>
            <w:vAlign w:val="bottom"/>
          </w:tcPr>
          <w:p>
            <w:pPr>
              <w:spacing w:after="0"/>
              <w:rPr>
                <w:sz w:val="24"/>
                <w:szCs w:val="24"/>
                <w:color w:val="auto"/>
              </w:rPr>
            </w:pPr>
          </w:p>
        </w:tc>
      </w:tr>
      <w:tr>
        <w:trPr>
          <w:trHeight w:val="497"/>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Tom Lesinski</w:t>
            </w:r>
          </w:p>
        </w:tc>
        <w:tc>
          <w:tcPr>
            <w:tcW w:w="400" w:type="dxa"/>
            <w:vAlign w:val="bottom"/>
          </w:tcPr>
          <w:p>
            <w:pPr>
              <w:spacing w:after="0"/>
              <w:rPr>
                <w:sz w:val="24"/>
                <w:szCs w:val="24"/>
                <w:color w:val="auto"/>
              </w:rPr>
            </w:pP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Vincent Fusco</w:t>
            </w:r>
          </w:p>
        </w:tc>
      </w:tr>
      <w:tr>
        <w:trPr>
          <w:trHeight w:val="280"/>
        </w:trPr>
        <w:tc>
          <w:tcPr>
            <w:tcW w:w="5360" w:type="dxa"/>
            <w:vAlign w:val="bottom"/>
            <w:gridSpan w:val="2"/>
          </w:tcPr>
          <w:p>
            <w:pPr>
              <w:ind w:left="40"/>
              <w:spacing w:after="0"/>
              <w:rPr>
                <w:sz w:val="20"/>
                <w:szCs w:val="20"/>
                <w:color w:val="auto"/>
              </w:rPr>
            </w:pPr>
            <w:r>
              <w:rPr>
                <w:rFonts w:ascii="Arial" w:cs="Arial" w:eastAsia="Arial" w:hAnsi="Arial"/>
                <w:sz w:val="22"/>
                <w:szCs w:val="22"/>
                <w:color w:val="auto"/>
              </w:rPr>
              <w:t>Signature</w:t>
            </w:r>
          </w:p>
        </w:tc>
        <w:tc>
          <w:tcPr>
            <w:tcW w:w="5140" w:type="dxa"/>
            <w:vAlign w:val="bottom"/>
          </w:tcPr>
          <w:p>
            <w:pPr>
              <w:ind w:left="40"/>
              <w:spacing w:after="0"/>
              <w:rPr>
                <w:sz w:val="20"/>
                <w:szCs w:val="20"/>
                <w:color w:val="auto"/>
              </w:rPr>
            </w:pPr>
            <w:r>
              <w:rPr>
                <w:rFonts w:ascii="Arial" w:cs="Arial" w:eastAsia="Arial" w:hAnsi="Arial"/>
                <w:sz w:val="22"/>
                <w:szCs w:val="22"/>
                <w:color w:val="auto"/>
              </w:rPr>
              <w:t>Signature</w:t>
            </w:r>
          </w:p>
        </w:tc>
      </w:tr>
      <w:tr>
        <w:trPr>
          <w:trHeight w:val="30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Tom Lesinski</w:t>
            </w:r>
          </w:p>
        </w:tc>
        <w:tc>
          <w:tcPr>
            <w:tcW w:w="400" w:type="dxa"/>
            <w:vAlign w:val="bottom"/>
          </w:tcPr>
          <w:p>
            <w:pPr>
              <w:spacing w:after="0"/>
              <w:rPr>
                <w:sz w:val="24"/>
                <w:szCs w:val="24"/>
                <w:color w:val="auto"/>
              </w:rPr>
            </w:pP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Vincent Fusco</w:t>
            </w:r>
          </w:p>
        </w:tc>
      </w:tr>
      <w:tr>
        <w:trPr>
          <w:trHeight w:val="280"/>
        </w:trPr>
        <w:tc>
          <w:tcPr>
            <w:tcW w:w="5360" w:type="dxa"/>
            <w:vAlign w:val="bottom"/>
            <w:gridSpan w:val="2"/>
          </w:tcPr>
          <w:p>
            <w:pPr>
              <w:ind w:left="40"/>
              <w:spacing w:after="0"/>
              <w:rPr>
                <w:sz w:val="20"/>
                <w:szCs w:val="20"/>
                <w:color w:val="auto"/>
              </w:rPr>
            </w:pPr>
            <w:r>
              <w:rPr>
                <w:rFonts w:ascii="Arial" w:cs="Arial" w:eastAsia="Arial" w:hAnsi="Arial"/>
                <w:sz w:val="22"/>
                <w:szCs w:val="22"/>
                <w:color w:val="auto"/>
              </w:rPr>
              <w:t>Printed Name</w:t>
            </w:r>
          </w:p>
        </w:tc>
        <w:tc>
          <w:tcPr>
            <w:tcW w:w="5140" w:type="dxa"/>
            <w:vAlign w:val="bottom"/>
          </w:tcPr>
          <w:p>
            <w:pPr>
              <w:ind w:left="40"/>
              <w:spacing w:after="0"/>
              <w:rPr>
                <w:sz w:val="20"/>
                <w:szCs w:val="20"/>
                <w:color w:val="auto"/>
              </w:rPr>
            </w:pPr>
            <w:r>
              <w:rPr>
                <w:rFonts w:ascii="Arial" w:cs="Arial" w:eastAsia="Arial" w:hAnsi="Arial"/>
                <w:sz w:val="22"/>
                <w:szCs w:val="22"/>
                <w:color w:val="auto"/>
              </w:rPr>
              <w:t>Printed Name</w:t>
            </w:r>
          </w:p>
        </w:tc>
      </w:tr>
      <w:tr>
        <w:trPr>
          <w:trHeight w:val="30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Chief Executive Officer</w:t>
            </w:r>
          </w:p>
        </w:tc>
        <w:tc>
          <w:tcPr>
            <w:tcW w:w="400" w:type="dxa"/>
            <w:vAlign w:val="bottom"/>
          </w:tcPr>
          <w:p>
            <w:pPr>
              <w:spacing w:after="0"/>
              <w:rPr>
                <w:sz w:val="24"/>
                <w:szCs w:val="24"/>
                <w:color w:val="auto"/>
              </w:rPr>
            </w:pPr>
          </w:p>
        </w:tc>
        <w:tc>
          <w:tcPr>
            <w:tcW w:w="51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Senior Vice President, CFO</w:t>
            </w:r>
          </w:p>
        </w:tc>
      </w:tr>
      <w:tr>
        <w:trPr>
          <w:trHeight w:val="280"/>
        </w:trPr>
        <w:tc>
          <w:tcPr>
            <w:tcW w:w="5360" w:type="dxa"/>
            <w:vAlign w:val="bottom"/>
            <w:gridSpan w:val="2"/>
          </w:tcPr>
          <w:p>
            <w:pPr>
              <w:ind w:left="40"/>
              <w:spacing w:after="0"/>
              <w:rPr>
                <w:sz w:val="20"/>
                <w:szCs w:val="20"/>
                <w:color w:val="auto"/>
              </w:rPr>
            </w:pPr>
            <w:r>
              <w:rPr>
                <w:rFonts w:ascii="Arial" w:cs="Arial" w:eastAsia="Arial" w:hAnsi="Arial"/>
                <w:sz w:val="22"/>
                <w:szCs w:val="22"/>
                <w:color w:val="auto"/>
              </w:rPr>
              <w:t>Title</w:t>
            </w:r>
          </w:p>
        </w:tc>
        <w:tc>
          <w:tcPr>
            <w:tcW w:w="5140" w:type="dxa"/>
            <w:vAlign w:val="bottom"/>
          </w:tcPr>
          <w:p>
            <w:pPr>
              <w:ind w:left="4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68"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Signature Page to Second Amendment to Amended and Restated Exhibitor Services Agreement</w:t>
      </w:r>
    </w:p>
    <w:sectPr>
      <w:pgSz w:w="11900" w:h="16838" w:orient="portrait"/>
      <w:cols w:equalWidth="0" w:num="1">
        <w:col w:w="11240"/>
      </w:cols>
      <w:pgMar w:left="240" w:top="89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Roman"/>
      <w:start w:val="3"/>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lvl w:ilvl="1">
      <w:lvlJc w:val="left"/>
      <w:lvlText w:val="%2"/>
      <w:numFmt w:val="upperLetter"/>
      <w:start w:val="1"/>
    </w:lvl>
  </w:abstractNum>
  <w:abstractNum w:abstractNumId="5">
    <w:nsid w:val="1E7FF521"/>
    <w:multiLevelType w:val="hybridMultilevel"/>
    <w:lvl w:ilvl="0">
      <w:lvlJc w:val="left"/>
      <w:lvlText w:val="%1."/>
      <w:numFmt w:val="upperLetter"/>
      <w:start w:val="2"/>
    </w:lvl>
  </w:abstractNum>
  <w:abstractNum w:abstractNumId="6">
    <w:nsid w:val="7C3DBD3D"/>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7">
    <w:nsid w:val="737B8DDC"/>
    <w:multiLevelType w:val="hybridMultilevel"/>
    <w:lvl w:ilvl="0">
      <w:lvlJc w:val="left"/>
      <w:lvlText w:val="%1"/>
      <w:numFmt w:val="decimal"/>
      <w:start w:val="1"/>
    </w:lvl>
    <w:lvl w:ilvl="1">
      <w:lvlJc w:val="left"/>
      <w:lvlText w:val="%2."/>
      <w:numFmt w:val="upperLetter"/>
      <w:start w:val="4"/>
    </w:lvl>
    <w:lvl w:ilvl="2">
      <w:lvlJc w:val="left"/>
      <w:lvlText w:val="%3"/>
      <w:numFmt w:val="upperLetter"/>
      <w:start w:val="1"/>
    </w:lvl>
  </w:abstractNum>
  <w:abstractNum w:abstractNumId="8">
    <w:nsid w:val="6CEAF087"/>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9">
    <w:nsid w:val="22221A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4516DDE9"/>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11">
    <w:nsid w:val="3006C83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12">
    <w:nsid w:val="614FD4A1"/>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3">
    <w:nsid w:val="419AC241"/>
    <w:multiLevelType w:val="hybridMultilevel"/>
    <w:lvl w:ilvl="0">
      <w:lvlJc w:val="left"/>
      <w:lvlText w:val="(%1)"/>
      <w:numFmt w:val="upperLetter"/>
      <w:start w:val="1"/>
    </w:lvl>
  </w:abstractNum>
  <w:abstractNum w:abstractNumId="14">
    <w:nsid w:val="5577F8E1"/>
    <w:multiLevelType w:val="hybridMultilevel"/>
    <w:lvl w:ilvl="0">
      <w:lvlJc w:val="left"/>
      <w:lvlText w:val="(%1)"/>
      <w:numFmt w:val="upperLetter"/>
      <w:start w:val="2"/>
    </w:lvl>
    <w:lvl w:ilvl="1">
      <w:lvlJc w:val="left"/>
      <w:lvlText w:val="(%2)"/>
      <w:numFmt w:val="upperLetter"/>
      <w:start w:val="9"/>
    </w:lvl>
    <w:lvl w:ilvl="2">
      <w:lvlJc w:val="left"/>
      <w:lvlText w:val="(%3)"/>
      <w:numFmt w:val="decimal"/>
      <w:start w:val="1"/>
    </w:lvl>
  </w:abstractNum>
  <w:abstractNum w:abstractNumId="15">
    <w:nsid w:val="440BADFC"/>
    <w:multiLevelType w:val="hybridMultilevel"/>
    <w:lvl w:ilvl="0">
      <w:lvlJc w:val="left"/>
      <w:lvlText w:val="%1"/>
      <w:numFmt w:val="decimal"/>
      <w:start w:val="1"/>
    </w:lvl>
    <w:lvl w:ilvl="1">
      <w:lvlJc w:val="left"/>
      <w:lvlText w:val="(%2)"/>
      <w:numFmt w:val="lowerRoman"/>
      <w:start w:val="2"/>
    </w:lvl>
  </w:abstractNum>
  <w:abstractNum w:abstractNumId="16">
    <w:nsid w:val="5072367"/>
    <w:multiLevelType w:val="hybridMultilevel"/>
    <w:lvl w:ilvl="0">
      <w:lvlJc w:val="left"/>
      <w:lvlText w:val="(%1)"/>
      <w:numFmt w:val="decimal"/>
      <w:start w:val="9"/>
    </w:lvl>
    <w:lvl w:ilvl="1">
      <w:lvlJc w:val="left"/>
      <w:lvlText w:val="%2"/>
      <w:numFmt w:val="lowerRoman"/>
      <w:start w:val="1"/>
    </w:lvl>
  </w:abstractNum>
  <w:abstractNum w:abstractNumId="17">
    <w:nsid w:val="3804823E"/>
    <w:multiLevelType w:val="hybridMultilevel"/>
    <w:lvl w:ilvl="0">
      <w:lvlJc w:val="left"/>
      <w:lvlText w:val="%1"/>
      <w:numFmt w:val="decimal"/>
      <w:start w:val="1"/>
    </w:lvl>
    <w:lvl w:ilvl="1">
      <w:lvlJc w:val="left"/>
      <w:lvlText w:val="(%2)"/>
      <w:numFmt w:val="upperLetter"/>
      <w:start w:val="35"/>
    </w:lvl>
  </w:abstractNum>
  <w:abstractNum w:abstractNumId="18">
    <w:nsid w:val="77465F01"/>
    <w:multiLevelType w:val="hybridMultilevel"/>
    <w:lvl w:ilvl="0">
      <w:lvlJc w:val="left"/>
      <w:lvlText w:val="%1."/>
      <w:numFmt w:val="decimal"/>
      <w:start w:val="5"/>
    </w:lvl>
    <w:lvl w:ilvl="1">
      <w:lvlJc w:val="left"/>
      <w:lvlText w:val="%2"/>
      <w:numFmt w:val="upperLetter"/>
      <w:start w:val="1"/>
    </w:lvl>
  </w:abstractNum>
  <w:abstractNum w:abstractNumId="19">
    <w:nsid w:val="7724C67E"/>
    <w:multiLevelType w:val="hybridMultilevel"/>
    <w:lvl w:ilvl="0">
      <w:lvlJc w:val="left"/>
      <w:lvlText w:val="%1."/>
      <w:numFmt w:val="decimal"/>
      <w:start w:val="8"/>
    </w:lvl>
  </w:abstractNum>
  <w:abstractNum w:abstractNumId="20">
    <w:nsid w:val="5C482A97"/>
    <w:multiLevelType w:val="hybridMultilevel"/>
    <w:lvl w:ilvl="0">
      <w:lvlJc w:val="left"/>
      <w:lvlText w:val="%1."/>
      <w:numFmt w:val="decimal"/>
      <w:start w:val="9"/>
    </w:lvl>
  </w:abstractNum>
  <w:abstractNum w:abstractNumId="21">
    <w:nsid w:val="2463B9EA"/>
    <w:multiLevelType w:val="hybridMultilevel"/>
    <w:lvl w:ilvl="0">
      <w:lvlJc w:val="left"/>
      <w:lvlText w:val="%1."/>
      <w:numFmt w:val="decimal"/>
      <w:start w:val="10"/>
    </w:lvl>
    <w:lvl w:ilvl="1">
      <w:lvlJc w:val="left"/>
      <w:lvlText w:val="%2."/>
      <w:numFmt w:val="upperLetter"/>
      <w:start w:val="1"/>
    </w:lvl>
  </w:abstractNum>
  <w:abstractNum w:abstractNumId="22">
    <w:nsid w:val="5E884ADC"/>
    <w:multiLevelType w:val="hybridMultilevel"/>
    <w:lvl w:ilvl="0">
      <w:lvlJc w:val="left"/>
      <w:lvlText w:val="%1."/>
      <w:numFmt w:val="decimal"/>
      <w:start w:val="13"/>
    </w:lvl>
  </w:abstractNum>
  <w:abstractNum w:abstractNumId="23">
    <w:nsid w:val="51EAD36B"/>
    <w:multiLevelType w:val="hybridMultilevel"/>
    <w:lvl w:ilvl="0">
      <w:lvlJc w:val="left"/>
      <w:lvlText w:val="%1."/>
      <w:numFmt w:val="decimal"/>
      <w:start w:val="15"/>
    </w:lvl>
  </w:abstractNum>
  <w:abstractNum w:abstractNumId="24">
    <w:nsid w:val="2D517796"/>
    <w:multiLevelType w:val="hybridMultilevel"/>
    <w:lvl w:ilvl="0">
      <w:lvlJc w:val="left"/>
      <w:lvlText w:val="%1."/>
      <w:numFmt w:val="decimal"/>
      <w:start w:val="17"/>
    </w:lvl>
  </w:abstractNum>
  <w:abstractNum w:abstractNumId="25">
    <w:nsid w:val="580BD78F"/>
    <w:multiLevelType w:val="hybridMultilevel"/>
    <w:lvl w:ilvl="0">
      <w:lvlJc w:val="left"/>
      <w:lvlText w:val="%1."/>
      <w:numFmt w:val="decimal"/>
      <w:start w:val="18"/>
    </w:lvl>
  </w:abstractNum>
  <w:abstractNum w:abstractNumId="26">
    <w:nsid w:val="153EA438"/>
    <w:multiLevelType w:val="hybridMultilevel"/>
    <w:lvl w:ilvl="0">
      <w:lvlJc w:val="left"/>
      <w:lvlText w:val="%1."/>
      <w:numFmt w:val="upperLetter"/>
      <w:start w:val="1"/>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upperLetter"/>
      <w:start w:val="2"/>
    </w:lvl>
  </w:abstractNum>
  <w:abstractNum w:abstractNumId="29">
    <w:nsid w:val="6A2342EC"/>
    <w:multiLevelType w:val="hybridMultilevel"/>
    <w:lvl w:ilvl="0">
      <w:lvlJc w:val="left"/>
      <w:lvlText w:val="%1."/>
      <w:numFmt w:val="upperLetter"/>
      <w:start w:val="3"/>
    </w:lvl>
  </w:abstractNum>
  <w:abstractNum w:abstractNumId="30">
    <w:nsid w:val="2A487CB0"/>
    <w:multiLevelType w:val="hybridMultilevel"/>
    <w:lvl w:ilvl="0">
      <w:lvlJc w:val="left"/>
      <w:lvlText w:val="%1."/>
      <w:numFmt w:val="decimal"/>
      <w:start w:val="19"/>
    </w:lvl>
  </w:abstractNum>
  <w:abstractNum w:abstractNumId="31">
    <w:nsid w:val="1D4ED43B"/>
    <w:multiLevelType w:val="hybridMultilevel"/>
    <w:lvl w:ilvl="0">
      <w:lvlJc w:val="left"/>
      <w:lvlText w:val="%1."/>
      <w:numFmt w:val="decimal"/>
      <w:start w:val="1"/>
    </w:lvl>
    <w:lvl w:ilvl="1">
      <w:lvlJc w:val="left"/>
      <w:lvlText w:val="%2"/>
      <w:numFmt w:val="upperLetter"/>
      <w:start w:val="1"/>
    </w:lvl>
  </w:abstractNum>
  <w:abstractNum w:abstractNumId="32">
    <w:nsid w:val="725A06FB"/>
    <w:multiLevelType w:val="hybridMultilevel"/>
    <w:lvl w:ilvl="0">
      <w:lvlJc w:val="left"/>
      <w:lvlText w:val="%1."/>
      <w:numFmt w:val="upperLetter"/>
      <w:start w:val="2"/>
    </w:lvl>
  </w:abstractNum>
  <w:abstractNum w:abstractNumId="33">
    <w:nsid w:val="2CD89A32"/>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34">
    <w:nsid w:val="57E4CCAF"/>
    <w:multiLevelType w:val="hybridMultilevel"/>
    <w:lvl w:ilvl="0">
      <w:lvlJc w:val="left"/>
      <w:lvlText w:val="%1"/>
      <w:numFmt w:val="decimal"/>
      <w:start w:val="1"/>
    </w:lvl>
    <w:lvl w:ilvl="1">
      <w:lvlJc w:val="left"/>
      <w:lvlText w:val="%2."/>
      <w:numFmt w:val="upperLetter"/>
      <w:start w:val="4"/>
    </w:lvl>
    <w:lvl w:ilvl="2">
      <w:lvlJc w:val="left"/>
      <w:lvlText w:val="%3"/>
      <w:numFmt w:val="upperLetter"/>
      <w:start w:val="1"/>
    </w:lvl>
  </w:abstractNum>
  <w:abstractNum w:abstractNumId="35">
    <w:nsid w:val="7A6D8D3C"/>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36">
    <w:nsid w:val="4B588F5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
    <w:nsid w:val="542289EC"/>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38">
    <w:nsid w:val="6DE91B1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39">
    <w:nsid w:val="38437FDB"/>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0">
    <w:nsid w:val="7644A45C"/>
    <w:multiLevelType w:val="hybridMultilevel"/>
    <w:lvl w:ilvl="0">
      <w:lvlJc w:val="left"/>
      <w:lvlText w:val="(%1)"/>
      <w:numFmt w:val="upperLetter"/>
      <w:start w:val="1"/>
    </w:lvl>
  </w:abstractNum>
  <w:abstractNum w:abstractNumId="41">
    <w:nsid w:val="32FFF902"/>
    <w:multiLevelType w:val="hybridMultilevel"/>
    <w:lvl w:ilvl="0">
      <w:lvlJc w:val="left"/>
      <w:lvlText w:val="(%1)"/>
      <w:numFmt w:val="upperLetter"/>
      <w:start w:val="2"/>
    </w:lvl>
    <w:lvl w:ilvl="1">
      <w:lvlJc w:val="left"/>
      <w:lvlText w:val="(%2)"/>
      <w:numFmt w:val="upperLetter"/>
      <w:start w:val="9"/>
    </w:lvl>
    <w:lvl w:ilvl="2">
      <w:lvlJc w:val="left"/>
      <w:lvlText w:val="(%3)"/>
      <w:numFmt w:val="decimal"/>
      <w:start w:val="1"/>
    </w:lvl>
    <w:lvl w:ilvl="3">
      <w:lvlJc w:val="left"/>
      <w:lvlText w:val="(%4)"/>
      <w:numFmt w:val="lowerRoman"/>
      <w:start w:val="2"/>
    </w:lvl>
  </w:abstractNum>
  <w:abstractNum w:abstractNumId="42">
    <w:nsid w:val="684A481A"/>
    <w:multiLevelType w:val="hybridMultilevel"/>
    <w:lvl w:ilvl="0">
      <w:lvlJc w:val="left"/>
      <w:lvlText w:val="%1"/>
      <w:numFmt w:val="upperLetter"/>
      <w:start w:val="1"/>
    </w:lvl>
    <w:lvl w:ilvl="1">
      <w:lvlJc w:val="left"/>
      <w:lvlText w:val="(%2)"/>
      <w:numFmt w:val="decimal"/>
      <w:start w:val="9"/>
    </w:lvl>
  </w:abstractNum>
  <w:abstractNum w:abstractNumId="43">
    <w:nsid w:val="579478FE"/>
    <w:multiLevelType w:val="hybridMultilevel"/>
    <w:lvl w:ilvl="0">
      <w:lvlJc w:val="left"/>
      <w:lvlText w:val="(%1)"/>
      <w:numFmt w:val="upperLetter"/>
      <w:start w:val="35"/>
    </w:lvl>
    <w:lvl w:ilvl="1">
      <w:lvlJc w:val="left"/>
      <w:lvlText w:val="%2"/>
      <w:numFmt w:val="decimal"/>
      <w:start w:val="1"/>
    </w:lvl>
  </w:abstractNum>
  <w:abstractNum w:abstractNumId="44">
    <w:nsid w:val="749ABB43"/>
    <w:multiLevelType w:val="hybridMultilevel"/>
    <w:lvl w:ilvl="0">
      <w:lvlJc w:val="left"/>
      <w:lvlText w:val="%1."/>
      <w:numFmt w:val="decimal"/>
      <w:start w:val="5"/>
    </w:lvl>
  </w:abstractNum>
  <w:abstractNum w:abstractNumId="45">
    <w:nsid w:val="3DC240FB"/>
    <w:multiLevelType w:val="hybridMultilevel"/>
    <w:lvl w:ilvl="0">
      <w:lvlJc w:val="left"/>
      <w:lvlText w:val="%1"/>
      <w:numFmt w:val="decimal"/>
      <w:start w:val="1"/>
    </w:lvl>
    <w:lvl w:ilvl="1">
      <w:lvlJc w:val="left"/>
      <w:lvlText w:val="(%2)"/>
      <w:numFmt w:val="lowerRoman"/>
      <w:start w:val="5"/>
    </w:lvl>
  </w:abstractNum>
  <w:abstractNum w:abstractNumId="46">
    <w:nsid w:val="1BA026FA"/>
    <w:multiLevelType w:val="hybridMultilevel"/>
    <w:lvl w:ilvl="0">
      <w:lvlJc w:val="left"/>
      <w:lvlText w:val="%1."/>
      <w:numFmt w:val="decimal"/>
      <w:start w:val="8"/>
    </w:lvl>
    <w:lvl w:ilvl="1">
      <w:lvlJc w:val="left"/>
      <w:lvlText w:val="%2"/>
      <w:numFmt w:val="lowerRoman"/>
      <w:start w:val="1"/>
    </w:lvl>
  </w:abstractNum>
  <w:abstractNum w:abstractNumId="47">
    <w:nsid w:val="79A1DEAA"/>
    <w:multiLevelType w:val="hybridMultilevel"/>
    <w:lvl w:ilvl="0">
      <w:lvlJc w:val="left"/>
      <w:lvlText w:val="%1."/>
      <w:numFmt w:val="decimal"/>
      <w:start w:val="9"/>
    </w:lvl>
    <w:lvl w:ilvl="1">
      <w:lvlJc w:val="left"/>
      <w:lvlText w:val="%2."/>
      <w:numFmt w:val="upperLetter"/>
      <w:start w:val="1"/>
    </w:lvl>
  </w:abstractNum>
  <w:abstractNum w:abstractNumId="48">
    <w:nsid w:val="75C6C33A"/>
    <w:multiLevelType w:val="hybridMultilevel"/>
    <w:lvl w:ilvl="0">
      <w:lvlJc w:val="left"/>
      <w:lvlText w:val="%1."/>
      <w:numFmt w:val="decimal"/>
      <w:start w:val="15"/>
    </w:lvl>
  </w:abstractNum>
  <w:abstractNum w:abstractNumId="49">
    <w:nsid w:val="12E685FB"/>
    <w:multiLevelType w:val="hybridMultilevel"/>
    <w:lvl w:ilvl="0">
      <w:lvlJc w:val="left"/>
      <w:lvlText w:val="%1."/>
      <w:numFmt w:val="decimal"/>
      <w:start w:val="17"/>
    </w:lvl>
  </w:abstractNum>
  <w:abstractNum w:abstractNumId="50">
    <w:nsid w:val="70C6A529"/>
    <w:multiLevelType w:val="hybridMultilevel"/>
    <w:lvl w:ilvl="0">
      <w:lvlJc w:val="left"/>
      <w:lvlText w:val="%1."/>
      <w:numFmt w:val="decimal"/>
      <w:start w:val="18"/>
    </w:lvl>
  </w:abstractNum>
  <w:abstractNum w:abstractNumId="51">
    <w:nsid w:val="520EEDD1"/>
    <w:multiLevelType w:val="hybridMultilevel"/>
    <w:lvl w:ilvl="0">
      <w:lvlJc w:val="left"/>
      <w:lvlText w:val="%1."/>
      <w:numFmt w:val="upperLetter"/>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upperLetter"/>
      <w:start w:val="2"/>
    </w:lvl>
  </w:abstractNum>
  <w:abstractNum w:abstractNumId="54">
    <w:nsid w:val="23F9C13C"/>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2019-12-28T06:22:39Z</dcterms:created>
  <dcterms:modified xsi:type="dcterms:W3CDTF">2019-12-28T06:22:39Z</dcterms:modified>
</cp:coreProperties>
</file>