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 THE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EXCHANGE ACT OF 1934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27, 2012</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8"/>
              </w:rPr>
              <w:t>Delaware</w:t>
            </w:r>
          </w:p>
        </w:tc>
        <w:tc>
          <w:tcPr>
            <w:tcW w:w="3000" w:type="dxa"/>
            <w:vAlign w:val="bottom"/>
          </w:tcPr>
          <w:p>
            <w:pPr>
              <w:jc w:val="center"/>
              <w:ind w:left="1864"/>
              <w:spacing w:after="0"/>
              <w:rPr>
                <w:sz w:val="20"/>
                <w:szCs w:val="20"/>
                <w:color w:val="auto"/>
              </w:rPr>
            </w:pPr>
            <w:r>
              <w:rPr>
                <w:rFonts w:ascii="Arial" w:cs="Arial" w:eastAsia="Arial" w:hAnsi="Arial"/>
                <w:sz w:val="18"/>
                <w:szCs w:val="18"/>
                <w:b w:val="1"/>
                <w:bCs w:val="1"/>
                <w:color w:val="auto"/>
                <w:w w:val="89"/>
              </w:rPr>
              <w:t>20-5665602</w:t>
            </w:r>
          </w:p>
        </w:tc>
      </w:tr>
      <w:tr>
        <w:trPr>
          <w:trHeight w:val="149"/>
        </w:trPr>
        <w:tc>
          <w:tcPr>
            <w:tcW w:w="4640" w:type="dxa"/>
            <w:vAlign w:val="bottom"/>
          </w:tcPr>
          <w:p>
            <w:pPr>
              <w:jc w:val="center"/>
              <w:ind w:right="186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0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9"/>
              </w:rPr>
              <w:t>Incorporation or Organization)</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6"/>
              </w:rPr>
              <w:t>9110 East Nichols Avenue, Suite 200</w:t>
            </w:r>
          </w:p>
        </w:tc>
        <w:tc>
          <w:tcPr>
            <w:tcW w:w="3000" w:type="dxa"/>
            <w:vAlign w:val="bottom"/>
          </w:tcPr>
          <w:p>
            <w:pPr>
              <w:spacing w:after="0"/>
              <w:rPr>
                <w:sz w:val="24"/>
                <w:szCs w:val="24"/>
                <w:color w:val="auto"/>
              </w:rPr>
            </w:pPr>
          </w:p>
        </w:tc>
      </w:tr>
      <w:tr>
        <w:trPr>
          <w:trHeight w:val="231"/>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9"/>
              </w:rPr>
              <w:t>Centennial, Colorado</w:t>
            </w:r>
          </w:p>
        </w:tc>
        <w:tc>
          <w:tcPr>
            <w:tcW w:w="300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6360" w:type="dxa"/>
            <w:vAlign w:val="bottom"/>
          </w:tcPr>
          <w:p>
            <w:pPr>
              <w:spacing w:after="0"/>
              <w:rPr>
                <w:sz w:val="23"/>
                <w:szCs w:val="23"/>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636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2260" w:type="dxa"/>
            <w:vAlign w:val="bottom"/>
          </w:tcPr>
          <w:p>
            <w:pPr>
              <w:ind w:left="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00" w:type="dxa"/>
            <w:vAlign w:val="bottom"/>
            <w:gridSpan w:val="3"/>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r>
    </w:tbl>
    <w:p>
      <w:pPr>
        <w:spacing w:after="0" w:line="136" w:lineRule="exact"/>
        <w:rPr>
          <w:sz w:val="24"/>
          <w:szCs w:val="24"/>
          <w:color w:val="auto"/>
        </w:rPr>
      </w:pPr>
    </w:p>
    <w:p>
      <w:pPr>
        <w:ind w:right="900"/>
        <w:spacing w:after="0" w:line="268" w:lineRule="auto"/>
        <w:rPr>
          <w:sz w:val="20"/>
          <w:szCs w:val="20"/>
          <w:color w:val="auto"/>
        </w:rPr>
      </w:pPr>
      <w:r>
        <w:rPr>
          <w:rFonts w:ascii="Arial" w:cs="Arial" w:eastAsia="Arial" w:hAnsi="Arial"/>
          <w:sz w:val="18"/>
          <w:szCs w:val="18"/>
          <w:color w:val="auto"/>
        </w:rPr>
        <w:t>As of October 31, 2012, 56,177,983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00" w:type="dxa"/>
            <w:vAlign w:val="bottom"/>
            <w:gridSpan w:val="5"/>
            <w:vMerge w:val="restart"/>
          </w:tcPr>
          <w:p>
            <w:pPr>
              <w:jc w:val="center"/>
              <w:ind w:right="452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30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Consolidated Statements of Income</w:t>
              </w:r>
            </w:hyperlink>
          </w:p>
        </w:tc>
        <w:tc>
          <w:tcPr>
            <w:tcW w:w="56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4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Unaudited Condensed Consolidated Statements of Comprehensive Income</w:t>
              </w:r>
            </w:hyperlink>
          </w:p>
        </w:tc>
        <w:tc>
          <w:tcPr>
            <w:tcW w:w="44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Unaudited Condensed Consolidated Statements of Cash Flows</w:t>
              </w:r>
            </w:hyperlink>
          </w:p>
        </w:tc>
        <w:tc>
          <w:tcPr>
            <w:tcW w:w="53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Unaudited Condensed Consolidated Statement of Equity/(Deficit)</w:t>
              </w:r>
            </w:hyperlink>
          </w:p>
        </w:tc>
        <w:tc>
          <w:tcPr>
            <w:tcW w:w="50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014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9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4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gridSpan w:val="5"/>
          </w:tcPr>
          <w:p>
            <w:pPr>
              <w:jc w:val="center"/>
              <w:ind w:right="450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0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10140" w:type="dxa"/>
            <w:vAlign w:val="bottom"/>
            <w:gridSpan w:val="18"/>
          </w:tcPr>
          <w:p>
            <w:pPr>
              <w:spacing w:after="0" w:line="184"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88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59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84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88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90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520" w:type="dxa"/>
            <w:vAlign w:val="bottom"/>
          </w:tcPr>
          <w:p>
            <w:pPr>
              <w:jc w:val="center"/>
              <w:ind w:left="2612"/>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tcPr>
          <w:p>
            <w:pPr>
              <w:jc w:val="center"/>
              <w:ind w:left="2612"/>
              <w:spacing w:after="0"/>
              <w:rPr>
                <w:sz w:val="20"/>
                <w:szCs w:val="20"/>
                <w:color w:val="auto"/>
              </w:rPr>
            </w:pPr>
            <w:r>
              <w:rPr>
                <w:rFonts w:ascii="Arial" w:cs="Arial" w:eastAsia="Arial" w:hAnsi="Arial"/>
                <w:sz w:val="18"/>
                <w:szCs w:val="18"/>
                <w:b w:val="1"/>
                <w:bCs w:val="1"/>
                <w:color w:val="auto"/>
                <w:w w:val="99"/>
              </w:rPr>
              <w:t>NATIONAL CINEMEDIA, INC. AND SUBSIDIARY</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tcPr>
          <w:p>
            <w:pPr>
              <w:jc w:val="center"/>
              <w:ind w:left="261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tcPr>
          <w:p>
            <w:pPr>
              <w:jc w:val="center"/>
              <w:ind w:left="2612"/>
              <w:spacing w:after="0"/>
              <w:rPr>
                <w:sz w:val="20"/>
                <w:szCs w:val="20"/>
                <w:color w:val="auto"/>
              </w:rPr>
            </w:pPr>
            <w:r>
              <w:rPr>
                <w:rFonts w:ascii="Arial" w:cs="Arial" w:eastAsia="Arial" w:hAnsi="Arial"/>
                <w:sz w:val="18"/>
                <w:szCs w:val="18"/>
                <w:b w:val="1"/>
                <w:bCs w:val="1"/>
                <w:color w:val="auto"/>
                <w:w w:val="87"/>
              </w:rPr>
              <w:t>(In millions, except share and per share data)</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520" w:type="dxa"/>
            <w:vAlign w:val="bottom"/>
          </w:tcPr>
          <w:p>
            <w:pPr>
              <w:jc w:val="center"/>
              <w:ind w:left="2612"/>
              <w:spacing w:after="0"/>
              <w:rPr>
                <w:sz w:val="20"/>
                <w:szCs w:val="20"/>
                <w:color w:val="auto"/>
              </w:rPr>
            </w:pPr>
            <w:r>
              <w:rPr>
                <w:rFonts w:ascii="Arial" w:cs="Arial" w:eastAsia="Arial" w:hAnsi="Arial"/>
                <w:sz w:val="18"/>
                <w:szCs w:val="18"/>
                <w:b w:val="1"/>
                <w:bCs w:val="1"/>
                <w:color w:val="auto"/>
                <w:w w:val="99"/>
              </w:rPr>
              <w:t>(UNAUDITED)</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September 27,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29,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Short-term marketable securities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$4.5 and $4.3, respectively</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receivable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and equipment, net of accumulated depreciation of $61.1 and $54.8, respectively</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Intangible assets, net of accumulated amortization of $29.5 and $20.8, respectively</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283.3</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 of valuation allowance of $3.2 and $3.2, respectively</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Debt issuance costs, net of accumulated amortization of $11.9 and $9.8, respectively</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investment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Long-term marketable securities</w:t>
            </w:r>
          </w:p>
        </w:tc>
        <w:tc>
          <w:tcPr>
            <w:tcW w:w="360" w:type="dxa"/>
            <w:vAlign w:val="bottom"/>
          </w:tcPr>
          <w:p>
            <w:pPr>
              <w:spacing w:after="0"/>
              <w:rPr>
                <w:sz w:val="18"/>
                <w:szCs w:val="18"/>
                <w:color w:val="auto"/>
              </w:rPr>
            </w:pPr>
          </w:p>
        </w:tc>
        <w:tc>
          <w:tcPr>
            <w:tcW w:w="17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Total non-current assets</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EQUITY/(DEFICIT)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Amounts due to founding members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Accounts payable (including $1.4 and $0.9 to related party affiliates, respectively)</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Interest rate swap agreements</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9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1,175.7</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EQUITY/(DEFICIT):</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NCM, Inc. Stockholders’ Equity (Deficit):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tcPr>
          <w:p>
            <w:pPr>
              <w:ind w:left="60"/>
              <w:spacing w:after="0"/>
              <w:rPr>
                <w:sz w:val="20"/>
                <w:szCs w:val="20"/>
                <w:color w:val="auto"/>
              </w:rPr>
            </w:pPr>
            <w:r>
              <w:rPr>
                <w:rFonts w:ascii="Arial" w:cs="Arial" w:eastAsia="Arial" w:hAnsi="Arial"/>
                <w:sz w:val="18"/>
                <w:szCs w:val="18"/>
                <w:color w:val="auto"/>
                <w:w w:val="99"/>
              </w:rPr>
              <w:t>Preferred stock, $0.01 par value; 10,000,000 shares authorized, none issued and outstanding,</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7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$0.01 par value; 175,000,000 shares authorized, 54,466,410 and 53,934,605</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issued and outstanding, respectively</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tcPr>
          <w:p>
            <w:pPr>
              <w:ind w:left="60"/>
              <w:spacing w:after="0"/>
              <w:rPr>
                <w:sz w:val="20"/>
                <w:szCs w:val="20"/>
                <w:color w:val="auto"/>
              </w:rPr>
            </w:pPr>
            <w:r>
              <w:rPr>
                <w:rFonts w:ascii="Arial" w:cs="Arial" w:eastAsia="Arial" w:hAnsi="Arial"/>
                <w:sz w:val="18"/>
                <w:szCs w:val="18"/>
                <w:color w:val="auto"/>
              </w:rPr>
              <w:t>Additional paid in capital (deficit)</w:t>
            </w:r>
          </w:p>
        </w:tc>
        <w:tc>
          <w:tcPr>
            <w:tcW w:w="360" w:type="dxa"/>
            <w:vAlign w:val="bottom"/>
          </w:tcPr>
          <w:p>
            <w:pPr>
              <w:spacing w:after="0"/>
              <w:rPr>
                <w:sz w:val="18"/>
                <w:szCs w:val="18"/>
                <w:color w:val="auto"/>
              </w:rPr>
            </w:pP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(368.3)</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Retained earnings (distributions in excess of earnings)</w:t>
            </w: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(57.7)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tcPr>
          <w:p>
            <w:pPr>
              <w:ind w:left="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8"/>
                <w:szCs w:val="18"/>
                <w:color w:val="auto"/>
              </w:rPr>
            </w:pP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NCM, Inc. stockholders’ equity/(deficit)</w:t>
            </w: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(432.8)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equity/(deficit)</w:t>
            </w: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(347.7)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2"/>
        </w:trPr>
        <w:tc>
          <w:tcPr>
            <w:tcW w:w="812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w:t>
            </w:r>
          </w:p>
        </w:tc>
        <w:tc>
          <w:tcPr>
            <w:tcW w:w="9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977"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977"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Quarter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Quarter</w:t>
            </w: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Nine Months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260" w:type="dxa"/>
            <w:vAlign w:val="bottom"/>
          </w:tcPr>
          <w:p>
            <w:pPr>
              <w:spacing w:after="0"/>
              <w:rPr>
                <w:sz w:val="12"/>
                <w:szCs w:val="12"/>
                <w:color w:val="auto"/>
              </w:rPr>
            </w:pP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 members of $10.0,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$10.6, $30.0 and $29.6,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127.2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305.6</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1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Advertising operating costs (including $1.4, $1.2, $3.1 and $2.4 to</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related party affiliates, respectively)</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Fathom Events operating costs (including $1.0, $2.1, $4.2 and $6.9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founding members, respectively)</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fees—founding members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Selling and marketing costs (including $0.4, $0.3, $0.8 and $0.9 to</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founding members, respectively)</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17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Interest on borrowings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Accretion of interest on the discounted payable to founding members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under tax sharing agreement</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derivative fair value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Loss on swap terminations</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non-operating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1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8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54,451,200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53,924,656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54,344,944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53,842,731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55,179,666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54,703,663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55,005,678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54,644,814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160"/>
        <w:spacing w:after="0" w:line="294" w:lineRule="auto"/>
        <w:rPr>
          <w:sz w:val="20"/>
          <w:szCs w:val="20"/>
          <w:color w:val="auto"/>
        </w:rPr>
      </w:pPr>
      <w:r>
        <w:rPr>
          <w:rFonts w:ascii="Arial" w:cs="Arial" w:eastAsia="Arial" w:hAnsi="Arial"/>
          <w:sz w:val="16"/>
          <w:szCs w:val="16"/>
          <w:color w:val="auto"/>
        </w:rPr>
        <w:t>CONSOLIDATED NET INCOME, NET OF TAX OTHER COMPREHENSIVE INCOME, NET OF TAX:</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Net unrealized gain (loss) on cash flow hedges, net of tax</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66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20" w:type="dxa"/>
            <w:vAlign w:val="bottom"/>
          </w:tcPr>
          <w:p>
            <w:pPr>
              <w:spacing w:after="0"/>
              <w:rPr>
                <w:sz w:val="12"/>
                <w:szCs w:val="12"/>
                <w:color w:val="auto"/>
              </w:rPr>
            </w:pPr>
          </w:p>
        </w:tc>
        <w:tc>
          <w:tcPr>
            <w:tcW w:w="15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6"/>
              </w:rPr>
              <w:t>Quarter Ended</w:t>
            </w:r>
          </w:p>
        </w:tc>
        <w:tc>
          <w:tcPr>
            <w:tcW w:w="15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12"/>
                <w:szCs w:val="12"/>
                <w:color w:val="auto"/>
              </w:rPr>
            </w:pPr>
          </w:p>
        </w:tc>
        <w:tc>
          <w:tcPr>
            <w:tcW w:w="6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4"/>
              </w:rPr>
              <w:t>Ended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15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15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27,</w:t>
            </w:r>
          </w:p>
        </w:tc>
        <w:tc>
          <w:tcPr>
            <w:tcW w:w="66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September 29,</w:t>
            </w:r>
          </w:p>
        </w:tc>
      </w:tr>
      <w:tr>
        <w:trPr>
          <w:trHeight w:val="16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2012</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80" w:type="dxa"/>
            <w:vAlign w:val="bottom"/>
          </w:tcPr>
          <w:p>
            <w:pPr>
              <w:jc w:val="right"/>
              <w:ind w:right="5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68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45.9</w:t>
            </w:r>
          </w:p>
        </w:tc>
        <w:tc>
          <w:tcPr>
            <w:tcW w:w="6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6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-418465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-135255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40" w:space="720"/>
            <w:col w:w="55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5860" w:type="dxa"/>
            <w:vAlign w:val="bottom"/>
          </w:tcPr>
          <w:p>
            <w:pPr>
              <w:spacing w:after="0"/>
              <w:rPr>
                <w:sz w:val="20"/>
                <w:szCs w:val="20"/>
                <w:color w:val="auto"/>
              </w:rPr>
            </w:pPr>
            <w:r>
              <w:rPr>
                <w:rFonts w:ascii="Arial" w:cs="Arial" w:eastAsia="Arial" w:hAnsi="Arial"/>
                <w:sz w:val="18"/>
                <w:szCs w:val="18"/>
                <w:color w:val="auto"/>
              </w:rPr>
              <w:t>CONSOLIDATED COMPREHENSIVE INCOME</w:t>
            </w:r>
          </w:p>
        </w:tc>
        <w:tc>
          <w:tcPr>
            <w:tcW w:w="3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6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6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Less: Comprehensive income attributable to 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COMPREHENSIVE INCOME ATTRIBUTABLE TO NCM, INC.</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15.4</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0"/>
        </w:trPr>
        <w:tc>
          <w:tcPr>
            <w:tcW w:w="5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Nine Months</w:t>
            </w:r>
          </w:p>
        </w:tc>
        <w:tc>
          <w:tcPr>
            <w:tcW w:w="36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September 27,</w:t>
            </w:r>
          </w:p>
        </w:tc>
        <w:tc>
          <w:tcPr>
            <w:tcW w:w="3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Deferred income tax expense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Non-cash share-based compensation</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Excess tax benefit from share-based compensation</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Accretion of interest on the discounted payable to founding members under tax sharing</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1500"/>
              <w:spacing w:after="0"/>
              <w:rPr>
                <w:sz w:val="20"/>
                <w:szCs w:val="20"/>
                <w:color w:val="auto"/>
              </w:rPr>
            </w:pPr>
            <w:r>
              <w:rPr>
                <w:rFonts w:ascii="Arial" w:cs="Arial" w:eastAsia="Arial" w:hAnsi="Arial"/>
                <w:sz w:val="18"/>
                <w:szCs w:val="18"/>
                <w:color w:val="auto"/>
              </w:rPr>
              <w:t>agreement</w:t>
            </w: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unrealized loss on hedging transactions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Write-off of debt issuance costs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Loss on swap terminations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non-cash operating activities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Payment for swap terminations</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Amounts due to founding members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Payment to founding members under tax sharing agreement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Income taxes and other</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Proceeds from sale and maturities of marketable securities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from founding members for intangible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Purchases of intangible assets from an affiliate</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dividends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Proceeds from borrowings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of borrowings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Payment of debt issuance costs</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Founding member integration payments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Distributions to founding members</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(44.2)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share-based compensation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Proceeds from stock option exercises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stock for restricted stock tax withholding</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(33.4)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7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7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4"/>
              </w:rPr>
              <w:t>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7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7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September 29,</w:t>
            </w:r>
          </w:p>
        </w:tc>
      </w:tr>
      <w:tr>
        <w:trPr>
          <w:trHeight w:val="161"/>
        </w:trPr>
        <w:tc>
          <w:tcPr>
            <w:tcW w:w="73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2012</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Purchase of an intangible asset with subsidiary equity (equity returned)</w:t>
            </w:r>
          </w:p>
        </w:tc>
        <w:tc>
          <w:tcPr>
            <w:tcW w:w="16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dividends not requiring cash in the period</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Increase in cost method investment</w:t>
            </w:r>
          </w:p>
        </w:tc>
        <w:tc>
          <w:tcPr>
            <w:tcW w:w="16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Cash paid for interest</w:t>
            </w:r>
          </w:p>
        </w:tc>
        <w:tc>
          <w:tcPr>
            <w:tcW w:w="16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paid for income taxes</w:t>
            </w:r>
          </w:p>
        </w:tc>
        <w:tc>
          <w:tcPr>
            <w:tcW w:w="16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Paid in</w:t>
            </w:r>
          </w:p>
        </w:tc>
        <w:tc>
          <w:tcPr>
            <w:tcW w:w="3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Common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2"/>
                <w:szCs w:val="12"/>
                <w:color w:val="auto"/>
              </w:rPr>
            </w:pP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in Excess of</w:t>
            </w:r>
          </w:p>
        </w:tc>
        <w:tc>
          <w:tcPr>
            <w:tcW w:w="1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47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220" w:type="dxa"/>
            <w:vAlign w:val="bottom"/>
            <w:tcBorders>
              <w:bottom w:val="single" w:sz="8" w:color="CCEEFF"/>
            </w:tcBorders>
            <w:gridSpan w:val="2"/>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Earnings)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79"/>
              </w:rPr>
              <w:t>Loss</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Balance—December 29,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(346.8)</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Distributions to founding members</w:t>
            </w:r>
          </w:p>
        </w:tc>
        <w:tc>
          <w:tcPr>
            <w:tcW w:w="2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rPr>
              <w:t>Income tax and other impacts of subsidiary ownership</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22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net of tax</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Share-based compensation issued</w:t>
            </w:r>
          </w:p>
        </w:tc>
        <w:tc>
          <w:tcPr>
            <w:tcW w:w="2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expense/capitalized</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Excess tax benefit from share-based compensation</w:t>
            </w:r>
          </w:p>
        </w:tc>
        <w:tc>
          <w:tcPr>
            <w:tcW w:w="2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$0.66 per share</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Balance—September 27, 2012</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(347.7)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0.5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(368.3)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30, 2010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(318.4)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0.5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(373.3)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returned for purchase of intangible asset</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rPr>
              <w:t>Income tax and other impacts of subsidiary ownership</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22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net of tax</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Share-based compensation issued</w:t>
            </w:r>
          </w:p>
        </w:tc>
        <w:tc>
          <w:tcPr>
            <w:tcW w:w="2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expense/capitalized</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Excess tax benefit from share-based compensation</w:t>
            </w:r>
          </w:p>
        </w:tc>
        <w:tc>
          <w:tcPr>
            <w:tcW w:w="2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$0.62 per share</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Balance—September 29, 2011</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(346.2)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0.5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(379.2)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32" w:lineRule="exact"/>
        <w:rPr>
          <w:sz w:val="20"/>
          <w:szCs w:val="20"/>
          <w:color w:val="auto"/>
        </w:rPr>
      </w:pPr>
    </w:p>
    <w:p>
      <w:pPr>
        <w:ind w:right="9680" w:firstLine="8"/>
        <w:spacing w:after="0" w:line="417" w:lineRule="auto"/>
        <w:tabs>
          <w:tab w:leader="none" w:pos="304"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THE COMPANY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National CineMedia, Inc. (“NCM, Inc.”) was incorporated in Delaware as a holding company with the sole purpose of becoming a member and sole manager of National CineMedia, LLC (“NCM LLC”), an LLC owned by NCM, Inc., American Multi-Cinema, Inc. (“AMC”), a wholly owned subsidiary of AMC Entertainment, Inc. (“AMCE”), Regal Cinemas, Inc., a wholly owned subsidiary of Regal Entertainment Group (“Regal”) and Cinemark USA, Inc. (“Cinemark USA”), a wholly owned subsidiary of Cinemark Holdings, Inc. (“Cinemark”). The terms “NCM”, “the Company” or “we” shall, unless the context otherwise requires, be deemed to include the consolidated entity. The Company operates the largest digital in-theatre network in North America, allowing NCM to sell advertising and Fathom Events (the “Services”) under long-term exhibitor services agreements (“ESAs”) with AMC, Regal and Cinemark. AMC, Regal and Cinemark and their affiliates are referred to in this document as “founding members.” NCM LLC also provides the Services to certain third-party theatre circuits under network affiliate agreements referred to in this document as “network affiliates”, which expire at various dates.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September 27, 2012, NCM LLC had 111,997,986 common membership units outstanding, of which 54,466,410 (48.6%) were owned by NCM, Inc., 22,113,150 (19.7%) were owned by Regal, 18,094,644 (16.2%) were owned by Cinemark and 17,323,782 (15.5%) were owned by AMC. The membership units held by the founding members are exchangeable into NCM, Inc. common stock on a one-for-one basis.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2012, the Company restructured Fathom Events by winding down its Fathom Business Events division, to place more focus on the Fathom Consumer Events division. The Company continued to operate the Fathom Business Events division for a portion of the first quarter of 2012 to satisfy contractual obligations for events and will continue to execute business events on a periodic basis for existing long-term Fathom clients, or if requested by the founding members or to support events staged for NCM’s major advertising clients.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29, 2011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29, 2011.</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4-</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w:t>
      </w:r>
    </w:p>
    <w:p>
      <w:pPr>
        <w:spacing w:after="0" w:line="1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interest rate swaps and income taxes. Actual results could differ from those estimates.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i w:val="1"/>
          <w:iCs w:val="1"/>
          <w:color w:val="auto"/>
        </w:rPr>
        <w:t>—</w:t>
      </w:r>
      <w:r>
        <w:rPr>
          <w:rFonts w:ascii="Arial" w:cs="Arial" w:eastAsia="Arial" w:hAnsi="Arial"/>
          <w:sz w:val="18"/>
          <w:szCs w:val="18"/>
          <w:color w:val="auto"/>
        </w:rPr>
        <w:t>Certain reclassifications of previously reported network, administrative and unallocated costs in segment reporting have been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the current year presentation.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29, 2011 contain a complete discussion of the Company’s significant accounting policies.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Segment Reporting</w:t>
      </w:r>
      <w:r>
        <w:rPr>
          <w:rFonts w:ascii="Arial" w:cs="Arial" w:eastAsia="Arial" w:hAnsi="Arial"/>
          <w:sz w:val="16"/>
          <w:szCs w:val="16"/>
          <w:color w:val="auto"/>
        </w:rPr>
        <w:t>—Advertising is the principal business activity of the Company and is the Company’s reportable segment under the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Fathom Events is an operating segment under ASC 280, but does not meet the quantitative thresholds for segment reporting. The Company does not evaluate its segments on a fully allocated cost basis, nor does the Company track segment assets separately. Therefore, the measure of segment operating income net of direct expenses presented herein is not prepared on the same basis as operating income in the consolidated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9-</w:t>
      </w:r>
      <w:r>
        <w:rPr>
          <w:rFonts w:ascii="Arial" w:cs="Arial" w:eastAsia="Arial" w:hAnsi="Arial"/>
          <w:sz w:val="16"/>
          <w:szCs w:val="16"/>
          <w:i w:val="1"/>
          <w:iCs w:val="1"/>
          <w:color w:val="auto"/>
        </w:rPr>
        <w:t>Segment Reporting</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b w:val="1"/>
          <w:bCs w:val="1"/>
          <w:i w:val="1"/>
          <w:iCs w:val="1"/>
          <w:color w:val="auto"/>
        </w:rPr>
        <w:t>Concentration of Credit Risk and Significant Customers</w:t>
      </w:r>
      <w:r>
        <w:rPr>
          <w:rFonts w:ascii="Arial" w:cs="Arial" w:eastAsia="Arial" w:hAnsi="Arial"/>
          <w:sz w:val="15"/>
          <w:szCs w:val="15"/>
          <w:color w:val="auto"/>
        </w:rPr>
        <w:t>—Bad debts are provided for using the allowance for doubtful accounts method based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is reduced by dealing with large, national advertising agencies who have strong reputations in the advertising industry and clients with stable financial positions. At September 27, 2012, there were two customers representing approximately 10.3% and 14.1%, respectively, of the Company’s outstanding gross receivable balance. At December 29, 2011, there was one advertising agency group through which the Company sources national advertising revenue representing approximately 15% of the Company’s outstanding gross receivable balance; however, none of the individual contracts related to the advertising agency were more than 10% of total revenue. During the three months ended September 27, 2012, the Company had one customer which accounted for 14.0% of revenue.</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Company issues two types of share-based compensation awards: stock options and non-vested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Compensation expense of restricted stock is based on management’s projections and the probability of achievement of those expectations, which requires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quarterly on the restricted stock and are paid when the shares vest. Compensation cost of stock options is based on the estimated grant date fair value using the Black-Scholes option pricing model, which requires that the Company make estimates of various factors. Under the fair value recognition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Company recognizes share-based compensation net of an estimated forfeiture rate, and therefore only recognizes compensation cost for those shares expected to vest over the requisite service period of the award. During the three and nine months ended September 27, 2012, 19,328 and 222,090 stock options were exercised at a weighted average exercise price of $15.23 and $15.20 per share, respectively. During the three and nine months ended September 27, 2012, 1,000 and 440,738 shares of restricted stock vested upon the satisfaction of performance conditions, respectively.</w:t>
      </w:r>
    </w:p>
    <w:p>
      <w:pPr>
        <w:spacing w:after="0" w:line="12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 of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Under ASC 810, a managing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3"/>
          </w:tcPr>
          <w:p>
            <w:pPr>
              <w:ind w:left="60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September 27,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29, 2011</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NCM, Inc.</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Subsidiary equity issued (returned) for purchase of intangible asset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 changes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Change from net income attributable to NCM, Inc. and transfers from noncontrolling interests</w:t>
            </w: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vMerge w:val="continue"/>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104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Income taxes are accounted for under the asset and liability method, which requires recognition of deferred tax assets and liabilities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effect of a change in tax rates on deferred tax assets and liabilities is recognized in income in the period that includes the enactment date.</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considered all recently issued accounting pronouncements and does not believe the adoption of such pronouncements will have a material impact on its condensed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Basic earnings per share are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Quarter</w:t>
            </w:r>
          </w:p>
        </w:tc>
        <w:tc>
          <w:tcPr>
            <w:tcW w:w="6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6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27,</w:t>
            </w:r>
          </w:p>
        </w:tc>
        <w:tc>
          <w:tcPr>
            <w:tcW w:w="6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6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6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29,</w:t>
            </w:r>
          </w:p>
        </w:tc>
        <w:tc>
          <w:tcPr>
            <w:tcW w:w="0" w:type="dxa"/>
            <w:vAlign w:val="bottom"/>
          </w:tcPr>
          <w:p>
            <w:pPr>
              <w:spacing w:after="0"/>
              <w:rPr>
                <w:sz w:val="1"/>
                <w:szCs w:val="1"/>
                <w:color w:val="auto"/>
              </w:rPr>
            </w:pPr>
          </w:p>
        </w:tc>
      </w:tr>
      <w:tr>
        <w:trPr>
          <w:trHeight w:val="161"/>
        </w:trPr>
        <w:tc>
          <w:tcPr>
            <w:tcW w:w="50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2012</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NCM, Inc. (in millions)</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54,451,200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53,924,656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54,344,944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53,842,731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728,466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779,007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660,734</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55,179,666</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54,703,663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55,005,678</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54,644,814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0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effect of the 57,531,576; 56,879,964; 57,347,788 and 56,970,996 exchangeable NCM LLC common units held by the founding members for the quarters ended September 27, 2012 and September 29, 2011 and the nine months ended September 27, 2012 and September 29, 2011, respectively, have been excluded from the calculation of diluted weighted average shares and earnings per NCM, Inc. share as they were antidilutive. NCM LLC common units do not participate in NCM, Inc. dividends. In addition, there were 100,754 and 21,276 stock options and non-vested (restricted) shares for the quarters ended September 27, 2012 and September 29, 2011, and 166,943 and 105,403 stock options and non-vested (restricted) shares for the nine months ended September 27, 2012 and September 29, 2011, respectively, excluded from the calculation as they were antidilutive, primarily because exercise prices were above the average market value. The Company’s non-vested (restricted) shares do not meet the definition of a participating security as the dividends will not be paid if the shares do not vest.</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INTANGIBLE ASSETS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past year. During the first quarter of 2012, NCM LLC issued 651,612 common membership units to its founding members for the rights to exclusive access to net new theatre screens and attendees added by the founding members to NCM LLC’s network during 2011. NCM LLC recorded a net intangible asset of $9.9 million in the first quarter of 2012, as a result of the common unit adjustment. In lieu of surrendering 16,727 units, AMC paid NCM LLC $0.2 million in the first quarter of 2012. During the first quarter of 2011, NCM LLC’s founding members returned a net 322,751 common membership units to NCM LLC for 2010 attendance, which reduced the net intangible asset by $5.5 million during the first quarter of 2011.</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Founding Member Transactions—Following is a summary of the transactions between the Company and the founding members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w w:val="85"/>
              </w:rPr>
              <w:t>Nine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Nine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Months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Included in the Condensed Consolidated Statements of Income:</w:t>
            </w:r>
          </w:p>
        </w:tc>
        <w:tc>
          <w:tcPr>
            <w:tcW w:w="35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1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1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18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39"/>
              <w:spacing w:after="0" w:line="148"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59"/>
              <w:spacing w:after="0" w:line="148"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44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Revenue share from Fathom Events (included in Fathom Events operating costs) </w:t>
            </w:r>
            <w:r>
              <w:rPr>
                <w:rFonts w:ascii="Arial" w:cs="Arial" w:eastAsia="Arial" w:hAnsi="Arial"/>
                <w:sz w:val="18"/>
                <w:szCs w:val="18"/>
                <w:i w:val="1"/>
                <w:iCs w:val="1"/>
                <w:color w:val="auto"/>
              </w:rPr>
              <w:t>(3)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440"/>
              <w:spacing w:after="0"/>
              <w:rPr>
                <w:sz w:val="20"/>
                <w:szCs w:val="20"/>
                <w:color w:val="auto"/>
              </w:rPr>
            </w:pPr>
            <w:r>
              <w:rPr>
                <w:rFonts w:ascii="Arial" w:cs="Arial" w:eastAsia="Arial" w:hAnsi="Arial"/>
                <w:sz w:val="18"/>
                <w:szCs w:val="18"/>
                <w:color w:val="auto"/>
                <w:w w:val="88"/>
              </w:rPr>
              <w:t xml:space="preserve">Purchase of movie tickets and concession products (included in Fathom Events operating costs) </w:t>
            </w:r>
            <w:r>
              <w:rPr>
                <w:rFonts w:ascii="Arial" w:cs="Arial" w:eastAsia="Arial" w:hAnsi="Arial"/>
                <w:sz w:val="18"/>
                <w:szCs w:val="18"/>
                <w:i w:val="1"/>
                <w:iCs w:val="1"/>
                <w:color w:val="auto"/>
                <w:w w:val="88"/>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ind w:left="440"/>
              <w:spacing w:after="0"/>
              <w:rPr>
                <w:sz w:val="20"/>
                <w:szCs w:val="20"/>
                <w:color w:val="auto"/>
              </w:rPr>
            </w:pPr>
            <w:r>
              <w:rPr>
                <w:rFonts w:ascii="Arial" w:cs="Arial" w:eastAsia="Arial" w:hAnsi="Arial"/>
                <w:sz w:val="18"/>
                <w:szCs w:val="18"/>
                <w:color w:val="auto"/>
                <w:w w:val="91"/>
              </w:rPr>
              <w:t xml:space="preserve">Purchase of movie tickets and concession products (included in Selling and marketing costs) </w:t>
            </w:r>
            <w:r>
              <w:rPr>
                <w:rFonts w:ascii="Arial" w:cs="Arial" w:eastAsia="Arial" w:hAnsi="Arial"/>
                <w:sz w:val="18"/>
                <w:szCs w:val="18"/>
                <w:i w:val="1"/>
                <w:iCs w:val="1"/>
                <w:color w:val="auto"/>
                <w:w w:val="91"/>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460" w:type="dxa"/>
            <w:vAlign w:val="bottom"/>
            <w:gridSpan w:val="2"/>
          </w:tcPr>
          <w:p>
            <w:pPr>
              <w:ind w:left="56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3" w:lineRule="exact"/>
        <w:rPr>
          <w:sz w:val="20"/>
          <w:szCs w:val="20"/>
          <w:color w:val="auto"/>
        </w:rPr>
      </w:pPr>
    </w:p>
    <w:p>
      <w:pPr>
        <w:ind w:left="460" w:hanging="452"/>
        <w:spacing w:after="0" w:line="253"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For the quarters and nine months ended September 27, 2012 and September 29, 2011, the founding members purchased 60 seconds of on-screen advertising time (with a right to purchase up to 90 seconds) from NCM LLC to satisfy their obligations under their beverage concessionaire agreements at a rate specified by the ESA at a 30 second equivalent cost per thousand (“CPM”).</w:t>
      </w: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 values of such purchases are calculated by reference to NCM LLC’s advertising rate card.</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These payments are at rates (percentage of event revenue) included in the ESAs based on the nature of the event.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Business Events customers.</w:t>
      </w:r>
    </w:p>
    <w:p>
      <w:pPr>
        <w:spacing w:after="0" w:line="9" w:lineRule="exact"/>
        <w:rPr>
          <w:rFonts w:ascii="Arial" w:cs="Arial" w:eastAsia="Arial" w:hAnsi="Arial"/>
          <w:sz w:val="18"/>
          <w:szCs w:val="18"/>
          <w:i w:val="1"/>
          <w:iCs w:val="1"/>
          <w:color w:val="auto"/>
        </w:rPr>
      </w:pPr>
    </w:p>
    <w:p>
      <w:pPr>
        <w:ind w:left="460" w:right="80" w:hanging="452"/>
        <w:spacing w:after="0" w:line="261"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Included in the Condensed Consolidated Balance Sheets:</w:t>
            </w:r>
          </w:p>
        </w:tc>
        <w:tc>
          <w:tcPr>
            <w:tcW w:w="45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8"/>
        </w:trPr>
        <w:tc>
          <w:tcPr>
            <w:tcW w:w="348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2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27, 2012</w:t>
            </w: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1"/>
              </w:rPr>
              <w:t>December 29, 2011</w:t>
            </w:r>
          </w:p>
        </w:tc>
        <w:tc>
          <w:tcPr>
            <w:tcW w:w="0" w:type="dxa"/>
            <w:vAlign w:val="bottom"/>
          </w:tcPr>
          <w:p>
            <w:pPr>
              <w:spacing w:after="0"/>
              <w:rPr>
                <w:sz w:val="1"/>
                <w:szCs w:val="1"/>
                <w:color w:val="auto"/>
              </w:rPr>
            </w:pPr>
          </w:p>
        </w:tc>
      </w:tr>
      <w:tr>
        <w:trPr>
          <w:trHeight w:val="203"/>
        </w:trPr>
        <w:tc>
          <w:tcPr>
            <w:tcW w:w="8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Integration payments (included in Intangible assets) </w:t>
            </w:r>
            <w:r>
              <w:rPr>
                <w:rFonts w:ascii="Arial" w:cs="Arial" w:eastAsia="Arial" w:hAnsi="Arial"/>
                <w:sz w:val="18"/>
                <w:szCs w:val="18"/>
                <w:i w:val="1"/>
                <w:iCs w:val="1"/>
                <w:color w:val="auto"/>
              </w:rPr>
              <w:t>(1)</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 xml:space="preserve">Current payable to founding members under tax sharing agreement </w:t>
            </w:r>
            <w:r>
              <w:rPr>
                <w:rFonts w:ascii="Arial" w:cs="Arial" w:eastAsia="Arial" w:hAnsi="Arial"/>
                <w:sz w:val="18"/>
                <w:szCs w:val="18"/>
                <w:i w:val="1"/>
                <w:iCs w:val="1"/>
                <w:color w:val="auto"/>
              </w:rPr>
              <w:t>(2)</w:t>
            </w:r>
          </w:p>
        </w:tc>
        <w:tc>
          <w:tcPr>
            <w:tcW w:w="240" w:type="dxa"/>
            <w:vAlign w:val="bottom"/>
          </w:tcPr>
          <w:p>
            <w:pPr>
              <w:spacing w:after="0"/>
              <w:rPr>
                <w:sz w:val="18"/>
                <w:szCs w:val="18"/>
                <w:color w:val="auto"/>
              </w:rPr>
            </w:pP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Long-term payable to founding members under tax sharing agreement </w:t>
            </w:r>
            <w:r>
              <w:rPr>
                <w:rFonts w:ascii="Arial" w:cs="Arial" w:eastAsia="Arial" w:hAnsi="Arial"/>
                <w:sz w:val="18"/>
                <w:szCs w:val="18"/>
                <w:i w:val="1"/>
                <w:iCs w:val="1"/>
                <w:color w:val="auto"/>
              </w:rPr>
              <w:t>(2)</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143.9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303" w:lineRule="auto"/>
        <w:tabs>
          <w:tab w:leader="none" w:pos="460" w:val="left"/>
        </w:tabs>
        <w:numPr>
          <w:ilvl w:val="0"/>
          <w:numId w:val="3"/>
        </w:numPr>
        <w:rPr>
          <w:rFonts w:ascii="Arial" w:cs="Arial" w:eastAsia="Arial" w:hAnsi="Arial"/>
          <w:sz w:val="15"/>
          <w:szCs w:val="15"/>
          <w:i w:val="1"/>
          <w:iCs w:val="1"/>
          <w:color w:val="auto"/>
        </w:rPr>
      </w:pPr>
      <w:r>
        <w:rPr>
          <w:rFonts w:ascii="Arial" w:cs="Arial" w:eastAsia="Arial" w:hAnsi="Arial"/>
          <w:sz w:val="15"/>
          <w:szCs w:val="15"/>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made integration payments pursuant to the ESAs on a quarterly basis in arrears through the second quarter of 2011 in accordance with certain run-out provisions.</w:t>
      </w:r>
    </w:p>
    <w:p>
      <w:pPr>
        <w:spacing w:after="0" w:line="1" w:lineRule="exact"/>
        <w:rPr>
          <w:rFonts w:ascii="Arial" w:cs="Arial" w:eastAsia="Arial" w:hAnsi="Arial"/>
          <w:sz w:val="15"/>
          <w:szCs w:val="15"/>
          <w:i w:val="1"/>
          <w:iCs w:val="1"/>
          <w:color w:val="auto"/>
        </w:rPr>
      </w:pPr>
    </w:p>
    <w:p>
      <w:pPr>
        <w:ind w:left="460" w:right="80" w:hanging="452"/>
        <w:spacing w:after="0" w:line="261"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Company paid the founding members $18.2 million in the first quarter of 2012, of which $0.9 million was for the 2010 tax year and $17.3 million was for the 2011 tax year.</w:t>
      </w:r>
    </w:p>
    <w:p>
      <w:pPr>
        <w:spacing w:after="0" w:line="13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quarters ended September 27, 2012 and September 29, 2011 and the nine months ended September 27, 2012 and September 29, 2011 are as follows (in millions):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Nine Months</w:t>
            </w:r>
          </w:p>
        </w:tc>
        <w:tc>
          <w:tcPr>
            <w:tcW w:w="3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400" w:type="dxa"/>
            <w:vAlign w:val="bottom"/>
          </w:tcPr>
          <w:p>
            <w:pPr>
              <w:spacing w:after="0"/>
              <w:rPr>
                <w:sz w:val="12"/>
                <w:szCs w:val="12"/>
                <w:color w:val="auto"/>
              </w:rPr>
            </w:pPr>
          </w:p>
        </w:tc>
        <w:tc>
          <w:tcPr>
            <w:tcW w:w="168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Quarter Ended</w:t>
            </w:r>
          </w:p>
        </w:tc>
        <w:tc>
          <w:tcPr>
            <w:tcW w:w="14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27,</w:t>
            </w:r>
          </w:p>
        </w:tc>
        <w:tc>
          <w:tcPr>
            <w:tcW w:w="400" w:type="dxa"/>
            <w:vAlign w:val="bottom"/>
          </w:tcPr>
          <w:p>
            <w:pPr>
              <w:spacing w:after="0"/>
              <w:rPr>
                <w:sz w:val="12"/>
                <w:szCs w:val="12"/>
                <w:color w:val="auto"/>
              </w:rPr>
            </w:pPr>
          </w:p>
        </w:tc>
        <w:tc>
          <w:tcPr>
            <w:tcW w:w="1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29,</w:t>
            </w: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38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29,</w:t>
            </w:r>
          </w:p>
        </w:tc>
      </w:tr>
      <w:tr>
        <w:trPr>
          <w:trHeight w:val="161"/>
        </w:trPr>
        <w:tc>
          <w:tcPr>
            <w:tcW w:w="272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AMC</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Cinemark</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NCM, Inc.</w:t>
            </w:r>
          </w:p>
        </w:tc>
        <w:tc>
          <w:tcPr>
            <w:tcW w:w="1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r>
      <w:tr>
        <w:trPr>
          <w:trHeight w:val="216"/>
        </w:trPr>
        <w:tc>
          <w:tcPr>
            <w:tcW w:w="2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65.8</w:t>
            </w:r>
          </w:p>
        </w:tc>
        <w:tc>
          <w:tcPr>
            <w:tcW w:w="6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mandatory distributions of available cash by NCM LLC to its founding members for the quarter ended September 27, 2012 of $33.7 million is included in amounts due to founding members on the condensed consolidated balance sheets at September 27, 2012 and will be made in the fourth quarter of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76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September 27, 2012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AMC</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22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12.9</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33.7</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10.5</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13.7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35.1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December 29, 2011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AMC</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40" w:type="dxa"/>
            <w:vAlign w:val="bottom"/>
            <w:gridSpan w:val="4"/>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22.1</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$ 6.7</w:t>
            </w:r>
          </w:p>
        </w:tc>
        <w:tc>
          <w:tcPr>
            <w:tcW w:w="240" w:type="dxa"/>
            <w:vAlign w:val="bottom"/>
          </w:tcPr>
          <w:p>
            <w:pPr>
              <w:spacing w:after="0"/>
              <w:rPr>
                <w:sz w:val="19"/>
                <w:szCs w:val="19"/>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$ 8.5</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22.0</w:t>
            </w: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Related Party Affiliates</w:t>
      </w:r>
      <w:r>
        <w:rPr>
          <w:rFonts w:ascii="Arial" w:cs="Arial" w:eastAsia="Arial" w:hAnsi="Arial"/>
          <w:sz w:val="16"/>
          <w:szCs w:val="16"/>
          <w:color w:val="auto"/>
        </w:rPr>
        <w:t>—NCM LLC enters into network affiliate agreements and Fathom agreements with network affiliates for NCM LLC to provide in-theatre advertising and Fathom Events 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Following is a summary of advertising operating costs in the Condensed Consolidated Statements of Income between the Company and its related party affiliates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0"/>
              </w:rPr>
              <w:t>Quarter</w:t>
            </w:r>
          </w:p>
        </w:tc>
        <w:tc>
          <w:tcPr>
            <w:tcW w:w="140" w:type="dxa"/>
            <w:vAlign w:val="bottom"/>
          </w:tcPr>
          <w:p>
            <w:pPr>
              <w:spacing w:after="0"/>
              <w:rPr>
                <w:sz w:val="14"/>
                <w:szCs w:val="14"/>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Quarter</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8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4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5"/>
              </w:rPr>
              <w:t>Related Party Affiliate</w:t>
            </w:r>
          </w:p>
        </w:tc>
        <w:tc>
          <w:tcPr>
            <w:tcW w:w="3320" w:type="dxa"/>
            <w:vAlign w:val="bottom"/>
          </w:tcPr>
          <w:p>
            <w:pPr>
              <w:spacing w:after="0"/>
              <w:rPr>
                <w:sz w:val="12"/>
                <w:szCs w:val="12"/>
                <w:color w:val="auto"/>
              </w:rPr>
            </w:pPr>
          </w:p>
        </w:tc>
        <w:tc>
          <w:tcPr>
            <w:tcW w:w="1620" w:type="dxa"/>
            <w:vAlign w:val="bottom"/>
            <w:gridSpan w:val="4"/>
          </w:tcPr>
          <w:p>
            <w:pPr>
              <w:jc w:val="right"/>
              <w:ind w:right="800"/>
              <w:spacing w:after="0" w:line="149" w:lineRule="exact"/>
              <w:rPr>
                <w:sz w:val="20"/>
                <w:szCs w:val="20"/>
                <w:color w:val="auto"/>
              </w:rPr>
            </w:pPr>
            <w:r>
              <w:rPr>
                <w:rFonts w:ascii="Arial" w:cs="Arial" w:eastAsia="Arial" w:hAnsi="Arial"/>
                <w:sz w:val="14"/>
                <w:szCs w:val="14"/>
                <w:b w:val="1"/>
                <w:bCs w:val="1"/>
                <w:color w:val="auto"/>
                <w:w w:val="83"/>
              </w:rPr>
              <w:t>September 27,</w:t>
            </w:r>
          </w:p>
        </w:tc>
        <w:tc>
          <w:tcPr>
            <w:tcW w:w="162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3"/>
              </w:rPr>
              <w:t>September 29,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September 27,</w:t>
            </w:r>
          </w:p>
        </w:tc>
        <w:tc>
          <w:tcPr>
            <w:tcW w:w="8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September 29,</w:t>
            </w:r>
          </w:p>
        </w:tc>
        <w:tc>
          <w:tcPr>
            <w:tcW w:w="0" w:type="dxa"/>
            <w:vAlign w:val="bottom"/>
          </w:tcPr>
          <w:p>
            <w:pPr>
              <w:spacing w:after="0"/>
              <w:rPr>
                <w:sz w:val="1"/>
                <w:szCs w:val="1"/>
                <w:color w:val="auto"/>
              </w:rPr>
            </w:pPr>
          </w:p>
        </w:tc>
      </w:tr>
      <w:tr>
        <w:trPr>
          <w:trHeight w:val="168"/>
        </w:trPr>
        <w:tc>
          <w:tcPr>
            <w:tcW w:w="1400" w:type="dxa"/>
            <w:vAlign w:val="bottom"/>
            <w:tcBorders>
              <w:bottom w:val="single" w:sz="8" w:color="auto"/>
            </w:tcBorders>
            <w:vMerge w:val="continue"/>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1"/>
              <w:spacing w:after="0" w:line="148"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1"/>
              <w:spacing w:after="0" w:line="148" w:lineRule="exact"/>
              <w:rPr>
                <w:sz w:val="20"/>
                <w:szCs w:val="20"/>
                <w:color w:val="auto"/>
              </w:rPr>
            </w:pPr>
            <w:r>
              <w:rPr>
                <w:rFonts w:ascii="Arial" w:cs="Arial" w:eastAsia="Arial" w:hAnsi="Arial"/>
                <w:sz w:val="14"/>
                <w:szCs w:val="14"/>
                <w:b w:val="1"/>
                <w:bCs w:val="1"/>
                <w:color w:val="auto"/>
                <w:w w:val="83"/>
              </w:rPr>
              <w:t>2011</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83"/>
              </w:rPr>
              <w:t>2012</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3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 xml:space="preserve">Showplex </w:t>
            </w:r>
            <w:r>
              <w:rPr>
                <w:rFonts w:ascii="Arial" w:cs="Arial" w:eastAsia="Arial" w:hAnsi="Arial"/>
                <w:sz w:val="18"/>
                <w:szCs w:val="18"/>
                <w:i w:val="1"/>
                <w:iCs w:val="1"/>
                <w:color w:val="auto"/>
              </w:rPr>
              <w:t>(2)</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(3)</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0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Following is a summary of the accounts payable balance between the Company and its related party affiliates included in the Condensed Consolidated Balance Sheets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Related Party Affiliate</w:t>
            </w:r>
          </w:p>
        </w:tc>
        <w:tc>
          <w:tcPr>
            <w:tcW w:w="31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As at September 27, 2012</w:t>
            </w:r>
          </w:p>
        </w:tc>
        <w:tc>
          <w:tcPr>
            <w:tcW w:w="2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As at December 29, 2011</w:t>
            </w:r>
          </w:p>
        </w:tc>
      </w:tr>
      <w:tr>
        <w:trPr>
          <w:trHeight w:val="203"/>
        </w:trPr>
        <w:tc>
          <w:tcPr>
            <w:tcW w:w="1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3120" w:type="dxa"/>
            <w:vAlign w:val="bottom"/>
            <w:tcBorders>
              <w:top w:val="single" w:sz="8" w:color="CCEEFF"/>
            </w:tcBorders>
            <w:gridSpan w:val="2"/>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 xml:space="preserve">Showplex </w:t>
            </w:r>
            <w:r>
              <w:rPr>
                <w:rFonts w:ascii="Arial" w:cs="Arial" w:eastAsia="Arial" w:hAnsi="Arial"/>
                <w:sz w:val="18"/>
                <w:szCs w:val="18"/>
                <w:i w:val="1"/>
                <w:iCs w:val="1"/>
                <w:color w:val="auto"/>
              </w:rPr>
              <w:t>(2)</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(3)</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rPr>
              <w:t>Total</w:t>
            </w:r>
          </w:p>
        </w:tc>
        <w:tc>
          <w:tcPr>
            <w:tcW w:w="3760" w:type="dxa"/>
            <w:vAlign w:val="bottom"/>
            <w:gridSpan w:val="3"/>
          </w:tcPr>
          <w:p>
            <w:pPr>
              <w:jc w:val="right"/>
              <w:ind w:right="48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860" w:type="dxa"/>
            <w:vAlign w:val="bottom"/>
            <w:gridSpan w:val="2"/>
          </w:tcPr>
          <w:p>
            <w:pPr>
              <w:jc w:val="right"/>
              <w:ind w:right="48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Starplex Operating L.P. (“Starplex”) is an affiliate of Cinemark.</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Showplex Cinemas, Inc. (“Showplex”) is an affiliate of one of NCM, Inc.’s directors.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Other affiliates include LA Live Cinemas LLC (“LA Live”), an affiliate of Regal, and Texas Cinemas, Corp., an affiliate of one of NCM, Inc.’s directors.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BORROWINGS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summarizes NCM LLC’s total outstanding debt as of September 27, 2012 and December 29, 2011 and the significant terms of its borrowing arrangements: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Borrowings ($ in millions)</w:t>
            </w:r>
          </w:p>
        </w:tc>
        <w:tc>
          <w:tcPr>
            <w:tcW w:w="1360" w:type="dxa"/>
            <w:vAlign w:val="bottom"/>
            <w:vMerge w:val="restart"/>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2"/>
              </w:rPr>
              <w:t>Outstanding Balance as of</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Maturity Date</w:t>
            </w:r>
          </w:p>
        </w:tc>
        <w:tc>
          <w:tcPr>
            <w:tcW w:w="102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7"/>
              </w:rPr>
              <w:t>Interest Rate</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84"/>
              </w:rPr>
              <w:t>September 27, 2012</w:t>
            </w:r>
          </w:p>
        </w:tc>
        <w:tc>
          <w:tcPr>
            <w:tcW w:w="320" w:type="dxa"/>
            <w:vAlign w:val="bottom"/>
          </w:tcPr>
          <w:p>
            <w:pPr>
              <w:spacing w:after="0"/>
              <w:rPr>
                <w:sz w:val="12"/>
                <w:szCs w:val="12"/>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December 29, 2011</w:t>
            </w:r>
          </w:p>
        </w:tc>
        <w:tc>
          <w:tcPr>
            <w:tcW w:w="6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9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1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w:t>
            </w:r>
          </w:p>
        </w:tc>
        <w:tc>
          <w:tcPr>
            <w:tcW w:w="6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April 27, 2017</w:t>
            </w:r>
            <w:r>
              <w:rPr>
                <w:rFonts w:ascii="Arial" w:cs="Arial" w:eastAsia="Arial" w:hAnsi="Arial"/>
                <w:sz w:val="18"/>
                <w:szCs w:val="18"/>
                <w:i w:val="1"/>
                <w:iCs w:val="1"/>
                <w:color w:val="auto"/>
                <w:w w:val="91"/>
              </w:rPr>
              <w:t>(a)</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w w:val="81"/>
              </w:rPr>
              <w:t>(b)</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225.0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550.0</w:t>
            </w:r>
          </w:p>
        </w:tc>
        <w:tc>
          <w:tcPr>
            <w:tcW w:w="66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February 13, 2015</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81"/>
              </w:rPr>
              <w:t>(b)</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July 15, 2021</w:t>
            </w:r>
          </w:p>
        </w:tc>
        <w:tc>
          <w:tcPr>
            <w:tcW w:w="1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April 15, 2022</w:t>
            </w:r>
          </w:p>
        </w:tc>
        <w:tc>
          <w:tcPr>
            <w:tcW w:w="1020" w:type="dxa"/>
            <w:vAlign w:val="bottom"/>
            <w:gridSpan w:val="2"/>
          </w:tcPr>
          <w:p>
            <w:pPr>
              <w:jc w:val="right"/>
              <w:ind w:right="12"/>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29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850.0</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A portion of the revolving credit facility has a maturity date of December 31, 2014, as described in further detail below.</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Senior Secured Credit Facility</w:t>
      </w:r>
      <w:r>
        <w:rPr>
          <w:rFonts w:ascii="Arial" w:cs="Arial" w:eastAsia="Arial" w:hAnsi="Arial"/>
          <w:sz w:val="18"/>
          <w:szCs w:val="18"/>
          <w:color w:val="auto"/>
        </w:rPr>
        <w:t>—NCM LLC’s senior secured credit facility consists of a $119.0 million revolving credit facility and a $225.0 million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The obligations under the facility are secured by a lien on substantially all of the assets of NCM LLC.</w:t>
      </w:r>
    </w:p>
    <w:p>
      <w:pPr>
        <w:spacing w:after="0" w:line="51"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 of the Company in the ordinary course of business and for other transactions permitted under the senior secured credit facility, and a portion is available for letters of credit.</w:t>
      </w:r>
    </w:p>
    <w:p>
      <w:pPr>
        <w:spacing w:after="0" w:line="59"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NCM LLC’s total availability under the revolving credit facility is $119.0 million. The unused line fee is 0.50% per annum. Of the total available, $14.0 million outstanding principal of the revolving credit facility formerly held by Lehman Brothers Holdings, Inc. (“Lehman”) will not be repaid in connection with any future prepayments of the revolving credit facility amounts, but rather Lehman’s share of the revolving credit facility will be paid in full by NCM LLC to the successor lenders, along with any accrued and unpaid fees and interest, on the revolving credit facility termination date of December 31, 2014. On April 27, 2012, the Company entered into an amendment to its senior secured credit facility (the “Amendment”) which resulted in the maturity of the remaining $105.0 million available under the revolving credit facility to be extended to April 27, 2017, subject to acceleration if the term loan under the credit facility is not repaid, refinanced or extended by December 31, 2014. The Amendment became effective upon the completion of the private placement of the Senior Secured Notes (defined and discussed below) on April 27, 2012.</w:t>
      </w:r>
    </w:p>
    <w:p>
      <w:pPr>
        <w:spacing w:after="0" w:line="37"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credit agreement). In connection with the Amendment, the applicable margins on the $105.0 million portion of the revolving credit facility increased by 75 basis points based upon the then current senior secured leverage ratio to the LIBOR index plus 2.25% or the base rate plus 1.25%. The margin on the $14.0 million portion of the revolving credit facility remained unchanged at the LIBOR index plus 1.50% or the base rate plus 0.50%. The weighted-average interest rate on the outstanding balance on the revolving credit facility as of September 27, 2012 was 2.55%.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right="40"/>
        <w:spacing w:after="0" w:line="287" w:lineRule="auto"/>
        <w:rPr>
          <w:sz w:val="20"/>
          <w:szCs w:val="20"/>
          <w:color w:val="auto"/>
        </w:rPr>
      </w:pPr>
      <w:r>
        <w:rPr>
          <w:rFonts w:ascii="Arial" w:cs="Arial" w:eastAsia="Arial" w:hAnsi="Arial"/>
          <w:sz w:val="16"/>
          <w:szCs w:val="16"/>
          <w:i w:val="1"/>
          <w:iCs w:val="1"/>
          <w:color w:val="auto"/>
        </w:rPr>
        <w:t>Term Loan—</w:t>
      </w:r>
      <w:r>
        <w:rPr>
          <w:rFonts w:ascii="Arial" w:cs="Arial" w:eastAsia="Arial" w:hAnsi="Arial"/>
          <w:sz w:val="16"/>
          <w:szCs w:val="16"/>
          <w:color w:val="auto"/>
        </w:rPr>
        <w:t>The term loan bears interest at the Company’s option of either the LIBOR index plus 1.50% or the base rate (Prime Rate or the Federal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Rate, as defined in the senior secured credit facility) plus 0.50%. The interest rate on the term loan was lowered from the LIBOR index plus 1.75% and the base rate plus 0.75% in the first quarter of 2011 due to an upgrade in the corporate credit rating by the credit agencies specified in the facility. The weighted-average interest rate on the term loan as of September 27, 2012 was 1.90% without giving effect to the interest rate swaps. As of September 27, 2012, interest rate swaps resulted in the entire $225.0 million term loan having a fixed annual interest rate of 6.484% (both those accounted for as hedges and those that are not). Interest payments are made quarterly. See Note 8-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further discussion of the interest rate swaps. In connection with the Amendment and the private placement of $400.0 million of Senior Secured Notes (defined below) on April 27, 2012, the Company paid down its term loan by $325.0 million, reducing the balance from $550.0 million to $225.0 million. During the nine months ended September 27, 2012, the Company recorded a non-cash charge of $2.5 million for the write-off of net deferred issuance costs associated with the payment on the term loan.</w:t>
      </w:r>
    </w:p>
    <w:p>
      <w:pPr>
        <w:spacing w:after="0" w:line="123"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The senior secured credit facility contains a number of covenants and financial ratio requirements, with which the Company was in compliance at September 27, 2012, including maintaining a consolidated net senior secured leverage ratio of 6.5 times on a quarterly basis. In addition, there are no borrower distribution restrictions as long as the Company’s consolidated net senior secured leverage ratio is below 6.5 times and the Company is in compliance with its debt covenants. As of September 27, 2012, the Company’s consolidated net senior secured leverage ratio was 2.9 times (versus the covenant of 6.5 times).</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Senior Unsecured Notes due 2021</w:t>
      </w:r>
      <w:r>
        <w:rPr>
          <w:rFonts w:ascii="Arial" w:cs="Arial" w:eastAsia="Arial" w:hAnsi="Arial"/>
          <w:sz w:val="16"/>
          <w:szCs w:val="16"/>
          <w:color w:val="auto"/>
        </w:rPr>
        <w:t>—On July 5, 2011, NCM LLC completed a private placement of $200.0 million in aggregate principal amount of 7.875%</w:t>
      </w:r>
      <w:r>
        <w:rPr>
          <w:rFonts w:ascii="Arial" w:cs="Arial" w:eastAsia="Arial" w:hAnsi="Arial"/>
          <w:sz w:val="16"/>
          <w:szCs w:val="16"/>
          <w:i w:val="1"/>
          <w:iCs w:val="1"/>
          <w:color w:val="auto"/>
        </w:rPr>
        <w:t xml:space="preserve"> </w:t>
      </w:r>
      <w:r>
        <w:rPr>
          <w:rFonts w:ascii="Arial" w:cs="Arial" w:eastAsia="Arial" w:hAnsi="Arial"/>
          <w:sz w:val="16"/>
          <w:szCs w:val="16"/>
          <w:color w:val="auto"/>
        </w:rPr>
        <w:t>Senior Unsecured Notes (“Senior Unsecured Notes”) for which the exchange offering was completed on September 22, 2011. The Senior Unsecured Notes have a maturity date of July 15, 2021 and pay interest semi-annually in arrears on January 15 and July 15 of each year, commencing January 15, 2012. The notes are subordinated to all existing and future secured debt, including indebtedness under the Company’s existing senior secured credit facility and the Senior Secured Notes defined below. The Senior Unsecured Notes contain certain covenants with which the Company was in compliance as of September 27, 2012.</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Senior Secured Notes due 2022</w:t>
      </w:r>
      <w:r>
        <w:rPr>
          <w:rFonts w:ascii="Arial" w:cs="Arial" w:eastAsia="Arial" w:hAnsi="Arial"/>
          <w:sz w:val="16"/>
          <w:szCs w:val="16"/>
          <w:color w:val="auto"/>
        </w:rPr>
        <w:t>—On April 27, 2012, NCM LLC completed a private placement of $400.0 million in aggregate principal amount of 6.00%</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Secured Notes (the “Senior Secured Notes”) for which the Company expects the exchange offering to be completed in November 2012. The Senior Secured Notes have a maturity date of April 15, 2022 and pay interest semi-annually in arrears on April 15 and October 15 of each year, commencing October 15, 2012. The Senior Secured Notes are senior secured obligations of NCM LLC, rank the same as NCM LLC’s senior secured credit facility, subject to certain exceptions, and share in the same collateral that secures NCM LLC’s obligations under the senior secured credit facility. The Senior Secured Notes contain certain covenants with which the Company was in compliance as of September 27, 2012.</w:t>
      </w:r>
    </w:p>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effect on its financial position, results of operations or cash flows.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into in the ordinary course of business under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$34.4 million over the remaining terms of the network affiliate agreements. As of September 27, 2012 and December 29, 2011, the Company had no liabilities recorded for these obligations as such guarantees are less than the expected share of revenue paid to the affiliate.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The Company is subject to taxation in the U.S. and various states. NCM LLC’s fiscal year 2007 and 2008 tax returns are currently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examination by the Internal Revenue Service (“IRS”). In September 2011, NCM LLC received a Notice of Proposed Adjustment (“NOPA”) for the calendar year 2007 examination primarily related to characterization of the cash received by the founding members at or around the date of NCM, Inc.’s initial public offering,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 NCM LLC strongly disagrees with, and has contested, the IRS’ positions.</w:t>
      </w:r>
    </w:p>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NCM, Inc., in its capacity as tax matters partner for NCM LLC, received a “60 Day Letter” from the IRS, dated April 25, 2012, in connection with the examination of NCM LLC’s federal tax return for the 2007 and 2008 fiscal years. The 60 Day Letter notified NCM LLC that the IRS intended to adjust partnership items unless a written letter of protest was received by the IRS within 60 days of the date of the letter. Subsequent to the receipt of the 60 Day Letter, NCM, Inc. received from the IRS an additional 30 day extension to respond. The adjustments proposed by the IRS in the 60 Day Letter are materially similar to the adjustments proposed in the NOPA received in September 2011. The Company submitted its written letter of protest to the IRS in July 2012 and believes the IRS’ position lacks merit and intends to dispute the adjustments through the administrative appeals process.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reasonably possible that, should the IRS prevail, the Company may be required to pay additional amounts to the founding members under the tax receivable agreement which would be offset by refunds from various state and federal taxing authorities. However, at this time the amount of any such payments to the founding members or refunds from the various taxing authorities cannot be reasonably estimated and as such no amounts are included in the condensed consolidated financial statements herein.</w:t>
      </w:r>
    </w:p>
    <w:p>
      <w:pPr>
        <w:spacing w:after="0" w:line="143"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As of September 27, 2012 and December 29, 2011, there was no material liability or expense for the periods then ended recorded for payment of interest and penalties associated with uncertain tax positions or material unrecognized tax positions and the Company’s unrecognized tax benefits were not material.</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5" w:lineRule="exact"/>
        <w:rPr>
          <w:sz w:val="20"/>
          <w:szCs w:val="20"/>
          <w:color w:val="auto"/>
        </w:rPr>
      </w:pPr>
    </w:p>
    <w:p>
      <w:pPr>
        <w:jc w:val="both"/>
        <w:ind w:left="460" w:right="380"/>
        <w:spacing w:after="0" w:line="250"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1"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13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—The carrying amount of the revolving credit facility is considered a reasonable estimate of fair value due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floating-rate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fair values of the Company’s financial instruments where carrying values do not approximate fair value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8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September 27, 2012</w:t>
            </w:r>
          </w:p>
        </w:tc>
        <w:tc>
          <w:tcPr>
            <w:tcW w:w="2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As of December 29, 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27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5"/>
              </w:rPr>
              <w:t>Value</w:t>
            </w: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560" w:type="dxa"/>
            <w:vAlign w:val="bottom"/>
            <w:gridSpan w:val="3"/>
          </w:tcPr>
          <w:p>
            <w:pPr>
              <w:jc w:val="right"/>
              <w:ind w:right="660"/>
              <w:spacing w:after="0" w:line="148" w:lineRule="exact"/>
              <w:rPr>
                <w:sz w:val="20"/>
                <w:szCs w:val="20"/>
                <w:color w:val="auto"/>
              </w:rPr>
            </w:pPr>
            <w:r>
              <w:rPr>
                <w:rFonts w:ascii="Arial" w:cs="Arial" w:eastAsia="Arial" w:hAnsi="Arial"/>
                <w:sz w:val="14"/>
                <w:szCs w:val="14"/>
                <w:b w:val="1"/>
                <w:bCs w:val="1"/>
                <w:color w:val="auto"/>
                <w:w w:val="89"/>
              </w:rPr>
              <w:t>Carrying Value</w:t>
            </w:r>
          </w:p>
        </w:tc>
        <w:tc>
          <w:tcPr>
            <w:tcW w:w="90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8"/>
              </w:rPr>
              <w:t xml:space="preserve">Fair Value </w:t>
            </w:r>
            <w:r>
              <w:rPr>
                <w:rFonts w:ascii="Arial" w:cs="Arial" w:eastAsia="Arial" w:hAnsi="Arial"/>
                <w:sz w:val="14"/>
                <w:szCs w:val="14"/>
                <w:b w:val="1"/>
                <w:bCs w:val="1"/>
                <w:i w:val="1"/>
                <w:iCs w:val="1"/>
                <w:color w:val="auto"/>
                <w:w w:val="88"/>
              </w:rPr>
              <w:t>(1)</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18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$ 225.0</w:t>
            </w: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9"/>
              </w:rPr>
              <w:t>225.1</w:t>
            </w: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550.0</w:t>
            </w:r>
          </w:p>
        </w:tc>
        <w:tc>
          <w:tcPr>
            <w:tcW w:w="6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2"/>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530.6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Senior Unsecured Notes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218.5</w:t>
            </w:r>
          </w:p>
        </w:tc>
        <w:tc>
          <w:tcPr>
            <w:tcW w:w="2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420.0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332" w:lineRule="auto"/>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fourth quarter of 2011 and first quarter of 2012, the Company received equity securities in a privately held company as consideration for an advertising contract, which the Company accounted for as a cost method investment. The fair value of the investment has not been estimated as of September 27, 2012 or December 29, 2011 as there were no identified events or changes in circumstances that had a significant adverse effect on the fair value of the investment and it is not practicable to do so because the equity securities are not in a publicly traded company. The carrying amount of the Company’s investment was $0.8 million and $0.2 million as of September 27, 2012 and December 29, 2011, respectively.</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Significant Other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As of</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Observable</w:t>
            </w:r>
          </w:p>
        </w:tc>
        <w:tc>
          <w:tcPr>
            <w:tcW w:w="7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2"/>
                <w:szCs w:val="12"/>
                <w:color w:val="auto"/>
              </w:rPr>
            </w:pP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40" w:type="dxa"/>
            <w:vAlign w:val="bottom"/>
          </w:tcPr>
          <w:p>
            <w:pPr>
              <w:spacing w:after="0"/>
              <w:rPr>
                <w:sz w:val="12"/>
                <w:szCs w:val="12"/>
                <w:color w:val="auto"/>
              </w:rPr>
            </w:pPr>
          </w:p>
        </w:tc>
        <w:tc>
          <w:tcPr>
            <w:tcW w:w="8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Inputs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(Level 1)</w:t>
            </w:r>
          </w:p>
        </w:tc>
        <w:tc>
          <w:tcPr>
            <w:tcW w:w="140" w:type="dxa"/>
            <w:vAlign w:val="bottom"/>
          </w:tcPr>
          <w:p>
            <w:pPr>
              <w:spacing w:after="0"/>
              <w:rPr>
                <w:sz w:val="14"/>
                <w:szCs w:val="14"/>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(Level 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 xml:space="preserve">Current portion of interest rate swap agreements </w:t>
            </w:r>
            <w:r>
              <w:rPr>
                <w:rFonts w:ascii="Arial" w:cs="Arial" w:eastAsia="Arial" w:hAnsi="Arial"/>
                <w:sz w:val="18"/>
                <w:szCs w:val="18"/>
                <w:i w:val="1"/>
                <w:iCs w:val="1"/>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377"/>
              <w:spacing w:after="0"/>
              <w:rPr>
                <w:sz w:val="20"/>
                <w:szCs w:val="20"/>
                <w:color w:val="auto"/>
              </w:rPr>
            </w:pPr>
            <w:r>
              <w:rPr>
                <w:rFonts w:ascii="Arial" w:cs="Arial" w:eastAsia="Arial" w:hAnsi="Arial"/>
                <w:sz w:val="18"/>
                <w:szCs w:val="18"/>
                <w:color w:val="auto"/>
                <w:w w:val="99"/>
              </w:rPr>
              <w:t>17</w:t>
            </w: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Significant Other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As of</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Observable</w:t>
            </w:r>
          </w:p>
        </w:tc>
        <w:tc>
          <w:tcPr>
            <w:tcW w:w="7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546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18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40" w:type="dxa"/>
            <w:vAlign w:val="bottom"/>
          </w:tcPr>
          <w:p>
            <w:pPr>
              <w:spacing w:after="0"/>
              <w:rPr>
                <w:sz w:val="12"/>
                <w:szCs w:val="12"/>
                <w:color w:val="auto"/>
              </w:rPr>
            </w:pPr>
          </w:p>
        </w:tc>
        <w:tc>
          <w:tcPr>
            <w:tcW w:w="8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Inputs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(Level 1)</w:t>
            </w:r>
          </w:p>
        </w:tc>
        <w:tc>
          <w:tcPr>
            <w:tcW w:w="14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87"/>
              </w:rPr>
              <w:t>(Level 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6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Current portion of interest rate swap agreements </w:t>
            </w:r>
            <w:r>
              <w:rPr>
                <w:rFonts w:ascii="Arial" w:cs="Arial" w:eastAsia="Arial" w:hAnsi="Arial"/>
                <w:sz w:val="18"/>
                <w:szCs w:val="18"/>
                <w:i w:val="1"/>
                <w:iCs w:val="1"/>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24.0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16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w w:val="85"/>
              </w:rPr>
              <w:t>46.8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70.8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w:t>
      </w:r>
    </w:p>
    <w:p>
      <w:pPr>
        <w:spacing w:after="0" w:line="15" w:lineRule="exact"/>
        <w:rPr>
          <w:rFonts w:ascii="Arial" w:cs="Arial" w:eastAsia="Arial" w:hAnsi="Arial"/>
          <w:sz w:val="18"/>
          <w:szCs w:val="18"/>
          <w:i w:val="1"/>
          <w:iCs w:val="1"/>
          <w:color w:val="auto"/>
        </w:rPr>
      </w:pPr>
    </w:p>
    <w:p>
      <w:pPr>
        <w:ind w:left="460" w:hanging="452"/>
        <w:spacing w:after="0" w:line="281" w:lineRule="auto"/>
        <w:tabs>
          <w:tab w:leader="none" w:pos="4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—The carrying amount and fair value of the marketable securities are equivalent since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for these instruments at fair value. The Company’s government agency bonds and commercial paper are valued using third party broker quotes. The value of the Company’s government agency bonds is derived from quoted market information. The inputs in the valuation are generally classified as Level 1 given the active market for these securities; however if an active market does not exist, the inputs are recorded at a lower level in the fair value hierarchy. The value of commercial paper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quarters and nine months ended September 27, 2012 and September 29, 2011, there was an inconsequential amount of net realized losses recognized in interest income and an inconsequential amount of net unrealized holding gains (losses) included in other comprehensive income. As of September 27, 2012 and December 29, 2011 there were no gross unrealized losses related to individual securities that had been in a continuous loss position for 12 months or longer.</w:t>
      </w:r>
    </w:p>
    <w:p>
      <w:pPr>
        <w:spacing w:after="0" w:line="6" w:lineRule="exact"/>
        <w:rPr>
          <w:rFonts w:ascii="Arial" w:cs="Arial" w:eastAsia="Arial" w:hAnsi="Arial"/>
          <w:sz w:val="16"/>
          <w:szCs w:val="16"/>
          <w:i w:val="1"/>
          <w:iCs w:val="1"/>
          <w:color w:val="auto"/>
        </w:rPr>
      </w:pPr>
    </w:p>
    <w:p>
      <w:pPr>
        <w:ind w:left="460" w:right="60" w:hanging="452"/>
        <w:spacing w:after="0" w:line="253"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Swap Agreements</w:t>
      </w:r>
      <w:r>
        <w:rPr>
          <w:rFonts w:ascii="Arial" w:cs="Arial" w:eastAsia="Arial" w:hAnsi="Arial"/>
          <w:sz w:val="18"/>
          <w:szCs w:val="18"/>
          <w:color w:val="auto"/>
        </w:rPr>
        <w:t>—The carrying amount and fair value of the interest rate swap agreements are equivalent since the Company accounts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at fair value. The interest rate swap agreements are valued using third party broker quotes. The value of the Company’s interest rate swap agreements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Refer to Note 8-</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14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September 27, 2012 and December 29, 2011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4"/>
              </w:rPr>
              <w:t>As of September 27, 2012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1"/>
                <w:szCs w:val="11"/>
                <w:color w:val="auto"/>
              </w:rPr>
            </w:pPr>
          </w:p>
        </w:tc>
        <w:tc>
          <w:tcPr>
            <w:tcW w:w="15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Aggregate Fair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Basis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Value</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 xml:space="preserve">Maturities </w:t>
            </w:r>
            <w:r>
              <w:rPr>
                <w:rFonts w:ascii="Arial" w:cs="Arial" w:eastAsia="Arial" w:hAnsi="Arial"/>
                <w:sz w:val="14"/>
                <w:szCs w:val="14"/>
                <w:b w:val="1"/>
                <w:bCs w:val="1"/>
                <w:i w:val="1"/>
                <w:iCs w:val="1"/>
                <w:color w:val="auto"/>
                <w:w w:val="89"/>
              </w:rPr>
              <w:t>(1)</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6"/>
              </w:rPr>
              <w:t>(in millions)</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Short-term U.S. government agency bonds</w:t>
            </w:r>
          </w:p>
        </w:tc>
        <w:tc>
          <w:tcPr>
            <w:tcW w:w="2900" w:type="dxa"/>
            <w:vAlign w:val="bottom"/>
            <w:gridSpan w:val="2"/>
          </w:tcPr>
          <w:p>
            <w:pPr>
              <w:ind w:left="28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11.0</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880"/>
              <w:spacing w:after="0"/>
              <w:rPr>
                <w:sz w:val="20"/>
                <w:szCs w:val="20"/>
                <w:color w:val="auto"/>
              </w:rPr>
            </w:pPr>
            <w:r>
              <w:rPr>
                <w:rFonts w:ascii="Arial" w:cs="Arial" w:eastAsia="Arial" w:hAnsi="Arial"/>
                <w:sz w:val="18"/>
                <w:szCs w:val="18"/>
                <w:color w:val="auto"/>
              </w:rPr>
              <w:t>Financial</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7.7</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Utility</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880"/>
              <w:spacing w:after="0"/>
              <w:rPr>
                <w:sz w:val="20"/>
                <w:szCs w:val="20"/>
                <w:color w:val="auto"/>
              </w:rPr>
            </w:pPr>
            <w:r>
              <w:rPr>
                <w:rFonts w:ascii="Arial" w:cs="Arial" w:eastAsia="Arial" w:hAnsi="Arial"/>
                <w:sz w:val="18"/>
                <w:szCs w:val="18"/>
                <w:color w:val="auto"/>
              </w:rPr>
              <w:t>Municipal</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marketable securities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0" w:type="dxa"/>
            <w:vAlign w:val="bottom"/>
            <w:vMerge w:val="restart"/>
          </w:tcPr>
          <w:p>
            <w:pPr>
              <w:jc w:val="right"/>
              <w:ind w:right="145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As of December 29, 2011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Amortized Cost</w:t>
            </w:r>
          </w:p>
        </w:tc>
        <w:tc>
          <w:tcPr>
            <w:tcW w:w="68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Aggregate Fair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Basis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Value</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 xml:space="preserve">Maturities </w:t>
            </w:r>
            <w:r>
              <w:rPr>
                <w:rFonts w:ascii="Arial" w:cs="Arial" w:eastAsia="Arial" w:hAnsi="Arial"/>
                <w:sz w:val="14"/>
                <w:szCs w:val="14"/>
                <w:b w:val="1"/>
                <w:bCs w:val="1"/>
                <w:i w:val="1"/>
                <w:iCs w:val="1"/>
                <w:color w:val="auto"/>
                <w:w w:val="89"/>
              </w:rPr>
              <w:t>(1)</w:t>
            </w:r>
          </w:p>
        </w:tc>
      </w:tr>
      <w:tr>
        <w:trPr>
          <w:trHeight w:val="161"/>
        </w:trPr>
        <w:tc>
          <w:tcPr>
            <w:tcW w:w="11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(in millions)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(in millions)</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years)</w:t>
            </w:r>
          </w:p>
        </w:tc>
      </w:tr>
      <w:tr>
        <w:trPr>
          <w:trHeight w:val="196"/>
        </w:trPr>
        <w:tc>
          <w:tcPr>
            <w:tcW w:w="7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60" w:type="dxa"/>
            <w:vAlign w:val="bottom"/>
            <w:gridSpan w:val="2"/>
          </w:tcPr>
          <w:p>
            <w:pPr>
              <w:ind w:left="440"/>
              <w:spacing w:after="0"/>
              <w:rPr>
                <w:sz w:val="20"/>
                <w:szCs w:val="20"/>
                <w:color w:val="auto"/>
              </w:rPr>
            </w:pPr>
            <w:r>
              <w:rPr>
                <w:rFonts w:ascii="Arial" w:cs="Arial" w:eastAsia="Arial" w:hAnsi="Arial"/>
                <w:sz w:val="18"/>
                <w:szCs w:val="18"/>
                <w:color w:val="auto"/>
              </w:rPr>
              <w:t>Short-term U.S. government agency bonds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60" w:type="dxa"/>
            <w:vAlign w:val="bottom"/>
            <w:gridSpan w:val="2"/>
          </w:tcPr>
          <w:p>
            <w:pPr>
              <w:ind w:left="880"/>
              <w:spacing w:after="0"/>
              <w:rPr>
                <w:sz w:val="20"/>
                <w:szCs w:val="20"/>
                <w:color w:val="auto"/>
              </w:rPr>
            </w:pPr>
            <w:r>
              <w:rPr>
                <w:rFonts w:ascii="Arial" w:cs="Arial" w:eastAsia="Arial" w:hAnsi="Arial"/>
                <w:sz w:val="18"/>
                <w:szCs w:val="18"/>
                <w:color w:val="auto"/>
              </w:rPr>
              <w:t>Financial</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short-term marketable securities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60" w:type="dxa"/>
            <w:vAlign w:val="bottom"/>
            <w:gridSpan w:val="2"/>
          </w:tcPr>
          <w:p>
            <w:pPr>
              <w:ind w:left="440"/>
              <w:spacing w:after="0"/>
              <w:rPr>
                <w:sz w:val="20"/>
                <w:szCs w:val="20"/>
                <w:color w:val="auto"/>
              </w:rPr>
            </w:pPr>
            <w:r>
              <w:rPr>
                <w:rFonts w:ascii="Arial" w:cs="Arial" w:eastAsia="Arial" w:hAnsi="Arial"/>
                <w:sz w:val="18"/>
                <w:szCs w:val="18"/>
                <w:color w:val="auto"/>
              </w:rPr>
              <w:t>Long-term U.S. government agency bonds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r>
        <w:trPr>
          <w:trHeight w:val="216"/>
        </w:trPr>
        <w:tc>
          <w:tcPr>
            <w:tcW w:w="1160" w:type="dxa"/>
            <w:vAlign w:val="bottom"/>
            <w:shd w:val="clear" w:color="auto" w:fill="CCEEFF"/>
          </w:tcPr>
          <w:p>
            <w:pPr>
              <w:spacing w:after="0"/>
              <w:rPr>
                <w:sz w:val="18"/>
                <w:szCs w:val="18"/>
                <w:color w:val="auto"/>
              </w:rPr>
            </w:pPr>
          </w:p>
        </w:tc>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long-term marketable securities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6200" w:type="dxa"/>
            <w:vAlign w:val="bottom"/>
          </w:tcPr>
          <w:p>
            <w:pPr>
              <w:ind w:left="580"/>
              <w:spacing w:after="0"/>
              <w:rPr>
                <w:sz w:val="20"/>
                <w:szCs w:val="20"/>
                <w:color w:val="auto"/>
              </w:rPr>
            </w:pPr>
            <w:r>
              <w:rPr>
                <w:rFonts w:ascii="Arial" w:cs="Arial" w:eastAsia="Arial" w:hAnsi="Arial"/>
                <w:sz w:val="18"/>
                <w:szCs w:val="18"/>
                <w:color w:val="auto"/>
              </w:rPr>
              <w:t>Total marketable securities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306" w:lineRule="auto"/>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Maturities—</w:t>
      </w:r>
      <w:r>
        <w:rPr>
          <w:rFonts w:ascii="Arial" w:cs="Arial" w:eastAsia="Arial" w:hAnsi="Arial"/>
          <w:sz w:val="16"/>
          <w:szCs w:val="16"/>
          <w:color w:val="auto"/>
        </w:rPr>
        <w:t>Securities available for sale include obligations with various contractual maturity dates some of which are greater than one year.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considers the securities to be liquid and convertible to cash within 30 days. The Company has the ability and intent to liquidate any security that the Company holds to fund operations over the next twelve months if necessary and as such has classified these securities as short-term.</w:t>
      </w:r>
    </w:p>
    <w:p>
      <w:pPr>
        <w:spacing w:after="0" w:line="1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September 27, 2012 and December 29, 2011, the estimated fair value and line item caption of derivative instruments recorded were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3"/>
              </w:rPr>
              <w:t>Balance Sheet</w:t>
            </w: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89"/>
              </w:rPr>
              <w:t>Fair Value of Derivative Liability as of</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Location</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27, 2012</w:t>
            </w:r>
          </w:p>
        </w:tc>
        <w:tc>
          <w:tcPr>
            <w:tcW w:w="7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29, 2011</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 instruments in cash flow hedges:</w:t>
            </w:r>
          </w:p>
        </w:tc>
        <w:tc>
          <w:tcPr>
            <w:tcW w:w="1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206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Current Liabilities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20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Other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20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2"/>
              </w:rPr>
              <w:t>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206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Other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7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derivatives</w:t>
            </w:r>
          </w:p>
        </w:tc>
        <w:tc>
          <w:tcPr>
            <w:tcW w:w="1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NCM LLC has interest rate swap agreements with four counterparties that, at their inception, qualified for and were designated as cash flow hedges against interest rate exposure on the $225.0 million of currently outstanding debt obligations under the senior secured credit facility. The interest rate swap agreements have the effect of converting the Company’s variable rate term loan to a fixed rate of 6.484% and the term of the swaps coincides with the term loan maturity date of February 13, 2015.</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April 27, 2012, the Company amended its existing interest rate swap agreements terminating a notional amount of $325.0 million (the aggregate amount of the term loan prepayment) such that 100% of the Company’s interest rate exposure relating to the remaining $225.0 million term loan debt balance remains hedged at 6.484%. Since the forecasted transactions, or quarterly interest payments, on the $325.0 million term loan prepayment are no longer probable of occurring, the Company discontinued cash flow hedge accounting on those swaps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reclassified the corresponding outstanding balance in Accumulated Other Comprehensive Income (“AOCI”) related to those interest rate swaps into earnings. For the nine months ended September 27, 2012, the Company recorded a loss in its Condensed Consolidated Statements of Income of approximately $26.7 million related to the partial swap terminations.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swaps were terminated ratably among the four counterparties, however, the Company’s cash flow hedge accounting designation for each swap was pegged to varying balances of the underlying term loan. If after the partial swap terminations, an interest rate swap remained outstanding and the underlying term loan designated for cash flow hedge accounting was paid down, cash flow hedge accounting was discontinued because the underlying debt instrument is no longer outstanding and the interest payments are no longer probable of occurring. Any future changes to the fair value of these interest rate swaps will be recorded as a change in derivative fair value in the Condensed Consolidated Statements of Income.</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Company also discontinued cash flow hedge accounting for swaps in which the Company partially terminated its swap with the counterparty, however, the corresponding term loan associated with those swaps remained outstanding. In accordance with ASC </w:t>
      </w:r>
      <w:r>
        <w:rPr>
          <w:rFonts w:ascii="Arial" w:cs="Arial" w:eastAsia="Arial" w:hAnsi="Arial"/>
          <w:sz w:val="16"/>
          <w:szCs w:val="16"/>
          <w:i w:val="1"/>
          <w:iCs w:val="1"/>
          <w:color w:val="auto"/>
        </w:rPr>
        <w:t>815 Derivatives and Hedging</w:t>
      </w:r>
      <w:r>
        <w:rPr>
          <w:rFonts w:ascii="Arial" w:cs="Arial" w:eastAsia="Arial" w:hAnsi="Arial"/>
          <w:sz w:val="16"/>
          <w:szCs w:val="16"/>
          <w:color w:val="auto"/>
        </w:rPr>
        <w:t>, the net derivative loss related to the discontinued cash flow hedges shall continue to be reported in AOCI unless it is not probable that the forecasted transaction will occur by the end of the originally specified time period. As of April 27, 2012, there was approximately $13.9 million outstanding related to these discontinued cash flow hedges which continues to be reported in AOCI, as the underlying debt transactions remain probable of occurring, and will be amortized in the Condensed Consolidated Statements of Income over the remaining term or February 13, 2015. The Company estimates approximately $5.1 million will be amortized to change in derivative fair value in the Condensed Consolidated Statements of Income in the next 12 months.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the periods presented, the Company also recorded changes in the fair value and amortization of AOCI related to an interest rate swap in which the Company discontinued cash flow hedge accounting in 2008 due to the bankruptcy of its counterparty. In connection with the swap terminations in April 2012, the entire balance of this swap was terminated and the remaining balance in AOCI of $3.5 million was reclassified into earnings during the second quarter of 2012.</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interest rate swaps that were partially terminated and still have remaining amounts outstanding under the interest rate swap agreements and the underlying term loan remains outstanding, the Company has continued to elect cash flow hedge accounting. Since the instruments were determined to be effective at September 27, 2012 and December 29, 2011, changes to the fair value of the interest rate swaps were recorded within Other Comprehensive Income. There were no amounts reclassified into current earnings due to ineffectiveness during the periods presented other than as described herein.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 of derivative instruments with cash flow hedge accounting on the condensed consolidated financial statements for the quarters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27, 2012 and September 29, 2011 and nine months ended September 27, 2012 and September 29, 2011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9"/>
          </w:tcPr>
          <w:p>
            <w:pPr>
              <w:jc w:val="center"/>
              <w:ind w:left="308"/>
              <w:spacing w:after="0"/>
              <w:rPr>
                <w:sz w:val="20"/>
                <w:szCs w:val="20"/>
                <w:color w:val="auto"/>
              </w:rPr>
            </w:pPr>
            <w:r>
              <w:rPr>
                <w:rFonts w:ascii="Arial" w:cs="Arial" w:eastAsia="Arial" w:hAnsi="Arial"/>
                <w:sz w:val="14"/>
                <w:szCs w:val="14"/>
                <w:b w:val="1"/>
                <w:bCs w:val="1"/>
                <w:color w:val="auto"/>
                <w:w w:val="88"/>
              </w:rPr>
              <w:t>Unrealized Gain (Loss) Recognized in NCM,</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10"/>
          </w:tcPr>
          <w:p>
            <w:pPr>
              <w:jc w:val="center"/>
              <w:ind w:left="367"/>
              <w:spacing w:after="0"/>
              <w:rPr>
                <w:sz w:val="20"/>
                <w:szCs w:val="20"/>
                <w:color w:val="auto"/>
              </w:rPr>
            </w:pPr>
            <w:r>
              <w:rPr>
                <w:rFonts w:ascii="Arial" w:cs="Arial" w:eastAsia="Arial" w:hAnsi="Arial"/>
                <w:sz w:val="14"/>
                <w:szCs w:val="14"/>
                <w:b w:val="1"/>
                <w:bCs w:val="1"/>
                <w:color w:val="auto"/>
                <w:w w:val="85"/>
              </w:rPr>
              <w:t>Realized Loss Recognized in Interest 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gridSpan w:val="11"/>
          </w:tcPr>
          <w:p>
            <w:pPr>
              <w:jc w:val="center"/>
              <w:ind w:right="340"/>
              <w:spacing w:after="0"/>
              <w:rPr>
                <w:sz w:val="20"/>
                <w:szCs w:val="20"/>
                <w:color w:val="auto"/>
              </w:rPr>
            </w:pPr>
            <w:r>
              <w:rPr>
                <w:rFonts w:ascii="Arial" w:cs="Arial" w:eastAsia="Arial" w:hAnsi="Arial"/>
                <w:sz w:val="14"/>
                <w:szCs w:val="14"/>
                <w:b w:val="1"/>
                <w:bCs w:val="1"/>
                <w:color w:val="auto"/>
                <w:w w:val="88"/>
              </w:rPr>
              <w:t>Inc.’s Other Comprehensive Income (Pre-tax)</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Borrowings (Pre-tax)</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66"/>
              <w:spacing w:after="0" w:line="142" w:lineRule="exact"/>
              <w:rPr>
                <w:sz w:val="20"/>
                <w:szCs w:val="20"/>
                <w:color w:val="auto"/>
              </w:rPr>
            </w:pPr>
            <w:r>
              <w:rPr>
                <w:rFonts w:ascii="Arial" w:cs="Arial" w:eastAsia="Arial" w:hAnsi="Arial"/>
                <w:sz w:val="14"/>
                <w:szCs w:val="14"/>
                <w:b w:val="1"/>
                <w:bCs w:val="1"/>
                <w:color w:val="auto"/>
              </w:rPr>
              <w:t>Quarters Ended</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242"/>
              <w:spacing w:after="0" w:line="142" w:lineRule="exact"/>
              <w:rPr>
                <w:sz w:val="20"/>
                <w:szCs w:val="20"/>
                <w:color w:val="auto"/>
              </w:rPr>
            </w:pPr>
            <w:r>
              <w:rPr>
                <w:rFonts w:ascii="Arial" w:cs="Arial" w:eastAsia="Arial" w:hAnsi="Arial"/>
                <w:sz w:val="14"/>
                <w:szCs w:val="14"/>
                <w:b w:val="1"/>
                <w:bCs w:val="1"/>
                <w:color w:val="auto"/>
                <w:w w:val="96"/>
              </w:rPr>
              <w:t>Nine Months Ended</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Quarters Ended</w:t>
            </w: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262"/>
              <w:spacing w:after="0" w:line="142" w:lineRule="exact"/>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2"/>
                <w:szCs w:val="12"/>
                <w:color w:val="auto"/>
              </w:rPr>
            </w:pPr>
          </w:p>
        </w:tc>
      </w:tr>
      <w:tr>
        <w:trPr>
          <w:trHeight w:val="129"/>
        </w:trPr>
        <w:tc>
          <w:tcPr>
            <w:tcW w:w="360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6"/>
              </w:rPr>
              <w:t>September 27,</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29,</w:t>
            </w:r>
          </w:p>
        </w:tc>
        <w:tc>
          <w:tcPr>
            <w:tcW w:w="180" w:type="dxa"/>
            <w:vAlign w:val="bottom"/>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8"/>
              </w:rPr>
              <w:t>September 27,</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29,</w:t>
            </w:r>
          </w:p>
        </w:tc>
        <w:tc>
          <w:tcPr>
            <w:tcW w:w="160" w:type="dxa"/>
            <w:vAlign w:val="bottom"/>
          </w:tcPr>
          <w:p>
            <w:pPr>
              <w:spacing w:after="0"/>
              <w:rPr>
                <w:sz w:val="11"/>
                <w:szCs w:val="11"/>
                <w:color w:val="auto"/>
              </w:rPr>
            </w:pPr>
          </w:p>
        </w:tc>
        <w:tc>
          <w:tcPr>
            <w:tcW w:w="10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27,</w:t>
            </w:r>
          </w:p>
        </w:tc>
        <w:tc>
          <w:tcPr>
            <w:tcW w:w="8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September 29,</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6"/>
              </w:rPr>
              <w:t>September 27,</w:t>
            </w: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29,</w:t>
            </w:r>
          </w:p>
        </w:tc>
        <w:tc>
          <w:tcPr>
            <w:tcW w:w="100" w:type="dxa"/>
            <w:vAlign w:val="bottom"/>
          </w:tcPr>
          <w:p>
            <w:pPr>
              <w:spacing w:after="0"/>
              <w:rPr>
                <w:sz w:val="11"/>
                <w:szCs w:val="11"/>
                <w:color w:val="auto"/>
              </w:rPr>
            </w:pPr>
          </w:p>
        </w:tc>
      </w:tr>
      <w:tr>
        <w:trPr>
          <w:trHeight w:val="161"/>
        </w:trPr>
        <w:tc>
          <w:tcPr>
            <w:tcW w:w="3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0"/>
              </w:rPr>
              <w:t>(9.8)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 of derivatives not designated as hedging instruments under ASC 815 on the consolidated financial statements for the quarters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27, 2012 and September 29, 2011 and nine months ended September 27, 2012 and September 29, 2011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5"/>
              </w:rPr>
              <w:t>Gain (Loss) Recognized in Non-Operating Expenses</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87"/>
              </w:rPr>
              <w:t>(Pre-tax)</w:t>
            </w: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 not Designated as</w:t>
            </w:r>
          </w:p>
        </w:tc>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w w:val="89"/>
              </w:rPr>
              <w:t>Quarters Ended</w:t>
            </w:r>
          </w:p>
        </w:tc>
        <w:tc>
          <w:tcPr>
            <w:tcW w:w="5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jc w:val="right"/>
              <w:ind w:right="142"/>
              <w:spacing w:after="0" w:line="142" w:lineRule="exact"/>
              <w:rPr>
                <w:sz w:val="20"/>
                <w:szCs w:val="20"/>
                <w:color w:val="auto"/>
              </w:rPr>
            </w:pPr>
            <w:r>
              <w:rPr>
                <w:rFonts w:ascii="Arial" w:cs="Arial" w:eastAsia="Arial" w:hAnsi="Arial"/>
                <w:sz w:val="14"/>
                <w:szCs w:val="14"/>
                <w:b w:val="1"/>
                <w:bCs w:val="1"/>
                <w:color w:val="auto"/>
              </w:rPr>
              <w:t>Nine Months Ended</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40" w:type="dxa"/>
            <w:vAlign w:val="bottom"/>
            <w:gridSpan w:val="2"/>
            <w:vMerge w:val="continue"/>
          </w:tcPr>
          <w:p>
            <w:pPr>
              <w:spacing w:after="0"/>
              <w:rPr>
                <w:sz w:val="11"/>
                <w:szCs w:val="11"/>
                <w:color w:val="auto"/>
              </w:rPr>
            </w:pPr>
          </w:p>
        </w:tc>
        <w:tc>
          <w:tcPr>
            <w:tcW w:w="1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1"/>
              </w:rPr>
              <w:t>September 27,</w:t>
            </w:r>
          </w:p>
        </w:tc>
        <w:tc>
          <w:tcPr>
            <w:tcW w:w="42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29,</w:t>
            </w: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2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September 29,</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Hedging Instruments</w:t>
            </w:r>
          </w:p>
        </w:tc>
        <w:tc>
          <w:tcPr>
            <w:tcW w:w="23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Income Statement Location</w:t>
            </w:r>
          </w:p>
        </w:tc>
        <w:tc>
          <w:tcPr>
            <w:tcW w:w="180" w:type="dxa"/>
            <w:vAlign w:val="bottom"/>
          </w:tcPr>
          <w:p>
            <w:pPr>
              <w:spacing w:after="0"/>
              <w:rPr>
                <w:sz w:val="12"/>
                <w:szCs w:val="12"/>
                <w:color w:val="auto"/>
              </w:rPr>
            </w:pPr>
          </w:p>
        </w:tc>
        <w:tc>
          <w:tcPr>
            <w:tcW w:w="640" w:type="dxa"/>
            <w:vAlign w:val="bottom"/>
          </w:tcPr>
          <w:p>
            <w:pPr>
              <w:jc w:val="right"/>
              <w:ind w:right="179"/>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9"/>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Realized loss on derivative instruments</w:t>
            </w:r>
          </w:p>
        </w:tc>
        <w:tc>
          <w:tcPr>
            <w:tcW w:w="1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Interest on borrowings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40"/>
              <w:spacing w:after="0" w:line="196" w:lineRule="exact"/>
              <w:rPr>
                <w:sz w:val="20"/>
                <w:szCs w:val="20"/>
                <w:color w:val="auto"/>
              </w:rPr>
            </w:pPr>
            <w:r>
              <w:rPr>
                <w:rFonts w:ascii="Arial" w:cs="Arial" w:eastAsia="Arial" w:hAnsi="Arial"/>
                <w:sz w:val="18"/>
                <w:szCs w:val="18"/>
                <w:color w:val="auto"/>
                <w:w w:val="86"/>
              </w:rPr>
              <w:t>(4.3)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86"/>
              </w:rPr>
              <w:t>(5.0)</w:t>
            </w:r>
          </w:p>
        </w:tc>
        <w:tc>
          <w:tcPr>
            <w:tcW w:w="0" w:type="dxa"/>
            <w:vAlign w:val="bottom"/>
          </w:tcPr>
          <w:p>
            <w:pPr>
              <w:spacing w:after="0"/>
              <w:rPr>
                <w:sz w:val="1"/>
                <w:szCs w:val="1"/>
                <w:color w:val="auto"/>
              </w:rPr>
            </w:pPr>
          </w:p>
        </w:tc>
      </w:tr>
      <w:tr>
        <w:trPr>
          <w:trHeight w:val="208"/>
        </w:trPr>
        <w:tc>
          <w:tcPr>
            <w:tcW w:w="4240" w:type="dxa"/>
            <w:vAlign w:val="bottom"/>
            <w:gridSpan w:val="2"/>
          </w:tcPr>
          <w:p>
            <w:pPr>
              <w:spacing w:after="0"/>
              <w:rPr>
                <w:sz w:val="20"/>
                <w:szCs w:val="20"/>
                <w:color w:val="auto"/>
              </w:rPr>
            </w:pPr>
            <w:r>
              <w:rPr>
                <w:rFonts w:ascii="Arial" w:cs="Arial" w:eastAsia="Arial" w:hAnsi="Arial"/>
                <w:sz w:val="18"/>
                <w:szCs w:val="18"/>
                <w:color w:val="auto"/>
              </w:rPr>
              <w:t>Gain (loss) from change in fair value on cash flow</w:t>
            </w:r>
          </w:p>
        </w:tc>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Change in derivative fair</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hedges</w:t>
            </w:r>
          </w:p>
        </w:tc>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value</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640" w:type="dxa"/>
            <w:vAlign w:val="bottom"/>
          </w:tcPr>
          <w:p>
            <w:pPr>
              <w:jc w:val="center"/>
              <w:ind w:left="339"/>
              <w:spacing w:after="0"/>
              <w:rPr>
                <w:sz w:val="20"/>
                <w:szCs w:val="20"/>
                <w:color w:val="auto"/>
              </w:rPr>
            </w:pPr>
            <w:r>
              <w:rPr>
                <w:rFonts w:ascii="Arial" w:cs="Arial" w:eastAsia="Arial" w:hAnsi="Arial"/>
                <w:sz w:val="18"/>
                <w:szCs w:val="18"/>
                <w:color w:val="auto"/>
                <w:w w:val="87"/>
              </w:rPr>
              <w:t>2.2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(1.8)</w:t>
            </w: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AOCI on discontinued cash flow</w:t>
            </w:r>
          </w:p>
        </w:tc>
        <w:tc>
          <w:tcPr>
            <w:tcW w:w="23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Change in derivative fair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3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value</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(2.4)</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(0.9)</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(4.5)</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(7.7)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REPORTING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Advertising revenue accounted for 96.0%, 93.5%, 91.8% and 88.8% of consolidated revenue for the quarters ended September 27, 2012 and September 29, 2011, and the nine months ended September 27, 2012 and September 29, 2011, respectively. The following tables present revenue less directly identifiable expenses to arrive at operating income net of direct expenses for the advertising reportable segment, the combined Fathom Events operating segments, and network, administrative and unallocated costs.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Quarter Ended September 27, 2012 (in millions)</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80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0"/>
              </w:rPr>
              <w:t>Administrative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color w:val="auto"/>
              </w:rPr>
              <w:t>Fathom Events</w:t>
            </w:r>
          </w:p>
        </w:tc>
        <w:tc>
          <w:tcPr>
            <w:tcW w:w="20" w:type="dxa"/>
            <w:vAlign w:val="bottom"/>
          </w:tcPr>
          <w:p>
            <w:pPr>
              <w:spacing w:after="0"/>
              <w:rPr>
                <w:sz w:val="12"/>
                <w:szCs w:val="12"/>
                <w:color w:val="auto"/>
              </w:rPr>
            </w:pPr>
          </w:p>
        </w:tc>
        <w:tc>
          <w:tcPr>
            <w:tcW w:w="15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86"/>
              </w:rPr>
              <w:t>and Unallocated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Advertising</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780"/>
              <w:spacing w:after="0" w:line="159" w:lineRule="exact"/>
              <w:rPr>
                <w:sz w:val="20"/>
                <w:szCs w:val="20"/>
                <w:color w:val="auto"/>
              </w:rPr>
            </w:pPr>
            <w:r>
              <w:rPr>
                <w:rFonts w:ascii="Arial" w:cs="Arial" w:eastAsia="Arial" w:hAnsi="Arial"/>
                <w:sz w:val="14"/>
                <w:szCs w:val="14"/>
                <w:color w:val="auto"/>
                <w:w w:val="89"/>
              </w:rPr>
              <w:t>and Other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3"/>
              </w:rPr>
              <w:t>Costs</w:t>
            </w:r>
          </w:p>
        </w:tc>
        <w:tc>
          <w:tcPr>
            <w:tcW w:w="760" w:type="dxa"/>
            <w:vAlign w:val="bottom"/>
            <w:gridSpan w:val="3"/>
          </w:tcPr>
          <w:p>
            <w:pPr>
              <w:spacing w:after="0" w:line="159"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costs</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1720" w:type="dxa"/>
            <w:vAlign w:val="bottom"/>
            <w:gridSpan w:val="2"/>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95.3</w:t>
            </w:r>
          </w:p>
        </w:tc>
        <w:tc>
          <w:tcPr>
            <w:tcW w:w="2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0.5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Quarter Ended September 29, 2011 (in millions)</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84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3"/>
              </w:rPr>
              <w:t>Administrative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4"/>
          </w:tcPr>
          <w:p>
            <w:pPr>
              <w:spacing w:after="0" w:line="149" w:lineRule="exact"/>
              <w:rPr>
                <w:sz w:val="20"/>
                <w:szCs w:val="20"/>
                <w:color w:val="auto"/>
              </w:rPr>
            </w:pPr>
            <w:r>
              <w:rPr>
                <w:rFonts w:ascii="Arial" w:cs="Arial" w:eastAsia="Arial" w:hAnsi="Arial"/>
                <w:sz w:val="14"/>
                <w:szCs w:val="14"/>
                <w:color w:val="auto"/>
              </w:rPr>
              <w:t>Fathom Events</w:t>
            </w:r>
          </w:p>
        </w:tc>
        <w:tc>
          <w:tcPr>
            <w:tcW w:w="1580" w:type="dxa"/>
            <w:vAlign w:val="bottom"/>
            <w:gridSpan w:val="4"/>
          </w:tcPr>
          <w:p>
            <w:pPr>
              <w:spacing w:after="0" w:line="149" w:lineRule="exact"/>
              <w:rPr>
                <w:sz w:val="20"/>
                <w:szCs w:val="20"/>
                <w:color w:val="auto"/>
              </w:rPr>
            </w:pPr>
            <w:r>
              <w:rPr>
                <w:rFonts w:ascii="Arial" w:cs="Arial" w:eastAsia="Arial" w:hAnsi="Arial"/>
                <w:sz w:val="14"/>
                <w:szCs w:val="14"/>
                <w:color w:val="auto"/>
              </w:rPr>
              <w:t>and Unallocated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Advertising</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800"/>
              <w:spacing w:after="0" w:line="159" w:lineRule="exact"/>
              <w:rPr>
                <w:sz w:val="20"/>
                <w:szCs w:val="20"/>
                <w:color w:val="auto"/>
              </w:rPr>
            </w:pPr>
            <w:r>
              <w:rPr>
                <w:rFonts w:ascii="Arial" w:cs="Arial" w:eastAsia="Arial" w:hAnsi="Arial"/>
                <w:sz w:val="14"/>
                <w:szCs w:val="14"/>
                <w:color w:val="auto"/>
                <w:w w:val="86"/>
              </w:rPr>
              <w:t>and Other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840"/>
              <w:spacing w:after="0" w:line="159" w:lineRule="exact"/>
              <w:rPr>
                <w:sz w:val="20"/>
                <w:szCs w:val="20"/>
                <w:color w:val="auto"/>
              </w:rPr>
            </w:pPr>
            <w:r>
              <w:rPr>
                <w:rFonts w:ascii="Arial" w:cs="Arial" w:eastAsia="Arial" w:hAnsi="Arial"/>
                <w:sz w:val="14"/>
                <w:szCs w:val="14"/>
                <w:color w:val="auto"/>
                <w:w w:val="83"/>
              </w:rPr>
              <w:t>Costs</w:t>
            </w:r>
          </w:p>
        </w:tc>
        <w:tc>
          <w:tcPr>
            <w:tcW w:w="760" w:type="dxa"/>
            <w:vAlign w:val="bottom"/>
            <w:gridSpan w:val="3"/>
          </w:tcPr>
          <w:p>
            <w:pPr>
              <w:spacing w:after="0" w:line="159"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costs</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7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6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89.7</w:t>
            </w:r>
          </w:p>
        </w:tc>
        <w:tc>
          <w:tcPr>
            <w:tcW w:w="260" w:type="dxa"/>
            <w:vAlign w:val="bottom"/>
          </w:tcPr>
          <w:p>
            <w:pPr>
              <w:spacing w:after="0"/>
              <w:rPr>
                <w:sz w:val="19"/>
                <w:szCs w:val="19"/>
                <w:color w:val="auto"/>
              </w:rPr>
            </w:pP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3"/>
          </w:tcPr>
          <w:p>
            <w:pPr>
              <w:ind w:left="360"/>
              <w:spacing w:after="0"/>
              <w:rPr>
                <w:sz w:val="20"/>
                <w:szCs w:val="20"/>
                <w:color w:val="auto"/>
              </w:rPr>
            </w:pPr>
            <w:r>
              <w:rPr>
                <w:rFonts w:ascii="Arial" w:cs="Arial" w:eastAsia="Arial" w:hAnsi="Arial"/>
                <w:sz w:val="14"/>
                <w:szCs w:val="14"/>
                <w:b w:val="1"/>
                <w:bCs w:val="1"/>
                <w:color w:val="auto"/>
                <w:w w:val="96"/>
              </w:rPr>
              <w:t>Nine Months Ended September 27, 2012 (in millions)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jc w:val="center"/>
              <w:ind w:right="68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5"/>
          </w:tcPr>
          <w:p>
            <w:pPr>
              <w:jc w:val="center"/>
              <w:ind w:right="680"/>
              <w:spacing w:after="0" w:line="149" w:lineRule="exact"/>
              <w:rPr>
                <w:sz w:val="20"/>
                <w:szCs w:val="20"/>
                <w:color w:val="auto"/>
              </w:rPr>
            </w:pPr>
            <w:r>
              <w:rPr>
                <w:rFonts w:ascii="Arial" w:cs="Arial" w:eastAsia="Arial" w:hAnsi="Arial"/>
                <w:sz w:val="14"/>
                <w:szCs w:val="14"/>
                <w:color w:val="auto"/>
                <w:w w:val="93"/>
              </w:rPr>
              <w:t>Administrative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84"/>
              </w:rPr>
              <w:t>Fathom Events</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5"/>
          </w:tcPr>
          <w:p>
            <w:pPr>
              <w:jc w:val="center"/>
              <w:ind w:right="680"/>
              <w:spacing w:after="0" w:line="149" w:lineRule="exact"/>
              <w:rPr>
                <w:sz w:val="20"/>
                <w:szCs w:val="20"/>
                <w:color w:val="auto"/>
              </w:rPr>
            </w:pPr>
            <w:r>
              <w:rPr>
                <w:rFonts w:ascii="Arial" w:cs="Arial" w:eastAsia="Arial" w:hAnsi="Arial"/>
                <w:sz w:val="14"/>
                <w:szCs w:val="14"/>
                <w:color w:val="auto"/>
                <w:w w:val="88"/>
              </w:rPr>
              <w:t>and Unallocated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6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89"/>
              </w:rPr>
              <w:t>Advertising</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2"/>
              <w:spacing w:after="0" w:line="159" w:lineRule="exact"/>
              <w:rPr>
                <w:sz w:val="20"/>
                <w:szCs w:val="20"/>
                <w:color w:val="auto"/>
              </w:rPr>
            </w:pPr>
            <w:r>
              <w:rPr>
                <w:rFonts w:ascii="Arial" w:cs="Arial" w:eastAsia="Arial" w:hAnsi="Arial"/>
                <w:sz w:val="14"/>
                <w:szCs w:val="14"/>
                <w:color w:val="auto"/>
                <w:w w:val="86"/>
              </w:rPr>
              <w:t>and Other</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5"/>
          </w:tcPr>
          <w:p>
            <w:pPr>
              <w:jc w:val="center"/>
              <w:ind w:right="680"/>
              <w:spacing w:after="0" w:line="159" w:lineRule="exact"/>
              <w:rPr>
                <w:sz w:val="20"/>
                <w:szCs w:val="20"/>
                <w:color w:val="auto"/>
              </w:rPr>
            </w:pPr>
            <w:r>
              <w:rPr>
                <w:rFonts w:ascii="Arial" w:cs="Arial" w:eastAsia="Arial" w:hAnsi="Arial"/>
                <w:sz w:val="14"/>
                <w:szCs w:val="14"/>
                <w:color w:val="auto"/>
                <w:w w:val="83"/>
              </w:rPr>
              <w:t>Costs</w:t>
            </w:r>
          </w:p>
        </w:tc>
        <w:tc>
          <w:tcPr>
            <w:tcW w:w="760" w:type="dxa"/>
            <w:vAlign w:val="bottom"/>
            <w:gridSpan w:val="4"/>
          </w:tcPr>
          <w:p>
            <w:pPr>
              <w:spacing w:after="0" w:line="159" w:lineRule="exact"/>
              <w:rPr>
                <w:sz w:val="20"/>
                <w:szCs w:val="20"/>
                <w:color w:val="auto"/>
              </w:rPr>
            </w:pPr>
            <w:r>
              <w:rPr>
                <w:rFonts w:ascii="Arial" w:cs="Arial" w:eastAsia="Arial" w:hAnsi="Arial"/>
                <w:sz w:val="14"/>
                <w:szCs w:val="14"/>
                <w:color w:val="auto"/>
                <w:w w:val="88"/>
              </w:rPr>
              <w:t>Consolidated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costs</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107.3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46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191.0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ind w:right="245"/>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(54.0)</w:t>
            </w:r>
          </w:p>
        </w:tc>
        <w:tc>
          <w:tcPr>
            <w:tcW w:w="3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140.4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3"/>
          </w:tcPr>
          <w:p>
            <w:pPr>
              <w:ind w:left="360"/>
              <w:spacing w:after="0"/>
              <w:rPr>
                <w:sz w:val="20"/>
                <w:szCs w:val="20"/>
                <w:color w:val="auto"/>
              </w:rPr>
            </w:pPr>
            <w:r>
              <w:rPr>
                <w:rFonts w:ascii="Arial" w:cs="Arial" w:eastAsia="Arial" w:hAnsi="Arial"/>
                <w:sz w:val="14"/>
                <w:szCs w:val="14"/>
                <w:b w:val="1"/>
                <w:bCs w:val="1"/>
                <w:color w:val="auto"/>
                <w:w w:val="96"/>
              </w:rPr>
              <w:t>Nine Months Ended September 29, 2011 (in millions)</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jc w:val="center"/>
              <w:ind w:right="68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5"/>
          </w:tcPr>
          <w:p>
            <w:pPr>
              <w:jc w:val="center"/>
              <w:ind w:right="680"/>
              <w:spacing w:after="0" w:line="149" w:lineRule="exact"/>
              <w:rPr>
                <w:sz w:val="20"/>
                <w:szCs w:val="20"/>
                <w:color w:val="auto"/>
              </w:rPr>
            </w:pPr>
            <w:r>
              <w:rPr>
                <w:rFonts w:ascii="Arial" w:cs="Arial" w:eastAsia="Arial" w:hAnsi="Arial"/>
                <w:sz w:val="14"/>
                <w:szCs w:val="14"/>
                <w:color w:val="auto"/>
                <w:w w:val="93"/>
              </w:rPr>
              <w:t>Administrative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84"/>
              </w:rPr>
              <w:t>Fathom Events</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5"/>
          </w:tcPr>
          <w:p>
            <w:pPr>
              <w:jc w:val="center"/>
              <w:ind w:right="680"/>
              <w:spacing w:after="0" w:line="149" w:lineRule="exact"/>
              <w:rPr>
                <w:sz w:val="20"/>
                <w:szCs w:val="20"/>
                <w:color w:val="auto"/>
              </w:rPr>
            </w:pPr>
            <w:r>
              <w:rPr>
                <w:rFonts w:ascii="Arial" w:cs="Arial" w:eastAsia="Arial" w:hAnsi="Arial"/>
                <w:sz w:val="14"/>
                <w:szCs w:val="14"/>
                <w:color w:val="auto"/>
                <w:w w:val="88"/>
              </w:rPr>
              <w:t>and Unallocated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6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89"/>
              </w:rPr>
              <w:t>Advertising</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2"/>
              <w:spacing w:after="0" w:line="159" w:lineRule="exact"/>
              <w:rPr>
                <w:sz w:val="20"/>
                <w:szCs w:val="20"/>
                <w:color w:val="auto"/>
              </w:rPr>
            </w:pPr>
            <w:r>
              <w:rPr>
                <w:rFonts w:ascii="Arial" w:cs="Arial" w:eastAsia="Arial" w:hAnsi="Arial"/>
                <w:sz w:val="14"/>
                <w:szCs w:val="14"/>
                <w:color w:val="auto"/>
                <w:w w:val="86"/>
              </w:rPr>
              <w:t>and Other</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5"/>
          </w:tcPr>
          <w:p>
            <w:pPr>
              <w:jc w:val="center"/>
              <w:ind w:right="680"/>
              <w:spacing w:after="0" w:line="159" w:lineRule="exact"/>
              <w:rPr>
                <w:sz w:val="20"/>
                <w:szCs w:val="20"/>
                <w:color w:val="auto"/>
              </w:rPr>
            </w:pPr>
            <w:r>
              <w:rPr>
                <w:rFonts w:ascii="Arial" w:cs="Arial" w:eastAsia="Arial" w:hAnsi="Arial"/>
                <w:sz w:val="14"/>
                <w:szCs w:val="14"/>
                <w:color w:val="auto"/>
                <w:w w:val="83"/>
              </w:rPr>
              <w:t>Costs</w:t>
            </w:r>
          </w:p>
        </w:tc>
        <w:tc>
          <w:tcPr>
            <w:tcW w:w="760" w:type="dxa"/>
            <w:vAlign w:val="bottom"/>
            <w:gridSpan w:val="4"/>
          </w:tcPr>
          <w:p>
            <w:pPr>
              <w:spacing w:after="0" w:line="159" w:lineRule="exact"/>
              <w:rPr>
                <w:sz w:val="20"/>
                <w:szCs w:val="20"/>
                <w:color w:val="auto"/>
              </w:rPr>
            </w:pPr>
            <w:r>
              <w:rPr>
                <w:rFonts w:ascii="Arial" w:cs="Arial" w:eastAsia="Arial" w:hAnsi="Arial"/>
                <w:sz w:val="14"/>
                <w:szCs w:val="14"/>
                <w:color w:val="auto"/>
                <w:w w:val="88"/>
              </w:rPr>
              <w:t>Consolidated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costs</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98.9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46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185.9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ind w:right="245"/>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(51.0)</w:t>
            </w:r>
          </w:p>
        </w:tc>
        <w:tc>
          <w:tcPr>
            <w:tcW w:w="3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139.2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following is a summary of revenues by category (in millions):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Quarter</w:t>
            </w:r>
          </w:p>
        </w:tc>
        <w:tc>
          <w:tcPr>
            <w:tcW w:w="420" w:type="dxa"/>
            <w:vAlign w:val="bottom"/>
          </w:tcPr>
          <w:p>
            <w:pPr>
              <w:spacing w:after="0"/>
              <w:rPr>
                <w:sz w:val="24"/>
                <w:szCs w:val="24"/>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Nine Months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420" w:type="dxa"/>
            <w:vAlign w:val="bottom"/>
          </w:tcPr>
          <w:p>
            <w:pPr>
              <w:spacing w:after="0"/>
              <w:rPr>
                <w:sz w:val="12"/>
                <w:szCs w:val="12"/>
                <w:color w:val="auto"/>
              </w:rPr>
            </w:pPr>
          </w:p>
        </w:tc>
        <w:tc>
          <w:tcPr>
            <w:tcW w:w="11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29,</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left="14"/>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198.2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Local advertising revenue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agreements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Fathom Consumer revenue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44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9"/>
                <w:szCs w:val="19"/>
                <w:color w:val="auto"/>
              </w:rPr>
            </w:pPr>
          </w:p>
        </w:tc>
        <w:tc>
          <w:tcPr>
            <w:tcW w:w="48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136.0</w:t>
            </w:r>
          </w:p>
        </w:tc>
        <w:tc>
          <w:tcPr>
            <w:tcW w:w="220" w:type="dxa"/>
            <w:vAlign w:val="bottom"/>
          </w:tcPr>
          <w:p>
            <w:pPr>
              <w:spacing w:after="0"/>
              <w:rPr>
                <w:sz w:val="19"/>
                <w:szCs w:val="19"/>
                <w:color w:val="auto"/>
              </w:rPr>
            </w:pPr>
          </w:p>
        </w:tc>
        <w:tc>
          <w:tcPr>
            <w:tcW w:w="520" w:type="dxa"/>
            <w:vAlign w:val="bottom"/>
            <w:gridSpan w:val="2"/>
          </w:tcPr>
          <w:p>
            <w:pPr>
              <w:jc w:val="center"/>
              <w:ind w:left="34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5"/>
              </w:rPr>
              <w:t>320.8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SUBSEQUENT EVENTS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October 30, 2012, the Company declared a cash dividend of $0.22 per share (approximately $12.0 million) on each share of the Company’s common stock (including outstanding restricted stock which will accrue dividends until the shares vest) to stockholders of record on November 15, 2012 to be paid on November 29,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29, 2011.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29, 2011. In the following discussion and analysis, the term net income refers to net income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NCM LLC operates the largest digital in-theatre network in North America, for the distribution of advertising and Fathom Events. Our revenue is principally derived from the sale of advertising and, to a lesser extent, from our Fathom Events business. We have long-term ESAs with NCM LLC’s founding members and multi-year agreements with network affiliates. The ESAs with the founding members and network affiliate agreements grant us exclusive rights, subject to limited exceptions, to sell advertising and Fathom Event services in those theatres. Our advertising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lobby entertainment network (“LEN”) programming and Fathom Event programming are distributed across our proprietary digital content network (“DCN”) and live digital broadcast network (“DBN”). Approximately 96% of the aggregate founding member and network affiliate theatre attendance is generated by theatres connected to our DCN.</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monthly meetings with officers, managers and staff to discuss and analyze operating results and address significant variances to budget in an effort to identify trends and changes in our business. We focus on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and the number of Fathom Events locations, revenue per event and location, as well as our operating cash flow and related financial leverage and revolving credit facility to ensure that there is adequate cash availability to fund our debt obligations and current and future dividends declared by our Board of Directors.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February 24, 2012 for the Company’s fiscal year ended December 29,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operating data and Adjusted OIBDA. See “Non-GAAP Financial Measures” below for a discussion of the calculation of Adjusted OIBDA and reconciliation to operating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1"/>
              </w:rPr>
              <w:t>Nine Months Ended</w:t>
            </w:r>
          </w:p>
        </w:tc>
      </w:tr>
      <w:tr>
        <w:trPr>
          <w:trHeight w:val="129"/>
        </w:trPr>
        <w:tc>
          <w:tcPr>
            <w:tcW w:w="77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 27,</w:t>
            </w: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 29,</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 27,</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 29,</w:t>
            </w:r>
          </w:p>
        </w:tc>
        <w:tc>
          <w:tcPr>
            <w:tcW w:w="200" w:type="dxa"/>
            <w:vAlign w:val="bottom"/>
          </w:tcPr>
          <w:p>
            <w:pPr>
              <w:spacing w:after="0"/>
              <w:rPr>
                <w:sz w:val="11"/>
                <w:szCs w:val="11"/>
                <w:color w:val="auto"/>
              </w:rPr>
            </w:pPr>
          </w:p>
        </w:tc>
      </w:tr>
      <w:tr>
        <w:trPr>
          <w:trHeight w:val="161"/>
        </w:trPr>
        <w:tc>
          <w:tcPr>
            <w:tcW w:w="7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 except per share and per attendee data)</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332.9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320.8</w:t>
            </w:r>
          </w:p>
        </w:tc>
        <w:tc>
          <w:tcPr>
            <w:tcW w:w="2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78.1</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74.0</w:t>
            </w:r>
          </w:p>
        </w:tc>
        <w:tc>
          <w:tcPr>
            <w:tcW w:w="3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140.4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139.2</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162.9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161.3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Adjusted OIBDA margin</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income per NCM, Inc. basic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0.31</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0.46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r>
      <w:tr>
        <w:trPr>
          <w:trHeight w:val="322"/>
        </w:trPr>
        <w:tc>
          <w:tcPr>
            <w:tcW w:w="7720" w:type="dxa"/>
            <w:vAlign w:val="bottom"/>
          </w:tcPr>
          <w:p>
            <w:pPr>
              <w:spacing w:after="0"/>
              <w:rPr>
                <w:sz w:val="20"/>
                <w:szCs w:val="20"/>
                <w:color w:val="auto"/>
              </w:rPr>
            </w:pPr>
            <w:r>
              <w:rPr>
                <w:rFonts w:ascii="Arial" w:cs="Arial" w:eastAsia="Arial" w:hAnsi="Arial"/>
                <w:sz w:val="18"/>
                <w:szCs w:val="18"/>
                <w:color w:val="auto"/>
              </w:rPr>
              <w:t>Total advertising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138.0</w:t>
            </w:r>
          </w:p>
        </w:tc>
        <w:tc>
          <w:tcPr>
            <w:tcW w:w="5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127.2</w:t>
            </w:r>
          </w:p>
        </w:tc>
        <w:tc>
          <w:tcPr>
            <w:tcW w:w="32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305.6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284.9</w:t>
            </w:r>
          </w:p>
        </w:tc>
      </w:tr>
      <w:tr>
        <w:trPr>
          <w:trHeight w:val="218"/>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519.2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489.1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0.788</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0.705</w:t>
            </w:r>
          </w:p>
        </w:tc>
        <w:tc>
          <w:tcPr>
            <w:tcW w:w="3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0.589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0.582</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revenue (excluding founding member beverage revenue) per attendee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0.731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0.647</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0.531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0.522</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 local advertising revenue per attendee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0.132</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0.136</w:t>
            </w:r>
          </w:p>
        </w:tc>
        <w:tc>
          <w:tcPr>
            <w:tcW w:w="32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0.103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0.117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U.S. OIBDA represents operating income (loss) before depreciation and amortization expense. Adjusted OIBDA excludes from OIBDA non-cash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2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OIBDA and Adjusted OIBDA do not reflect the Regal Consolidated Theatres integration payments. The integration payments received are added to Adjusted OIBDA to determine our compliance with financial covenants under our senior secured credit facility. Regal made Consolidated Theatres payments to NCM LLC through June 2011 pursuant to the ESAs, which was $0.8 million for the nine months ended September 29, 2011.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 27, 2012</w:t>
            </w: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Sept. 29, 2011</w:t>
            </w:r>
          </w:p>
        </w:tc>
        <w:tc>
          <w:tcPr>
            <w:tcW w:w="78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 27, 2012</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Sept. 29,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155.3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162.9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143.7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136.0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332.9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0" w:hanging="452"/>
        <w:spacing w:after="0" w:line="268"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results of operations data for the three and nine months ended September 27, 2012 and September 29, 2011 were derived from the unaudited condensed consolidated financial statements and accounting records of NCM, Inc. and should be read in conjunction with the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27, 2012 and September 29, 2011</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increased $7.7 million, or 5.7%, from $136.0 million for the three months ended September 29, 2011 to $143.7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27, 2012. The increase was driven by an increase in total advertising revenue of $10.8 million, or 8.5%, from $127.2 million for the three months ended September 29, 2011 to $138.0 million for the three months ended September 27, 2012. The increase was partially offset by a decrease in Fathom Events revenue of $3.1 million, or 35.2%, from $8.8 million for the three months ended September 29, 2011 to $5.7 million for the three months ended September 27, 2012 which was primarily due to the wind-down of our Fathom Business Events division in early 2012. Total advertising revenue (including beverage revenue) per attendee for the three months ended September 27, 2012 increased 11.8% from the three months ended September 29, 2011. Total advertising revenue per attendee (excluding beverage revenue) for the three months ended September 27, 2012 increased 12.9% over the same period in 2011. The following is a summary of revenue by category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27,</w:t>
            </w:r>
          </w:p>
        </w:tc>
        <w:tc>
          <w:tcPr>
            <w:tcW w:w="6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29,</w:t>
            </w:r>
          </w:p>
        </w:tc>
        <w:tc>
          <w:tcPr>
            <w:tcW w:w="6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Q3’11 to</w:t>
            </w:r>
          </w:p>
        </w:tc>
      </w:tr>
      <w:tr>
        <w:trPr>
          <w:trHeight w:val="161"/>
        </w:trPr>
        <w:tc>
          <w:tcPr>
            <w:tcW w:w="7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Q3’12</w:t>
            </w:r>
          </w:p>
        </w:tc>
        <w:tc>
          <w:tcPr>
            <w:tcW w:w="200" w:type="dxa"/>
            <w:vAlign w:val="bottom"/>
            <w:tcBorders>
              <w:bottom w:val="single" w:sz="8" w:color="CCEEFF"/>
            </w:tcBorders>
          </w:tcPr>
          <w:p>
            <w:pPr>
              <w:spacing w:after="0"/>
              <w:rPr>
                <w:sz w:val="14"/>
                <w:szCs w:val="14"/>
                <w:color w:val="auto"/>
              </w:rPr>
            </w:pPr>
          </w:p>
        </w:tc>
      </w:tr>
      <w:tr>
        <w:trPr>
          <w:trHeight w:val="210"/>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r>
      <w:tr>
        <w:trPr>
          <w:trHeight w:val="222"/>
        </w:trPr>
        <w:tc>
          <w:tcPr>
            <w:tcW w:w="78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143.7</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136.0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r>
      <w:tr>
        <w:trPr>
          <w:trHeight w:val="20"/>
        </w:trPr>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National advertising revenue (including beverage revenue from founding members) increased $12.1 million, or 11.8%, from $102.7 million for the three months ended September 29, 2011 to $114.8 million for the three months ended September 27, 2012. Excluding beverage revenue from our founding members, national advertising revenue increased $12.6 million, or 13.7%, from $92.2 million for the three months ended September 29, 2011 to $104.8 million for the three months ended September 27, 2012. The increase was due primarily to an increase in inventory utilization from approximately 120% in the third quarter of 2011 to 136% in the third quarter of 2012. Inventory utilization is calculated based on eleven</w:t>
      </w:r>
    </w:p>
    <w:p>
      <w:pPr>
        <w:spacing w:after="0" w:line="2" w:lineRule="exact"/>
        <w:rPr>
          <w:sz w:val="20"/>
          <w:szCs w:val="20"/>
          <w:color w:val="auto"/>
        </w:rPr>
      </w:pPr>
    </w:p>
    <w:p>
      <w:pPr>
        <w:jc w:val="both"/>
        <w:ind w:left="460" w:right="20"/>
        <w:spacing w:after="0" w:line="255" w:lineRule="auto"/>
        <w:rPr>
          <w:sz w:val="20"/>
          <w:szCs w:val="20"/>
          <w:color w:val="auto"/>
        </w:rPr>
      </w:pPr>
      <w:r>
        <w:rPr>
          <w:rFonts w:ascii="Arial" w:cs="Arial" w:eastAsia="Arial" w:hAnsi="Arial"/>
          <w:sz w:val="18"/>
          <w:szCs w:val="18"/>
          <w:color w:val="auto"/>
        </w:rPr>
        <w:t>30-second salable national advertising units in our pre-show, which can be expanded, should market demand dictate. Inventory utilization increased beyond the Company’s normal sell-out levels during the quarter primarily due to a two-minute ad which ran during most of the quarter across all movies except G-rated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movies. This ad and some additional advertising spend came from one of our telecommunications clients, which was the largest contract in the Company’s history and represented approximately 14.0% of the Company’s total revenue in the third quarter of 2012. National advertising revenue also increased due to an increase in national advertising CPM’s (excluding beverage revenue) of 0.8%. In addition, national advertising revenue increased due to an increase in online and mobile revenue of $0.9 million, or 126.9%. These increases to national advertising revenue were partially offset by a decrease in total attendance of 2.8% in the third quarter of 2012, compared to the third quarter of 2011 and a decrease in content partner revenue in the quarter of $2.6 million, or 10.6%. Founding members’ advertising revenue from beverage concessionaire agreements decreased 4.8% due to a decrease in founding member attendance during the third quarter of 2012 compared to the third quarter of 2011.</w:t>
      </w:r>
    </w:p>
    <w:p>
      <w:pPr>
        <w:spacing w:after="0" w:line="37"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Local advertising revenue decreased $1.3 million, or 5.3%, from $24.5 million for the three months ended September 29, 2011 to $23.2 million for the three months ended September 27, 2012. The Company’s number of local advertising contracts increased 1.4%, while the average contract value decreased 6.4% due to a decrease in the average contract value of larger regional clients and nationally recognized clients (both of which generally have higher average contract values) placing ads locally. Local revenue per theatre attendee decreased 2.9% as a result of the decrease in local advertising revenue.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Fathom Events revenue.</w:t>
      </w:r>
      <w:r>
        <w:rPr>
          <w:rFonts w:ascii="Arial" w:cs="Arial" w:eastAsia="Arial" w:hAnsi="Arial"/>
          <w:sz w:val="16"/>
          <w:szCs w:val="16"/>
          <w:color w:val="auto"/>
        </w:rPr>
        <w:t xml:space="preserve"> Fathom Events revenue decreased $3.1 million, or 35.2%, from $8.8 million for the three months ended September 29, 2011 to</w:t>
      </w:r>
    </w:p>
    <w:p>
      <w:pPr>
        <w:spacing w:after="0" w:line="38" w:lineRule="exact"/>
        <w:rPr>
          <w:sz w:val="20"/>
          <w:szCs w:val="20"/>
          <w:color w:val="auto"/>
        </w:rPr>
      </w:pPr>
    </w:p>
    <w:p>
      <w:pPr>
        <w:ind w:left="460"/>
        <w:spacing w:after="0" w:line="315" w:lineRule="auto"/>
        <w:rPr>
          <w:sz w:val="20"/>
          <w:szCs w:val="20"/>
          <w:color w:val="auto"/>
        </w:rPr>
      </w:pPr>
      <w:r>
        <w:rPr>
          <w:rFonts w:ascii="Arial" w:cs="Arial" w:eastAsia="Arial" w:hAnsi="Arial"/>
          <w:sz w:val="15"/>
          <w:szCs w:val="15"/>
          <w:color w:val="auto"/>
        </w:rPr>
        <w:t>$5.7 million for the three months ended September 27, 2012. The decrease was due to a decrease in Fathom Business Events revenue of $3.6 million as this division was wound-down during the first quarter of 2012. The decrease was partially offset by an increase in Fathom Consumer Events revenue of $0.5 million, or 11.4%, from $4.4 million for the three months ended September 29, 2011 to $4.9 million for the three months ended September 27, 2012. The increase in Fathom Consumer Events revenue was driven by an increase in revenue per event site of nearly 87% in the third quarter of 2012 compared to the third quarter of 2011 as the Company’s number of total events decreased 50%, but the events that occurred generated higher revenue per event.</w:t>
      </w:r>
    </w:p>
    <w:p>
      <w:pPr>
        <w:spacing w:after="0" w:line="10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increased $3.6 million, or 5.8%, from $62.0 million for the three months ended September 29, 2011 to $65.6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27, 2012. Set forth below is a discussion of the operating expenses.</w:t>
      </w:r>
    </w:p>
    <w:p>
      <w:pPr>
        <w:spacing w:after="0" w:line="4"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$2.6 million, or 31.0%, from $8.4 million for the three months ended September 29, 2011 to $11.0 million for the three months ended September 27, 2012. The increase was primarily due to a $2.4 million increase in affiliate advertising payments. The increase in affiliate advertising payments was driven by a 32.3% increase in the number of average affiliate screens in the third quarter of 2012, compared to the third quarter of 2011 as well as the increase in national advertising revenue. As a percentage of total network screens, affiliate screens increased from 17.0% as of September 29, 2011 to 21.2% as of September 27, 2012.</w:t>
      </w:r>
    </w:p>
    <w:p>
      <w:pPr>
        <w:spacing w:after="0" w:line="35" w:lineRule="exact"/>
        <w:rPr>
          <w:sz w:val="20"/>
          <w:szCs w:val="20"/>
          <w:color w:val="auto"/>
        </w:rPr>
      </w:pPr>
    </w:p>
    <w:p>
      <w:pPr>
        <w:ind w:left="460" w:right="540"/>
        <w:spacing w:after="0" w:line="306"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decreased $1.9 million, or 29.7%, from $6.4 million for the three months ended September 29, 2011 to $4.5 million for the three months ended September 27, 2012. The decrease was due to a decrease in costs associated with the Fathom Business Events division which declined $2.1 million as this division was wound-down in the first quarter of 2012.</w:t>
      </w:r>
    </w:p>
    <w:p>
      <w:pPr>
        <w:spacing w:after="0" w:line="26"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$0.5 million, or 10.9%, from $4.6 million for the three months ended September 29, 2011 to $5.1 million for the three months ended September 27, 2012. The increase was primarily due to a 5.1% increase in the average number of total network screens during the third quarter of 2012 compared to the third quarter of 2011 and an increase in stock compensation expense of $0.2 million and an increase in other personnel related costs of $0.3 million.</w:t>
      </w:r>
    </w:p>
    <w:p>
      <w:pPr>
        <w:spacing w:after="0" w:line="62"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increased $1.1 million, or 7.2%, from $15.2 million for the three months ended September 29, 2011 to $16.3 million for the three months ended September 27, 2012. The increase was due in part to contractual rate increases specified in the ESA, including an annual 5% rate increase per digital screen and an 8% increase in the payment per patron fee which occurs every five years with the first such increase taking effect in 2012. In addition, payments to our founding members to obtain access to higher quality digital cinema equipment increased due to a higher number of founding member theatres equipped with this technology. As of September 27, 2012, 81.4% of our founding member screens were showing advertising on digital cinema projectors versus 48.7% as of September 29, 2011. These increases to theatre access fees were partially offset by a 6.2% decrease in founding member attendance in the third quarter of 2012, compared to the third quarter of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$0.1 million, or 0.1%, from $15.6 million for the three months ended September 29, 2011 to $15.7 million for the three months ended September 27, 2012. This increase was primarily due to an increase in advertising related selling and marketing costs of $1.6 million and an increase in stock based compensation of $0.3 million, partially offset by a decrease in selling and marketing costs associated with the Fathom division of $1.7 million. Advertising related selling and marketing costs increased due to greater online publisher expenses related to greater online and mobile revenue, higher promotional costs and an increase in sales bonus expense. The decrease in Fathom selling and marketing costs was due primarily to the wind-down of the Fathom Business Events division during the first quarter of 2012.</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increased $1.3 million, or 19.4%, from $6.7 million for the three months ended</w:t>
      </w:r>
    </w:p>
    <w:p>
      <w:pPr>
        <w:spacing w:after="0" w:line="38" w:lineRule="exact"/>
        <w:rPr>
          <w:sz w:val="20"/>
          <w:szCs w:val="20"/>
          <w:color w:val="auto"/>
        </w:rPr>
      </w:pPr>
    </w:p>
    <w:p>
      <w:pPr>
        <w:ind w:left="460" w:right="40"/>
        <w:spacing w:after="0" w:line="323" w:lineRule="auto"/>
        <w:rPr>
          <w:sz w:val="20"/>
          <w:szCs w:val="20"/>
          <w:color w:val="auto"/>
        </w:rPr>
      </w:pPr>
      <w:r>
        <w:rPr>
          <w:rFonts w:ascii="Arial" w:cs="Arial" w:eastAsia="Arial" w:hAnsi="Arial"/>
          <w:sz w:val="16"/>
          <w:szCs w:val="16"/>
          <w:color w:val="auto"/>
        </w:rPr>
        <w:t>September 29, 2011 to $8.0 million for the three months ended September 27, 2012. The increase was primarily due to an increase of $0.6 million in share-based compensation, a $0.3 million increase in bonus expense and a $0.3 million increase in professional service fees.</w:t>
      </w:r>
    </w:p>
    <w:p>
      <w:pPr>
        <w:spacing w:after="0" w:line="12" w:lineRule="exact"/>
        <w:rPr>
          <w:sz w:val="20"/>
          <w:szCs w:val="20"/>
          <w:color w:val="auto"/>
        </w:rPr>
      </w:pPr>
    </w:p>
    <w:p>
      <w:pPr>
        <w:ind w:left="460" w:right="180"/>
        <w:spacing w:after="0" w:line="370" w:lineRule="auto"/>
        <w:rPr>
          <w:sz w:val="20"/>
          <w:szCs w:val="20"/>
          <w:color w:val="auto"/>
        </w:rPr>
      </w:pPr>
      <w:r>
        <w:rPr>
          <w:rFonts w:ascii="Arial" w:cs="Arial" w:eastAsia="Arial" w:hAnsi="Arial"/>
          <w:sz w:val="15"/>
          <w:szCs w:val="15"/>
          <w:u w:val="single" w:color="auto"/>
          <w:color w:val="auto"/>
        </w:rPr>
        <w:t>Depreciation and amortization.</w:t>
      </w:r>
      <w:r>
        <w:rPr>
          <w:rFonts w:ascii="Arial" w:cs="Arial" w:eastAsia="Arial" w:hAnsi="Arial"/>
          <w:sz w:val="15"/>
          <w:szCs w:val="15"/>
          <w:color w:val="auto"/>
        </w:rPr>
        <w:t xml:space="preserve"> Depreciation and amortization expense remained flat at $5.0 million for the three months ended September 27, 2012, compared to $5.1 million for the three months ended September 29, 2011 as our fixed and intangible assets remained relatively consistent year-over-year.</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decreased $0.1 million, or 0.1%, from $16.8 million for the three months ended September 29, 2011 to $16.7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27, 2012. The decrease was driven by a $3.2 million increase in income attributable to noncontrolling interests due to higher NCM LLC net income in the period, an increase in interest due to the founding members under the tax receivable agreement of $1.7 million, an increase in income tax expense of $1.7 million due primarily to greater taxable income in the third quarter 2012, compared to the third quarter of 2011, and an increase in interest on borrowings of $0.4 million. These decreases to net income were partially offset by an increase in operating income of $4.1 million, as described further above, a decrease of $1.5 million in other non-operating expense due to the absence of a write-off of debt issuance costs incurred in the third quarter of 2011 and a decrease of $1.3 million for the charge associated with the change in fair value of interest rate swaps on our senior secured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27, 2012 and September 29, 2011</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increased $12.1 million, or 3.8%, from $320.8 million for the nine months ended September 29, 2011 to $332.9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27, 2012. The increase was driven by an increase in total advertising revenue of $20.7 million, or 7.3%, from $284.9 million for the nine months ended September 29, 2011 to $305.6 million for the nine months ended September 27, 2012. The increase was partially offset by a decrease in Fathom Events revenue of $8.6 million, or 24.0%, from $35.9 million for the nine months ended September 29, 2011 to $27.3 million for the nine months ended September 27, 2012. Total advertising revenue (including beverage revenue) per attendee for the nine months ended September 27, 2012 increased 1.0% from the nine months ended September 29, 2011. Total advertising revenue per attendee (excluding beverage revenue) for the nine months ended September 27, 2012 increased 1.7% over the same period in 2011. The following is a summary of revenue by category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0"/>
              </w:rPr>
              <w:t>Nine Months Ended</w:t>
            </w:r>
          </w:p>
        </w:tc>
        <w:tc>
          <w:tcPr>
            <w:tcW w:w="5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 Change</w:t>
            </w:r>
          </w:p>
        </w:tc>
      </w:tr>
      <w:tr>
        <w:trPr>
          <w:trHeight w:val="129"/>
        </w:trPr>
        <w:tc>
          <w:tcPr>
            <w:tcW w:w="718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7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29,</w:t>
            </w:r>
          </w:p>
        </w:tc>
        <w:tc>
          <w:tcPr>
            <w:tcW w:w="76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YTD 9/29/11 to</w:t>
            </w:r>
          </w:p>
        </w:tc>
      </w:tr>
      <w:tr>
        <w:trPr>
          <w:trHeight w:val="161"/>
        </w:trPr>
        <w:tc>
          <w:tcPr>
            <w:tcW w:w="7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2011</w:t>
            </w:r>
          </w:p>
        </w:tc>
        <w:tc>
          <w:tcPr>
            <w:tcW w:w="7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YTD 9/27/12</w:t>
            </w:r>
          </w:p>
        </w:tc>
        <w:tc>
          <w:tcPr>
            <w:tcW w:w="200" w:type="dxa"/>
            <w:vAlign w:val="bottom"/>
            <w:tcBorders>
              <w:bottom w:val="single" w:sz="8" w:color="CCEEFF"/>
            </w:tcBorders>
          </w:tcPr>
          <w:p>
            <w:pPr>
              <w:spacing w:after="0"/>
              <w:rPr>
                <w:sz w:val="14"/>
                <w:szCs w:val="14"/>
                <w:color w:val="auto"/>
              </w:rPr>
            </w:pPr>
          </w:p>
        </w:tc>
      </w:tr>
      <w:tr>
        <w:trPr>
          <w:trHeight w:val="210"/>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r>
      <w:tr>
        <w:trPr>
          <w:trHeight w:val="222"/>
        </w:trPr>
        <w:tc>
          <w:tcPr>
            <w:tcW w:w="71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332.9</w:t>
            </w: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320.8</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National advertising revenue (including beverage revenue from founding members) increased $24.6 million, or 10.8%, from $227.6 million for the nine months ended September 29, 2011 to $252.2 million for the nine months ended September 27, 2012. Excluding beverage revenue, national advertising revenue increased $24.1 million, or 12.2%, from $198.2 million for the nine months ended September 29, 2011 to $222.3 million for the nine months ended September 27, 2012. The increase was primarily due to an increase in inventory utilization from 96.7% for the nine months ended September 29,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2011 to 101.4% for the nine months ended September 29, 2012 on a 6.2% increase in theatre network attendance over the same nine-month period. This increase in national advertising revenue was offset by a 1.9% decrease in national advertising CPM’s (excluding beverage revenue) during the current nine-month period.</w:t>
      </w:r>
    </w:p>
    <w:p>
      <w:pPr>
        <w:spacing w:after="0" w:line="59"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u w:val="single" w:color="auto"/>
          <w:color w:val="auto"/>
        </w:rPr>
        <w:t>Local advertising revenue.</w:t>
      </w:r>
      <w:r>
        <w:rPr>
          <w:rFonts w:ascii="Arial" w:cs="Arial" w:eastAsia="Arial" w:hAnsi="Arial"/>
          <w:sz w:val="16"/>
          <w:szCs w:val="16"/>
          <w:color w:val="auto"/>
        </w:rPr>
        <w:t xml:space="preserve"> Local advertising revenue decreased $3.9 million, or 6.8% from $57.3 million for the nine months ended September 29, 2011 to $53.4 million for the nine months ended September 27, 2012. The Company’s total number of local advertising contracts increased 3.1%, while the average contract value decreased 9.4% due to a decrease in the number of larger regional clients and nationally recognized clients (both of which generally have higher average contract values) placing ads locally. Local revenue per theatre attendee for the nine months ended September 27, 2012 decreased 12.0% due to the local advertising revenue decrease and a theatre network attendance increase of 6.2%.</w:t>
      </w:r>
    </w:p>
    <w:p>
      <w:pPr>
        <w:spacing w:after="0" w:line="35"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u w:val="single" w:color="auto"/>
          <w:color w:val="auto"/>
        </w:rPr>
        <w:t>Fathom Events revenue.</w:t>
      </w:r>
      <w:r>
        <w:rPr>
          <w:rFonts w:ascii="Arial" w:cs="Arial" w:eastAsia="Arial" w:hAnsi="Arial"/>
          <w:sz w:val="16"/>
          <w:szCs w:val="16"/>
          <w:color w:val="auto"/>
        </w:rPr>
        <w:t xml:space="preserve"> Fathom Events revenue decreased $8.6 million, or 24.0%, from $35.9 million for the nine months ended September 29, 2011 to $27.3 million for the nine months ended September 27, 2012. The decrease was primarily due to a decrease in Fathom Business Events revenue of $7.2 million related to the wind-down of the Fathom Business Events division during the first quarter of 2012. The Fathom Consumer Events revenue decreased $1.4 million, or 5.7%, due to a decrease of 2.0% in revenue per event site and a 3.4% decrease in the number of events held during the nine months ended September 27, 2012 compared to the same period in 2011.</w:t>
      </w:r>
    </w:p>
    <w:p>
      <w:pPr>
        <w:spacing w:after="0" w:line="1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increased $10.9 million, or 6.0%, from $181.6 million for the nine months ended September 29, 2011 to</w:t>
      </w:r>
      <w:r>
        <w:rPr>
          <w:rFonts w:ascii="Arial" w:cs="Arial" w:eastAsia="Arial" w:hAnsi="Arial"/>
          <w:sz w:val="16"/>
          <w:szCs w:val="16"/>
          <w:i w:val="1"/>
          <w:iCs w:val="1"/>
          <w:color w:val="auto"/>
        </w:rPr>
        <w:t xml:space="preserve"> </w:t>
      </w:r>
      <w:r>
        <w:rPr>
          <w:rFonts w:ascii="Arial" w:cs="Arial" w:eastAsia="Arial" w:hAnsi="Arial"/>
          <w:sz w:val="16"/>
          <w:szCs w:val="16"/>
          <w:color w:val="auto"/>
        </w:rPr>
        <w:t>$192.5 million for the nine months ended September 27, 2012. Set forth below is a discussion of the operating expenses.</w:t>
      </w:r>
    </w:p>
    <w:p>
      <w:pPr>
        <w:spacing w:after="0" w:line="4"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$5.9 million, or 33.1%, from $17.8 million for the nine months ended September 29, 2011 to $23.7 million for the nine months ended September 27, 2012. This increase was primarily the result of a $5.5 million increase in payments made to our advertising affiliates primarily due to an increase in network affiliate screens as well as the increase in national advertising revenue (excluding beverage revenue). The increase in affiliate advertising payments was driven by a 39.0% increase in the number of average affiliate screens in the first nine months of 2012, compared to the same period in 2011. As a percentage of total network screens, affiliate screens increased from 17.0% as of September 29, 2011 to 21.2% as of September 27, 2012.</w:t>
      </w:r>
    </w:p>
    <w:p>
      <w:pPr>
        <w:spacing w:after="0" w:line="39"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decreased $4.7 million, or 19.0%, from $24.7 million for the nine months ended September 29, 2011 to $20.0 million for the nine months ended September 27, 2012. The decrease was primarily due to a decrease in costs associated with the Fathom Business Events division which declined $4.0 million as this division was wound-down in the first quarter of 2012. This decrease was partially offset by an increase of $0.6 million related to the Fathom Consumer Events division due primarily to an increase of $0.4 million in content split payments to content partners which was related to the increased revenue in the period.</w:t>
      </w:r>
    </w:p>
    <w:p>
      <w:pPr>
        <w:spacing w:after="0" w:line="35" w:lineRule="exact"/>
        <w:rPr>
          <w:sz w:val="20"/>
          <w:szCs w:val="20"/>
          <w:color w:val="auto"/>
        </w:rPr>
      </w:pPr>
    </w:p>
    <w:p>
      <w:pPr>
        <w:jc w:val="both"/>
        <w:ind w:left="460" w:right="80"/>
        <w:spacing w:after="0" w:line="256"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$1.0 million, or 7.0%, from $14.3 million for the nine months ended September 29, 2011 to $15.3 million for the nine months ended September 27, 2012. The increase was primarily due to a 6.5% increase in the average number of total network screens during the first nine months of 2012 compared to the same period in 2011 and an increase in stock compensation expense of $0.2 million and other personnel related costs of $0.5 million.</w:t>
      </w:r>
    </w:p>
    <w:p>
      <w:pPr>
        <w:spacing w:after="0" w:line="62"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increased $6.2 million, or 14.7%, from $42.1 million for the nine months ended September 29, 2011 to $48.3 million for the nine months ended September 27, 2012. The increase was due in part to contractual rate increases specified in the ESA, including an annual 5% rate increase per digital screen and an 8% increase in the payment per patron fee which occurs every five years with the first such increase taking effect in 2012. Theatre access fees also rose due to founding member attendance increasing by 1.6% during the first nine months of 2012 compared to the same period in 2011. In addition, payments to our founding members to obtain access to higher quality digital cinema equipment increased due to a higher number of founding member theatres equipped with this technology. As of September 27, 2012, 81.4% of our founding member screens were showing advertising on digital cinema projectors versus 48.7% as of September 29, 2011.</w:t>
      </w:r>
    </w:p>
    <w:p>
      <w:pPr>
        <w:spacing w:after="0" w:line="37"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$0.6 million, or 1.3%, from $45.1 million for the nine months ended September 29, 2011 to $45.7 million for the nine months ended September 27, 2012. This increase was primarily due to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increase in various advertising related sales, marketing, and research costs, partially offset by lower costs associated with marketing the Fathom Business Events division due to the wind-down of the division in the first quarter of 2012.</w:t>
      </w:r>
    </w:p>
    <w:p>
      <w:pPr>
        <w:spacing w:after="0" w:line="51" w:lineRule="exact"/>
        <w:rPr>
          <w:sz w:val="20"/>
          <w:szCs w:val="20"/>
          <w:color w:val="auto"/>
        </w:rPr>
      </w:pPr>
    </w:p>
    <w:p>
      <w:pPr>
        <w:ind w:left="460" w:right="320"/>
        <w:spacing w:after="0" w:line="256"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$1.0 million, or 4.2%, from $23.6 million for the nine months ended September 29, 2011 to $24.6 million for the nine months ended September 27, 2012. The increase was primarily due to an increase of $0.7 million in professional service fees, a $0.4 million increase in salary and $0.6 million increase in bonus costs, partially offset by a decline of $0.7 million in share based compensation expense.</w:t>
      </w:r>
    </w:p>
    <w:p>
      <w:pPr>
        <w:spacing w:after="0" w:line="62" w:lineRule="exact"/>
        <w:rPr>
          <w:sz w:val="20"/>
          <w:szCs w:val="20"/>
          <w:color w:val="auto"/>
        </w:rPr>
      </w:pPr>
    </w:p>
    <w:p>
      <w:pPr>
        <w:ind w:left="460" w:right="4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$0.9 million, or 6.4%, from $14.0 million for the nine months ended September 29, 2011 to $14.9 million for the nine months ended September 27, 2012 primarily from increased amortization expense recognized on intangible assets for new network affiliate agreements added during late 2011 and 2012.</w:t>
      </w:r>
    </w:p>
    <w:p>
      <w:pPr>
        <w:spacing w:after="0" w:line="14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i w:val="1"/>
          <w:iCs w:val="1"/>
          <w:color w:val="auto"/>
        </w:rPr>
        <w:t>Net income</w:t>
      </w:r>
      <w:r>
        <w:rPr>
          <w:rFonts w:ascii="Arial" w:cs="Arial" w:eastAsia="Arial" w:hAnsi="Arial"/>
          <w:sz w:val="15"/>
          <w:szCs w:val="15"/>
          <w:color w:val="auto"/>
        </w:rPr>
        <w:t>. Net income decreased $10.9 million, or 44.0%, from $24.8 million for the nine months ended September 29, 2011 to $13.9 million for the nine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September 27, 2012. The decrease was due primarily to a $26.7 million loss on the termination of a portion of the interest rate swap agreement associated with the portion of our term loan that was paid down during the second quarter of 2012 with the proceeds from the issuance of Senior Secured Notes. Additionally, the decrease in net income was due to a $7.4 million increase in interest on borrowings due primarily to the issuance of Senior Unsecured Notes in July 2011 and to a lesser extent the issuance of our Senior Secured Notes in April 2012. These decreases were partially offset by a $16.1 million decrease in net income attributable to noncontrolling interests, a $4.4 million decrease in the provision for income taxes and a $2.5 million decrease in the charge related to the change in derivative fair value. Income attributable to noncontrolling interests decreased $16.1 million to $34.9 million for the nine months ended September 27, 2012 due to lower NCM LLC net income during the periods. The decrease in the provision for income taxes of $4.4 million was due primarily to lower taxable income. The change in derivative fair value resulted in a $0.2 million pre-tax non-cash charge for the nine months ended September 27, 2012 compared to $2.7 million for the nine months ended September 29, 2011, due to the change in the fair value of interest rate hedges associated with our senior secured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current macro-economic environment and its impact on the national television scatter advertising market in general, presents uncertainties that could impact our results of operations, including the timing and amount of spending from our national advertising clients. The impact to our business associated with these issues will be mitigated somewhat over time due to factors including the growth in our advertising client base, increasing scale of our national network and the related increase in salable advertising impressions, the effectiveness of cinema advertising relative to other advertising mediums, as well as the effectiveness, quality and number of Fathom programming events, and the number of live broadcast locations.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September 29, 2011, we added several new affiliate theatres to our national network including: Ayersley Theatre Operators, Coming Attractions Theatres, Inc., Dickinson Theatres, Inc., Far Away Entertainment, Goodrich Quality Theatres, King Theatres Circuit LLC, Loeks Theatres, Inc. (Celebration! Cinema), O’Neil Entertainment Group, Odyssey Entertainment, Inc. (CineMagic Theatres), I.T.B.S. (Southeast Cinemas), Star Cinema Grill, Texas Cinemas, Corp. and United Entertainment Corp, and in the fourth quarter of 2012 we have contracted to add Fairchild Cinemas, Inc., Rocky Mountain Cinemas, Inc. d.b.a. Aurora Cinema Grill, Kerasotes ICON Theatres and we are discussing network affiliate relationships with other theatre circuits that could be added during 2013 and in later years. In total, these contracted new founding member and affiliate theatres that have joined our network subsequent to September 29, 2011 are expected to add approximately 36 million new attendees on a full-year pro-forma basis, which we expect will result in approximately 504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in 2012 and beyond. We believe that the continued growth of our network will expand our national reach and geographic coverage to strengthen our selling proposition and competitive positioning versus other national and regional advertising platforms.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2012 and in 2011, we sold 60 seconds to our founding members. We expect to continue to sell 60 seconds of time to the founding members in the remainder of 2012 and for the foreseeable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consideration for NCM LLC’s access to the founding members’ theatre attendees for on-screen advertising and use of off-screen locations within the founding members’ theatres for the LEN and lobby promotions, the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Pursuant to 2010 ESA Amendments, beginning on October 1, 2010 the theatre access fee paid to the members of NCM LLC included an additional fee for access to the higher quality digital cinema systems for our advertising and Fathom business; this additional fee increased in 2012 and will continue to increase in 2013 as additional screens are equipped with the new digital cinema equipment and the fee increases annually by 5%. As of September 27, 2012, 72.1% of our network screens were showing advertising on digital cinema projectors versus 45.8% as of September 29, 2011.</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discussed in Note 6 to the unaudited condensed consolidated financial statements included elsewhere in this document, NCM LLC’s fiscal year 2007 and 2008 tax returns are currently under examination by the IRS and in September 2011, NCM LLC received a Notice of Proposed Adjustment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NCM, Inc., in its capacity as tax matters partner for NCM LLC, received a “60 Day Letter” from the IRS, dated April 25, 2012, in connection with the examination of NCM LLC’s federal tax return for the 2007 and 2008 fiscal years. The 60 Day Letter notified NCM LLC that the IRS intended to adjust partnership items unless a written letter of protest was received by the IRS within 60 days of the date of the letter. Subsequent to the receipt of the 60 Day Letter, NCM, Inc. received from the IRS an additional 30 day extension to respond. The adjustments proposed by the IRS in the 60 Day Letter are materially similar to the adjustments proposed in the NOPA received in September 2011. The Company submitted its written letter of protest to the IRS in July 2012 and believes the IRS’ position lacks merit and intends to dispute the adjustments through the administrative appeals process. Should the IRS claims prevail, the Company could be required to pay additional amounts to the founding members under the tax receivable agreement and then could request refunds from various federal and state taxing authorities, and thus it is not expected to have a material adverse impact on cash balances or cash flow of the Company.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2012, the Company restructured Fathom Events by winding down its Fathom Business Events division, to place more focus on the Fathom Consumer Events division. The Company continued to operate the Fathom Business Events division for a portion of the first quarter of 2012 to satisfy contractual obligations for events and will continue to execute business events on a periodic basis for existing long-term Fathom clients, or if requested by the founding members or to support events staged for NCM’s major advertising clients.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April 27, 2012 we amended our senior secured credit facility agreement and completed a private placement of $400.0 million in aggregate principal amount of 6.00% Senior Secured Notes due 2022. A portion of the proceeds were used to prepay $325.0 million of outstanding term loan borrowings under our senior secured credit facility, approximately $25.0 million of outstanding debt under our revolving credit facility and $40.2 million to terminate the swap agreements associated with the term loan borrowings. In conjunction with this bond placement we also restructured our senior secured credit facility to extend the maturity of $105.0 million of our revolving credit facility through April 2017, subject to acceleration if the term loan is not repaid, refinanced or extended by December 31, 2014. In addition, the interest rate margin on the revolving credit facility increased by 75 basis points and the covenants were amended to permit the issuance of the Senior Secured Notes. As a result of these transactions, we have extended the average maturities of our debt by over three years as well as increased our liquidity, as discussed in detail below. As a result of the debt restructurings in July 2011 and April 2012, our interest expense on borrowings is projected to increase approximately $8.1 million for 2012 compared to 2011.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September 27, 2012, our cash, cash equivalents and short-term marketable securities balance was $82.4 million, a decrease of $15.7 million compared to the balance of $98.1 million at December 29, 2011. The cash, cash equivalent and marketable securities at September 27, 2012, combined with $94.0 million of borrowing availability on our revolving credit facility, resulted in total liquidity availability of $176.4, million or a $3.3 million increase, versus total liquidity availability of $173.1 million at December 29, 2011. Our cash balances can fluctuate due to the seasonality of our business and related timing of collections of accounts receivable balances and operating expenditure payments, as well as available cash payments (as defined) to our founding members, interest payments on our term loan, the Senior Secured Notes and Senior Unsecured Notes, and principal payments on debt, income tax payments, tax sharing payments to our founding members and quarterly dividends to NCM, Inc.’s common stockholders. At September 27, 2012, our cash, cash equivalents and marketable securities totaled $82.4 million, an increase of $13.7 million, compared to $68.7 million at September 29, 2011. Our total liquidity availability increased $12.7 million to $176.4 million at September 27, 2012, compared to $163.7 million at September 29,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8"/>
              </w:rPr>
              <w:t>Nine Months</w:t>
            </w:r>
          </w:p>
        </w:tc>
        <w:tc>
          <w:tcPr>
            <w:tcW w:w="42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3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8"/>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760" w:type="dxa"/>
            <w:vAlign w:val="bottom"/>
          </w:tcPr>
          <w:p>
            <w:pPr>
              <w:spacing w:after="0"/>
              <w:rPr>
                <w:sz w:val="14"/>
                <w:szCs w:val="14"/>
                <w:color w:val="auto"/>
              </w:rPr>
            </w:pPr>
          </w:p>
        </w:tc>
        <w:tc>
          <w:tcPr>
            <w:tcW w:w="3600" w:type="dxa"/>
            <w:vAlign w:val="bottom"/>
            <w:gridSpan w:val="4"/>
          </w:tcPr>
          <w:p>
            <w:pPr>
              <w:ind w:left="2360"/>
              <w:spacing w:after="0"/>
              <w:rPr>
                <w:sz w:val="20"/>
                <w:szCs w:val="20"/>
                <w:color w:val="auto"/>
              </w:rPr>
            </w:pPr>
            <w:r>
              <w:rPr>
                <w:rFonts w:ascii="Arial" w:cs="Arial" w:eastAsia="Arial" w:hAnsi="Arial"/>
                <w:sz w:val="14"/>
                <w:szCs w:val="14"/>
                <w:b w:val="1"/>
                <w:bCs w:val="1"/>
                <w:color w:val="auto"/>
              </w:rPr>
              <w:t>Sept. 27, 2012</w:t>
            </w:r>
          </w:p>
        </w:tc>
        <w:tc>
          <w:tcPr>
            <w:tcW w:w="1320" w:type="dxa"/>
            <w:vAlign w:val="bottom"/>
            <w:gridSpan w:val="4"/>
          </w:tcPr>
          <w:p>
            <w:pPr>
              <w:jc w:val="center"/>
              <w:ind w:left="199"/>
              <w:spacing w:after="0"/>
              <w:rPr>
                <w:sz w:val="20"/>
                <w:szCs w:val="20"/>
                <w:color w:val="auto"/>
              </w:rPr>
            </w:pPr>
            <w:r>
              <w:rPr>
                <w:rFonts w:ascii="Arial" w:cs="Arial" w:eastAsia="Arial" w:hAnsi="Arial"/>
                <w:sz w:val="14"/>
                <w:szCs w:val="14"/>
                <w:b w:val="1"/>
                <w:bCs w:val="1"/>
                <w:color w:val="auto"/>
                <w:w w:val="86"/>
              </w:rPr>
              <w:t>Sept. 29, 2011</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cash flow</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Investing cash flow</w:t>
            </w:r>
          </w:p>
        </w:tc>
        <w:tc>
          <w:tcPr>
            <w:tcW w:w="25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50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r>
    </w:tbl>
    <w:p>
      <w:pPr>
        <w:spacing w:after="0" w:line="73" w:lineRule="exact"/>
        <w:rPr>
          <w:sz w:val="20"/>
          <w:szCs w:val="20"/>
          <w:color w:val="auto"/>
        </w:rPr>
      </w:pPr>
    </w:p>
    <w:p>
      <w:pPr>
        <w:ind w:left="900" w:right="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decrease in cash provided by operating activities for the nine months ended September 27, 2012 versus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29, 2011 was primarily due to the payment of $40.2 million for partial interest rate swap terminations and an increase in interest on borrowings.</w:t>
      </w:r>
    </w:p>
    <w:p>
      <w:pPr>
        <w:spacing w:after="0" w:line="59" w:lineRule="exact"/>
        <w:rPr>
          <w:rFonts w:ascii="Arial" w:cs="Arial" w:eastAsia="Arial" w:hAnsi="Arial"/>
          <w:sz w:val="18"/>
          <w:szCs w:val="18"/>
          <w:color w:val="auto"/>
        </w:rPr>
      </w:pPr>
    </w:p>
    <w:p>
      <w:pPr>
        <w:ind w:left="900" w:right="180" w:hanging="325"/>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cash used for investing cash flows for the nine months ended September 27, 2012 decreased compared to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29, 2011. The decrease was due to lower capital expenditures of $1.4 million, an increase of $15.6 million in proceeds from marketable securities, net of purchases, and a $7.5 million decrease in the use of cash for payments made to new affiliates.</w:t>
      </w:r>
    </w:p>
    <w:p>
      <w:pPr>
        <w:spacing w:after="0" w:line="25" w:lineRule="exact"/>
        <w:rPr>
          <w:rFonts w:ascii="Arial" w:cs="Arial" w:eastAsia="Arial" w:hAnsi="Arial"/>
          <w:sz w:val="16"/>
          <w:szCs w:val="16"/>
          <w:color w:val="auto"/>
        </w:rPr>
      </w:pPr>
    </w:p>
    <w:p>
      <w:pPr>
        <w:ind w:left="900" w:right="22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used in financing activities decreased by $59.1 million during the nine months ended September 27, 2012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29, 2011. The decrease in cash used was due primarily to an increase in cash proceeds from borrowings, net of payments, of $58.3 million related to the issuance of the Senior Secured Notes during the period and a $9.4 million decrease in distributions to our founding members and managing member.</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 of liquidity and capital resources is available cash distributions from NCM LLC</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its existing cash balances and marketable securities, which at September 27, 2012 were $74.8 million (not including NCM LLC). NCM LLC’s primary sources of liquidity and capital resources are its cash provided by operating activities, availability under its revolving credit facility and cash on hand. Refer to the audited condensed financial statements and notes thereto included in the Company’s annual report on Form 10-K filed for the fiscal year ended December 29, 2011 for a detailed discussion of the debt transactions in the third quarter of 2011 and Note 5-</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consolidated financial statements included in Item 1 of this Form 10-Q for a detailed discussion of the debt transactions in the second quarter of 2012.</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in advertising, interest on borrowings and to a lesser extent theatre attendance. NCM LLC is required pursuant to the terms of the NCM LLC Operating Agreement to distribute its available cash, as defined in the operating agreement, to its members (the founding members and NCM, Inc.). The available cash distribution to the members of NCM LLC for the quarter ended September 27, 2012 (which will be made during the fourth quarter of 2012) was $65.8 million, of which $32.1 million was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distributed to NCM, Inc. NCM, Inc. expects to use cash received from the available cash distributions and its cash balances to fund income taxes, payments associated with the tax sharing agreement with the founding members and current and future dividends as declared by the board of directors, including a dividend declared on October 30, 2012 of $0.22 per share (approximately $12.0 million) which will be paid on November 29, 2012 to stockholders of record on November 15, 2012. Distributions from NCM LLC and NCM, Inc. cash balances should be sufficient to fund the above listed items for the foreseeable future at the discretion of the board of directors dependent on anticipated cash needs, overall financial condition, future prospects for earnings, available cash and cash flows as well as other relevant factors.</w:t>
      </w:r>
    </w:p>
    <w:p>
      <w:pPr>
        <w:spacing w:after="0" w:line="14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discussed above in “Known Trends and Uncertainties”, the Company modified its debt structure during the second quarter of 2012 and as a result has extended the average maturity of its debt by over three years and increased its liquidity, while not meaningfully impacting free cash flow.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29, 2011 and incorporated by reference herein. As of September 27, 2012, there were no significant changes in those critical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considered all recently issued accounting pronouncements and does not believe the adoption of such pronouncements will have a material impact on its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For a discussion of related-party transactions, see the information provided under Note 4-</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to the unaudited condensed consolidated financial statements in Item 1 of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29, 2011 and incorporated by reference herein. We do not believe these arrangements are material to our current or future financial condition, results of operations, liquidity, capital resources or capital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There were no material changes to our contractual obligations during the nine months ended September 27, 2012, however in April 2012 we completed a restructuring of our indebtedness. Refer to Note 5-</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consolidated financial statements included in Item 1 of this Form 10-Q and “Known Trends and Uncertainties” above for a detailed discussion of the debt transactions in the second quarter of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Events.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2009, 2010 and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Second</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2009</w:t>
            </w: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2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FY 2010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23.2%</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FY 2011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primary market risk to which we are exposed is interest rate risk. We have entered into interest rate swap arrangements economically hedging the entire $225.0 million outstanding variable rate term loan at a fixed interest rate of 6.484%. The Senior Unsecured Notes and the Senior Secured Notes are at fixed rates, and therefore are not subject to market risk. At September 27, 2012, the only interest rate risk that we are exposed to is related to our $119.0 million revolving credit facility and thus a 100 basis point fluctuation in market interest rates would have the effect of increasing or decreasing our cash interest expense by approximately $0.3 million for an annual period on the $25.0 million outstanding as of September 27, 2012 on our revolving credit facility. Because each of our interest rate swaps was in a liability position at September 27, 2012, we are not currently exposed to counterparty risk related to the swaps. For a discussion of market risks, see Item 7A. “Quantitative and Qualitative Disclosures About Market Risk” contained in our annual report on Form 10-K for the fiscal year ended December 29, 2011 and incorporated by reference herein.</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September 27, 2012,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September 27, 2012 were effective.</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There have been no changes in the Company’s internal controls over financial reporting that occurred during the quarter ended September 27, 2012 that have materially affected, or are reasonably likely to materially affect, the Company’s internal controls over financial reporting.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February 24, 2012 for the fiscal year ended December 29,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800" w:type="dxa"/>
            <w:vAlign w:val="bottom"/>
            <w:gridSpan w:val="5"/>
          </w:tcPr>
          <w:p>
            <w:pPr>
              <w:ind w:left="20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gridSpan w:val="2"/>
          </w:tcPr>
          <w:p>
            <w:pPr>
              <w:jc w:val="center"/>
              <w:ind w:right="800"/>
              <w:spacing w:after="0"/>
              <w:rPr>
                <w:sz w:val="20"/>
                <w:szCs w:val="20"/>
                <w:color w:val="auto"/>
              </w:rPr>
            </w:pPr>
            <w:r>
              <w:rPr>
                <w:rFonts w:ascii="Arial" w:cs="Arial" w:eastAsia="Arial" w:hAnsi="Arial"/>
                <w:sz w:val="14"/>
                <w:szCs w:val="14"/>
                <w:color w:val="auto"/>
                <w:w w:val="85"/>
              </w:rPr>
              <w:t>(c)</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2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w w:val="93"/>
              </w:rPr>
              <w:t>(a)</w:t>
            </w:r>
          </w:p>
        </w:tc>
        <w:tc>
          <w:tcPr>
            <w:tcW w:w="128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(b)</w:t>
            </w:r>
          </w:p>
        </w:tc>
        <w:tc>
          <w:tcPr>
            <w:tcW w:w="19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Total Number of</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Maximum 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2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w w:val="89"/>
              </w:rPr>
              <w:t>Total</w:t>
            </w: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8"/>
              </w:rPr>
              <w:t>Average</w:t>
            </w:r>
          </w:p>
        </w:tc>
        <w:tc>
          <w:tcPr>
            <w:tcW w:w="19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2"/>
              </w:rPr>
              <w:t>Shares Purchased as</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Approximate Dollar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2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4"/>
              </w:rPr>
              <w:t>Number of</w:t>
            </w:r>
          </w:p>
        </w:tc>
        <w:tc>
          <w:tcPr>
            <w:tcW w:w="128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7"/>
              </w:rPr>
              <w:t>Price</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Part of Publicly</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Shares that may yet be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3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2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w w:val="81"/>
              </w:rPr>
              <w:t>Shares</w:t>
            </w: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3"/>
              </w:rPr>
              <w:t>Paid Per</w:t>
            </w:r>
          </w:p>
        </w:tc>
        <w:tc>
          <w:tcPr>
            <w:tcW w:w="19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5"/>
              </w:rPr>
              <w:t>Announced Plans</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Purchased under the Plans or</w:t>
            </w:r>
          </w:p>
        </w:tc>
        <w:tc>
          <w:tcPr>
            <w:tcW w:w="0" w:type="dxa"/>
            <w:vAlign w:val="bottom"/>
          </w:tcPr>
          <w:p>
            <w:pPr>
              <w:spacing w:after="0"/>
              <w:rPr>
                <w:sz w:val="1"/>
                <w:szCs w:val="1"/>
                <w:color w:val="auto"/>
              </w:rPr>
            </w:pPr>
          </w:p>
        </w:tc>
      </w:tr>
      <w:tr>
        <w:trPr>
          <w:trHeight w:val="166"/>
        </w:trPr>
        <w:tc>
          <w:tcPr>
            <w:tcW w:w="38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20" w:type="dxa"/>
            <w:vAlign w:val="bottom"/>
            <w:gridSpan w:val="3"/>
          </w:tcPr>
          <w:p>
            <w:pPr>
              <w:jc w:val="center"/>
              <w:ind w:right="780"/>
              <w:spacing w:after="0" w:line="146" w:lineRule="exact"/>
              <w:rPr>
                <w:sz w:val="20"/>
                <w:szCs w:val="20"/>
                <w:color w:val="auto"/>
              </w:rPr>
            </w:pPr>
            <w:r>
              <w:rPr>
                <w:rFonts w:ascii="Arial" w:cs="Arial" w:eastAsia="Arial" w:hAnsi="Arial"/>
                <w:sz w:val="14"/>
                <w:szCs w:val="14"/>
                <w:color w:val="auto"/>
                <w:w w:val="83"/>
              </w:rPr>
              <w:t>Purchased</w:t>
            </w:r>
          </w:p>
        </w:tc>
        <w:tc>
          <w:tcPr>
            <w:tcW w:w="1280" w:type="dxa"/>
            <w:vAlign w:val="bottom"/>
            <w:gridSpan w:val="2"/>
          </w:tcPr>
          <w:p>
            <w:pPr>
              <w:jc w:val="center"/>
              <w:ind w:right="780"/>
              <w:spacing w:after="0" w:line="146" w:lineRule="exact"/>
              <w:rPr>
                <w:sz w:val="20"/>
                <w:szCs w:val="20"/>
                <w:color w:val="auto"/>
              </w:rPr>
            </w:pPr>
            <w:r>
              <w:rPr>
                <w:rFonts w:ascii="Arial" w:cs="Arial" w:eastAsia="Arial" w:hAnsi="Arial"/>
                <w:sz w:val="14"/>
                <w:szCs w:val="14"/>
                <w:color w:val="auto"/>
                <w:w w:val="80"/>
              </w:rPr>
              <w:t>Share</w:t>
            </w:r>
          </w:p>
        </w:tc>
        <w:tc>
          <w:tcPr>
            <w:tcW w:w="1900" w:type="dxa"/>
            <w:vAlign w:val="bottom"/>
            <w:gridSpan w:val="2"/>
          </w:tcPr>
          <w:p>
            <w:pPr>
              <w:jc w:val="center"/>
              <w:ind w:right="800"/>
              <w:spacing w:after="0" w:line="146" w:lineRule="exact"/>
              <w:rPr>
                <w:sz w:val="20"/>
                <w:szCs w:val="20"/>
                <w:color w:val="auto"/>
              </w:rPr>
            </w:pPr>
            <w:r>
              <w:rPr>
                <w:rFonts w:ascii="Arial" w:cs="Arial" w:eastAsia="Arial" w:hAnsi="Arial"/>
                <w:sz w:val="14"/>
                <w:szCs w:val="14"/>
                <w:color w:val="auto"/>
                <w:w w:val="85"/>
              </w:rPr>
              <w:t>or Programs</w:t>
            </w:r>
          </w:p>
        </w:tc>
        <w:tc>
          <w:tcPr>
            <w:tcW w:w="172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85"/>
              </w:rPr>
              <w:t>Programs</w:t>
            </w: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June 29, 2012 through July 26, 2012</w:t>
            </w: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132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4"/>
          </w:tcPr>
          <w:p>
            <w:pPr>
              <w:spacing w:after="0"/>
              <w:rPr>
                <w:sz w:val="20"/>
                <w:szCs w:val="20"/>
                <w:color w:val="auto"/>
              </w:rPr>
            </w:pPr>
            <w:r>
              <w:rPr>
                <w:rFonts w:ascii="Arial" w:cs="Arial" w:eastAsia="Arial" w:hAnsi="Arial"/>
                <w:sz w:val="18"/>
                <w:szCs w:val="18"/>
                <w:color w:val="auto"/>
              </w:rPr>
              <w:t>July 27, 2012 through August 30, 2012</w:t>
            </w:r>
          </w:p>
        </w:tc>
        <w:tc>
          <w:tcPr>
            <w:tcW w:w="2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August 31, 2012 through September 27, 2012 (1)</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361</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$14.50</w:t>
            </w:r>
          </w:p>
        </w:tc>
        <w:tc>
          <w:tcPr>
            <w:tcW w:w="7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funding the recipient’s tax withholding obligations.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380" w:type="dxa"/>
            <w:vAlign w:val="bottom"/>
            <w:gridSpan w:val="8"/>
          </w:tcPr>
          <w:p>
            <w:pPr>
              <w:ind w:left="40"/>
              <w:spacing w:after="0"/>
              <w:rPr>
                <w:sz w:val="20"/>
                <w:szCs w:val="20"/>
                <w:color w:val="auto"/>
              </w:rPr>
            </w:pPr>
            <w:r>
              <w:rPr>
                <w:rFonts w:ascii="Arial" w:cs="Arial" w:eastAsia="Arial" w:hAnsi="Arial"/>
                <w:sz w:val="18"/>
                <w:szCs w:val="18"/>
                <w:b w:val="1"/>
                <w:bCs w:val="1"/>
                <w:color w:val="auto"/>
              </w:rPr>
              <w:t>Other Information</w:t>
            </w:r>
          </w:p>
        </w:tc>
      </w:tr>
      <w:tr>
        <w:trPr>
          <w:trHeight w:val="316"/>
        </w:trPr>
        <w:tc>
          <w:tcPr>
            <w:tcW w:w="140" w:type="dxa"/>
            <w:vAlign w:val="bottom"/>
          </w:tcPr>
          <w:p>
            <w:pPr>
              <w:spacing w:after="0"/>
              <w:rPr>
                <w:sz w:val="24"/>
                <w:szCs w:val="24"/>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w w:val="92"/>
              </w:rPr>
              <w:t>None</w:t>
            </w: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600" w:type="dxa"/>
            <w:vAlign w:val="bottom"/>
          </w:tcPr>
          <w:p>
            <w:pPr>
              <w:spacing w:after="0"/>
              <w:rPr>
                <w:sz w:val="24"/>
                <w:szCs w:val="24"/>
                <w:color w:val="auto"/>
              </w:rPr>
            </w:pPr>
          </w:p>
        </w:tc>
      </w:tr>
      <w:tr>
        <w:trPr>
          <w:trHeight w:val="259"/>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82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Exhibits</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300" w:type="dxa"/>
            <w:vAlign w:val="bottom"/>
            <w:gridSpan w:val="3"/>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2"/>
              </w:rPr>
              <w:t>Reference</w:t>
            </w:r>
          </w:p>
        </w:tc>
        <w:tc>
          <w:tcPr>
            <w:tcW w:w="260" w:type="dxa"/>
            <w:vAlign w:val="bottom"/>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8600" w:type="dxa"/>
            <w:vAlign w:val="bottom"/>
          </w:tcPr>
          <w:p>
            <w:pPr>
              <w:spacing w:after="0"/>
              <w:rPr>
                <w:sz w:val="24"/>
                <w:szCs w:val="24"/>
                <w:color w:val="auto"/>
              </w:rPr>
            </w:pPr>
          </w:p>
        </w:tc>
      </w:tr>
      <w:tr>
        <w:trPr>
          <w:trHeight w:val="316"/>
        </w:trPr>
        <w:tc>
          <w:tcPr>
            <w:tcW w:w="580" w:type="dxa"/>
            <w:vAlign w:val="bottom"/>
            <w:gridSpan w:val="2"/>
          </w:tcPr>
          <w:p>
            <w:pPr>
              <w:jc w:val="right"/>
              <w:ind w:right="10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80" w:type="dxa"/>
            <w:vAlign w:val="bottom"/>
            <w:gridSpan w:val="2"/>
          </w:tcPr>
          <w:p>
            <w:pPr>
              <w:jc w:val="right"/>
              <w:ind w:right="102"/>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Amended and Restated Bylaws.</w:t>
            </w:r>
          </w:p>
        </w:tc>
      </w:tr>
      <w:tr>
        <w:trPr>
          <w:trHeight w:val="318"/>
        </w:trPr>
        <w:tc>
          <w:tcPr>
            <w:tcW w:w="580" w:type="dxa"/>
            <w:vAlign w:val="bottom"/>
            <w:gridSpan w:val="2"/>
          </w:tcPr>
          <w:p>
            <w:pPr>
              <w:jc w:val="right"/>
              <w:ind w:right="102"/>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w w:val="89"/>
              </w:rPr>
              <w:t>Common Unit Adjustment Agreement dated as of February 13, 2007, by and among National CineMedia, Inc., National CineMedia,</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w w:val="92"/>
              </w:rPr>
              <w:t>LLC, Regal CineMedia Holdings, LLC, American Multi-Cinema, Inc., Cinemark Media, Inc., Regal Cinemas, Inc. and Cinemark</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w w:val="96"/>
              </w:rPr>
              <w:t>USA, Inc. (Confidential treatment granted as to certain portions, which portions were omitted and filed separately with the</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Commission.)</w:t>
            </w:r>
          </w:p>
        </w:tc>
      </w:tr>
      <w:tr>
        <w:trPr>
          <w:trHeight w:val="324"/>
        </w:trPr>
        <w:tc>
          <w:tcPr>
            <w:tcW w:w="580" w:type="dxa"/>
            <w:vAlign w:val="bottom"/>
            <w:gridSpan w:val="2"/>
          </w:tcPr>
          <w:p>
            <w:pPr>
              <w:jc w:val="right"/>
              <w:ind w:right="102"/>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580" w:type="dxa"/>
            <w:vAlign w:val="bottom"/>
            <w:gridSpan w:val="2"/>
          </w:tcPr>
          <w:p>
            <w:pPr>
              <w:jc w:val="right"/>
              <w:ind w:right="102"/>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580" w:type="dxa"/>
            <w:vAlign w:val="bottom"/>
            <w:gridSpan w:val="2"/>
          </w:tcPr>
          <w:p>
            <w:pPr>
              <w:jc w:val="right"/>
              <w:ind w:right="102"/>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580" w:type="dxa"/>
            <w:vAlign w:val="bottom"/>
            <w:gridSpan w:val="2"/>
          </w:tcPr>
          <w:p>
            <w:pPr>
              <w:jc w:val="right"/>
              <w:ind w:right="102"/>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460" w:right="5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interactive data files shall not be deemed filed for purposes of Section 11 or 12 of the Securities Act of 1933, as amended, or Section 18 of the Securities Exchange Act of 1934, as amended, or otherwise subject to liability under those sections.</w:t>
      </w:r>
    </w:p>
    <w:p>
      <w:pPr>
        <w:spacing w:after="0" w:line="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NCM, Inc.’s Form 10-Q (File No. 001-33296) filed on May 10,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10.6 to NCM, Inc.’s Current Report on Form 8-K (File No. 001-33296) filed on February 16,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240"/>
        <w:spacing w:after="0"/>
        <w:tabs>
          <w:tab w:leader="none" w:pos="860" w:val="left"/>
          <w:tab w:leader="none" w:pos="5420" w:val="left"/>
        </w:tabs>
        <w:rPr>
          <w:sz w:val="20"/>
          <w:szCs w:val="20"/>
          <w:color w:val="auto"/>
        </w:rPr>
      </w:pPr>
      <w:r>
        <w:rPr>
          <w:rFonts w:ascii="Arial" w:cs="Arial" w:eastAsia="Arial" w:hAnsi="Arial"/>
          <w:sz w:val="18"/>
          <w:szCs w:val="18"/>
          <w:color w:val="auto"/>
        </w:rPr>
        <w:t>Date:</w:t>
        <w:tab/>
        <w:t>November 2, 2012</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3858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-125730</wp:posOffset>
            </wp:positionV>
            <wp:extent cx="2667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54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ind w:left="240"/>
        <w:spacing w:after="0"/>
        <w:tabs>
          <w:tab w:leader="none" w:pos="860" w:val="left"/>
          <w:tab w:leader="none" w:pos="5420" w:val="left"/>
        </w:tabs>
        <w:rPr>
          <w:sz w:val="20"/>
          <w:szCs w:val="20"/>
          <w:color w:val="auto"/>
        </w:rPr>
      </w:pPr>
      <w:r>
        <w:rPr>
          <w:rFonts w:ascii="Arial" w:cs="Arial" w:eastAsia="Arial" w:hAnsi="Arial"/>
          <w:sz w:val="18"/>
          <w:szCs w:val="18"/>
          <w:color w:val="auto"/>
        </w:rPr>
        <w:t>Date:</w:t>
        <w:tab/>
        <w:t>November 2, 2012</w:t>
      </w:r>
      <w:r>
        <w:rPr>
          <w:sz w:val="20"/>
          <w:szCs w:val="20"/>
          <w:color w:val="auto"/>
        </w:rPr>
        <w:tab/>
      </w:r>
      <w:r>
        <w:rPr>
          <w:rFonts w:ascii="Arial" w:cs="Arial" w:eastAsia="Arial" w:hAnsi="Arial"/>
          <w:sz w:val="15"/>
          <w:szCs w:val="15"/>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3858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-125730</wp:posOffset>
            </wp:positionV>
            <wp:extent cx="2667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54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90"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80" w:firstLine="464"/>
        <w:spacing w:after="0" w:line="259"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right="40" w:firstLine="464"/>
        <w:spacing w:after="0" w:line="268"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90"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80" w:firstLine="464"/>
        <w:spacing w:after="0" w:line="259"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right="40" w:firstLine="464"/>
        <w:spacing w:after="0" w:line="268"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September 27, 2012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26"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2, 2012</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Quarterly Report on Form 10-Q for the period ending September 27, 2012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62" w:lineRule="exact"/>
        <w:rPr>
          <w:sz w:val="20"/>
          <w:szCs w:val="20"/>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2, 2012</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2019-12-09T18:51:20Z</dcterms:created>
  <dcterms:modified xsi:type="dcterms:W3CDTF">2019-12-09T18:51:20Z</dcterms:modified>
</cp:coreProperties>
</file>