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141605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169545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29, 2016</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231775</wp:posOffset>
            </wp:positionV>
            <wp:extent cx="173228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163195</wp:posOffset>
            </wp:positionV>
            <wp:extent cx="1603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160" w:lineRule="exact"/>
        <w:rPr>
          <w:sz w:val="24"/>
          <w:szCs w:val="24"/>
          <w:color w:val="auto"/>
        </w:rPr>
      </w:pPr>
    </w:p>
    <w:p>
      <w:pPr>
        <w:ind w:right="200"/>
        <w:spacing w:after="0" w:line="360"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820" w:space="720"/>
            <w:col w:w="160" w:space="180"/>
            <w:col w:w="4840" w:space="720"/>
            <w:col w:w="1980" w:space="680"/>
            <w:col w:w="320"/>
          </w:cols>
          <w:pgMar w:left="240" w:top="7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80"/>
            <w:col w:w="260" w:space="100"/>
            <w:col w:w="160" w:space="180"/>
            <w:col w:w="220" w:space="80"/>
            <w:col w:w="2060"/>
          </w:cols>
          <w:pgMar w:left="240" w:top="733" w:right="239" w:bottom="1440" w:gutter="0" w:footer="0" w:header="0"/>
          <w:type w:val="continuous"/>
        </w:sectPr>
      </w:pP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2016, the registrant had 137,174,139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582930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20" w:type="dxa"/>
            <w:vAlign w:val="bottom"/>
            <w:gridSpan w:val="11"/>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080" w:type="dxa"/>
            <w:vAlign w:val="bottom"/>
            <w:gridSpan w:val="3"/>
            <w:vMerge w:val="restart"/>
          </w:tcPr>
          <w:p>
            <w:pPr>
              <w:spacing w:after="0"/>
              <w:rPr>
                <w:sz w:val="24"/>
                <w:szCs w:val="24"/>
                <w:color w:val="auto"/>
              </w:rPr>
            </w:pPr>
          </w:p>
        </w:tc>
        <w:tc>
          <w:tcPr>
            <w:tcW w:w="2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60" w:type="dxa"/>
            <w:vAlign w:val="bottom"/>
            <w:gridSpan w:val="15"/>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Income</w:t>
              </w:r>
            </w:hyperlink>
          </w:p>
        </w:tc>
        <w:tc>
          <w:tcPr>
            <w:tcW w:w="4520" w:type="dxa"/>
            <w:vAlign w:val="bottom"/>
            <w:gridSpan w:val="11"/>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Income</w:t>
              </w:r>
            </w:hyperlink>
          </w:p>
        </w:tc>
        <w:tc>
          <w:tcPr>
            <w:tcW w:w="3340" w:type="dxa"/>
            <w:vAlign w:val="bottom"/>
            <w:gridSpan w:val="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8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7"/>
          </w:tcPr>
          <w:p>
            <w:pPr>
              <w:jc w:val="center"/>
              <w:ind w:right="29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8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3060" w:type="dxa"/>
            <w:vAlign w:val="bottom"/>
            <w:gridSpan w:val="2"/>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40" w:type="dxa"/>
            <w:vAlign w:val="bottom"/>
            <w:gridSpan w:val="16"/>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3820" w:type="dxa"/>
            <w:vAlign w:val="bottom"/>
            <w:gridSpan w:val="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5840" w:type="dxa"/>
            <w:vAlign w:val="bottom"/>
            <w:gridSpan w:val="13"/>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6400" w:type="dxa"/>
            <w:vAlign w:val="bottom"/>
            <w:gridSpan w:val="1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60" w:type="dxa"/>
            <w:vAlign w:val="bottom"/>
            <w:gridSpan w:val="1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29,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$6.2 and $5.6,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of $64.5 and $64.1,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20"/>
                <w:szCs w:val="20"/>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$112.0 and $91.9,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567.7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20"/>
                <w:szCs w:val="20"/>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founding members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managing member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 of debt issuance costs of $11.1 and $10.6, respectively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MEMBERS’ EQUITY/DEFICIT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(249.1)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(266.5)</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EQUITY/DEFICIT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1"/>
                <w:szCs w:val="11"/>
                <w:color w:val="auto"/>
              </w:rPr>
            </w:pPr>
          </w:p>
        </w:tc>
      </w:tr>
      <w:tr>
        <w:trPr>
          <w:trHeight w:val="171"/>
        </w:trPr>
        <w:tc>
          <w:tcPr>
            <w:tcW w:w="558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2FA"/>
            </w:tcBorders>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2FA"/>
            </w:tcBorders>
          </w:tcPr>
          <w:p>
            <w:pPr>
              <w:spacing w:after="0"/>
              <w:rPr>
                <w:sz w:val="14"/>
                <w:szCs w:val="14"/>
                <w:color w:val="auto"/>
              </w:rPr>
            </w:pPr>
          </w:p>
        </w:tc>
      </w:tr>
      <w:tr>
        <w:trPr>
          <w:trHeight w:val="209"/>
        </w:trPr>
        <w:tc>
          <w:tcPr>
            <w:tcW w:w="558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 members</w:t>
            </w:r>
          </w:p>
        </w:tc>
        <w:tc>
          <w:tcPr>
            <w:tcW w:w="12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06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2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0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r>
      <w:tr>
        <w:trPr>
          <w:trHeight w:val="230"/>
        </w:trPr>
        <w:tc>
          <w:tcPr>
            <w:tcW w:w="5580" w:type="dxa"/>
            <w:vAlign w:val="bottom"/>
            <w:shd w:val="clear" w:color="auto" w:fill="CFF2FA"/>
          </w:tcPr>
          <w:p>
            <w:pPr>
              <w:ind w:left="140"/>
              <w:spacing w:after="0"/>
              <w:rPr>
                <w:sz w:val="20"/>
                <w:szCs w:val="20"/>
                <w:color w:val="auto"/>
              </w:rPr>
            </w:pPr>
            <w:r>
              <w:rPr>
                <w:rFonts w:ascii="Arial" w:cs="Arial" w:eastAsia="Arial" w:hAnsi="Arial"/>
                <w:sz w:val="18"/>
                <w:szCs w:val="18"/>
                <w:color w:val="auto"/>
              </w:rPr>
              <w:t>of $7.6, $6.5, $22.1 and $23.2, respectively)</w:t>
            </w: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113.5</w:t>
            </w:r>
          </w:p>
        </w:tc>
        <w:tc>
          <w:tcPr>
            <w:tcW w:w="260" w:type="dxa"/>
            <w:vAlign w:val="bottom"/>
            <w:shd w:val="clear" w:color="auto" w:fill="CFF2FA"/>
          </w:tcPr>
          <w:p>
            <w:pPr>
              <w:spacing w:after="0"/>
              <w:rPr>
                <w:sz w:val="20"/>
                <w:szCs w:val="20"/>
                <w:color w:val="auto"/>
              </w:rPr>
            </w:pP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FF2FA"/>
          </w:tcPr>
          <w:p>
            <w:pPr>
              <w:spacing w:after="0"/>
              <w:rPr>
                <w:sz w:val="20"/>
                <w:szCs w:val="20"/>
                <w:color w:val="auto"/>
              </w:rPr>
            </w:pPr>
          </w:p>
        </w:tc>
        <w:tc>
          <w:tcPr>
            <w:tcW w:w="22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305.1</w:t>
            </w:r>
          </w:p>
        </w:tc>
        <w:tc>
          <w:tcPr>
            <w:tcW w:w="260" w:type="dxa"/>
            <w:vAlign w:val="bottom"/>
            <w:shd w:val="clear" w:color="auto" w:fill="CFF2FA"/>
          </w:tcPr>
          <w:p>
            <w:pPr>
              <w:spacing w:after="0"/>
              <w:rPr>
                <w:sz w:val="20"/>
                <w:szCs w:val="20"/>
                <w:color w:val="auto"/>
              </w:rPr>
            </w:pP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FF2FA"/>
          </w:tcPr>
          <w:p>
            <w:pPr>
              <w:spacing w:after="0"/>
              <w:rPr>
                <w:sz w:val="20"/>
                <w:szCs w:val="20"/>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Advertising operating costs</w:t>
            </w:r>
          </w:p>
        </w:tc>
        <w:tc>
          <w:tcPr>
            <w:tcW w:w="120" w:type="dxa"/>
            <w:vAlign w:val="bottom"/>
            <w:shd w:val="clear" w:color="auto" w:fill="CFF2FA"/>
          </w:tcPr>
          <w:p>
            <w:pPr>
              <w:spacing w:after="0"/>
              <w:rPr>
                <w:sz w:val="19"/>
                <w:szCs w:val="19"/>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2FA"/>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Theatre access fees—founding members</w:t>
            </w:r>
          </w:p>
        </w:tc>
        <w:tc>
          <w:tcPr>
            <w:tcW w:w="120" w:type="dxa"/>
            <w:vAlign w:val="bottom"/>
            <w:shd w:val="clear" w:color="auto" w:fill="CFF2FA"/>
          </w:tcPr>
          <w:p>
            <w:pPr>
              <w:spacing w:after="0"/>
              <w:rPr>
                <w:sz w:val="19"/>
                <w:szCs w:val="19"/>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FF2FA"/>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1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2FA"/>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Administrative fee—managing member</w:t>
            </w:r>
          </w:p>
        </w:tc>
        <w:tc>
          <w:tcPr>
            <w:tcW w:w="120" w:type="dxa"/>
            <w:vAlign w:val="bottom"/>
            <w:shd w:val="clear" w:color="auto" w:fill="CFF2FA"/>
          </w:tcPr>
          <w:p>
            <w:pPr>
              <w:spacing w:after="0"/>
              <w:rPr>
                <w:sz w:val="19"/>
                <w:szCs w:val="19"/>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2FA"/>
          </w:tcPr>
          <w:p>
            <w:pPr>
              <w:spacing w:after="0"/>
              <w:rPr>
                <w:sz w:val="19"/>
                <w:szCs w:val="19"/>
                <w:color w:val="auto"/>
              </w:rPr>
            </w:pPr>
          </w:p>
        </w:tc>
      </w:tr>
      <w:tr>
        <w:trPr>
          <w:trHeight w:val="230"/>
        </w:trPr>
        <w:tc>
          <w:tcPr>
            <w:tcW w:w="5580" w:type="dxa"/>
            <w:vAlign w:val="bottom"/>
            <w:tcBorders>
              <w:bottom w:val="single" w:sz="8" w:color="CFF2FA"/>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FF2FA"/>
            </w:tcBorders>
          </w:tcPr>
          <w:p>
            <w:pPr>
              <w:spacing w:after="0"/>
              <w:rPr>
                <w:sz w:val="19"/>
                <w:szCs w:val="19"/>
                <w:color w:val="auto"/>
              </w:rPr>
            </w:pPr>
          </w:p>
        </w:tc>
      </w:tr>
      <w:tr>
        <w:trPr>
          <w:trHeight w:val="223"/>
        </w:trPr>
        <w:tc>
          <w:tcPr>
            <w:tcW w:w="5580" w:type="dxa"/>
            <w:vAlign w:val="bottom"/>
            <w:shd w:val="clear" w:color="auto" w:fill="CFF2FA"/>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2FA"/>
          </w:tcPr>
          <w:p>
            <w:pPr>
              <w:spacing w:after="0"/>
              <w:rPr>
                <w:sz w:val="19"/>
                <w:szCs w:val="19"/>
                <w:color w:val="auto"/>
              </w:rPr>
            </w:pP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204.4</w:t>
            </w:r>
          </w:p>
        </w:tc>
        <w:tc>
          <w:tcPr>
            <w:tcW w:w="26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FF2FA"/>
          </w:tcPr>
          <w:p>
            <w:pPr>
              <w:spacing w:after="0"/>
              <w:rPr>
                <w:sz w:val="19"/>
                <w:szCs w:val="19"/>
                <w:color w:val="auto"/>
              </w:rPr>
            </w:pPr>
          </w:p>
        </w:tc>
      </w:tr>
      <w:tr>
        <w:trPr>
          <w:trHeight w:val="223"/>
        </w:trPr>
        <w:tc>
          <w:tcPr>
            <w:tcW w:w="558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FF2FA"/>
            </w:tcBorders>
          </w:tcPr>
          <w:p>
            <w:pPr>
              <w:spacing w:after="0"/>
              <w:rPr>
                <w:sz w:val="19"/>
                <w:szCs w:val="19"/>
                <w:color w:val="auto"/>
              </w:rPr>
            </w:pPr>
          </w:p>
        </w:tc>
      </w:tr>
      <w:tr>
        <w:trPr>
          <w:trHeight w:val="223"/>
        </w:trPr>
        <w:tc>
          <w:tcPr>
            <w:tcW w:w="5580" w:type="dxa"/>
            <w:vAlign w:val="bottom"/>
            <w:shd w:val="clear" w:color="auto" w:fill="CFF2FA"/>
          </w:tcPr>
          <w:p>
            <w:pPr>
              <w:spacing w:after="0"/>
              <w:rPr>
                <w:sz w:val="20"/>
                <w:szCs w:val="20"/>
                <w:color w:val="auto"/>
              </w:rPr>
            </w:pPr>
            <w:r>
              <w:rPr>
                <w:rFonts w:ascii="Arial" w:cs="Arial" w:eastAsia="Arial" w:hAnsi="Arial"/>
                <w:sz w:val="18"/>
                <w:szCs w:val="18"/>
                <w:color w:val="auto"/>
              </w:rPr>
              <w:t>NON-OPERATING EXPENSES:</w:t>
            </w:r>
          </w:p>
        </w:tc>
        <w:tc>
          <w:tcPr>
            <w:tcW w:w="120" w:type="dxa"/>
            <w:vAlign w:val="bottom"/>
            <w:shd w:val="clear" w:color="auto" w:fill="CFF2FA"/>
          </w:tcPr>
          <w:p>
            <w:pPr>
              <w:spacing w:after="0"/>
              <w:rPr>
                <w:sz w:val="19"/>
                <w:szCs w:val="19"/>
                <w:color w:val="auto"/>
              </w:rPr>
            </w:pPr>
          </w:p>
        </w:tc>
        <w:tc>
          <w:tcPr>
            <w:tcW w:w="110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Interest on borrowings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(0.8)</w:t>
            </w: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5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Loss on early retirement of debt</w:t>
            </w:r>
          </w:p>
        </w:tc>
        <w:tc>
          <w:tcPr>
            <w:tcW w:w="120" w:type="dxa"/>
            <w:vAlign w:val="bottom"/>
            <w:shd w:val="clear" w:color="auto" w:fill="CFF2FA"/>
          </w:tcPr>
          <w:p>
            <w:pPr>
              <w:spacing w:after="0"/>
              <w:rPr>
                <w:sz w:val="19"/>
                <w:szCs w:val="19"/>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Other non-operating expense</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r>
      <w:tr>
        <w:trPr>
          <w:trHeight w:val="223"/>
        </w:trPr>
        <w:tc>
          <w:tcPr>
            <w:tcW w:w="5580" w:type="dxa"/>
            <w:vAlign w:val="bottom"/>
            <w:tcBorders>
              <w:top w:val="single" w:sz="8" w:color="CFF2FA"/>
            </w:tcBorders>
            <w:shd w:val="clear" w:color="auto" w:fill="CFF2FA"/>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CFF2FA"/>
            </w:tcBorders>
            <w:shd w:val="clear" w:color="auto" w:fill="CFF2FA"/>
          </w:tcPr>
          <w:p>
            <w:pPr>
              <w:spacing w:after="0"/>
              <w:rPr>
                <w:sz w:val="19"/>
                <w:szCs w:val="19"/>
                <w:color w:val="auto"/>
              </w:rPr>
            </w:pPr>
          </w:p>
        </w:tc>
      </w:tr>
      <w:tr>
        <w:trPr>
          <w:trHeight w:val="223"/>
        </w:trPr>
        <w:tc>
          <w:tcPr>
            <w:tcW w:w="55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FF2FA"/>
            </w:tcBorders>
          </w:tcPr>
          <w:p>
            <w:pPr>
              <w:spacing w:after="0"/>
              <w:rPr>
                <w:sz w:val="19"/>
                <w:szCs w:val="19"/>
                <w:color w:val="auto"/>
              </w:rPr>
            </w:pPr>
          </w:p>
        </w:tc>
      </w:tr>
      <w:tr>
        <w:trPr>
          <w:trHeight w:val="223"/>
        </w:trPr>
        <w:tc>
          <w:tcPr>
            <w:tcW w:w="5580" w:type="dxa"/>
            <w:vAlign w:val="bottom"/>
            <w:shd w:val="clear" w:color="auto" w:fill="CFF2FA"/>
          </w:tcPr>
          <w:p>
            <w:pPr>
              <w:ind w:left="38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FF2FA"/>
          </w:tcPr>
          <w:p>
            <w:pPr>
              <w:spacing w:after="0"/>
              <w:rPr>
                <w:sz w:val="19"/>
                <w:szCs w:val="19"/>
                <w:color w:val="auto"/>
              </w:rPr>
            </w:pP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2FA"/>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October 1,</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29,</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1"/>
                <w:szCs w:val="11"/>
                <w:color w:val="auto"/>
              </w:rPr>
            </w:pPr>
          </w:p>
        </w:tc>
      </w:tr>
      <w:tr>
        <w:trPr>
          <w:trHeight w:val="171"/>
        </w:trPr>
        <w:tc>
          <w:tcPr>
            <w:tcW w:w="56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INCOME, NET OF TAX OF $0.0, $0.2, $0.1 AND</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$0.3, 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20"/>
                <w:szCs w:val="20"/>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78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91"/>
              <w:spacing w:after="0" w:line="13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terminated derivatives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Redemption premium paid and write-off of debt issuance costs related to</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redemption of Senior Notes due 2021</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880" w:type="dxa"/>
            <w:vAlign w:val="bottom"/>
            <w:vMerge w:val="restart"/>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borrowings under the revolving credit facility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Repayments of borrowings under the revolving credit facility</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Senior Notes due 2026</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Redemption of Senior Notes due 2021</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Founding member integration payments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Beginning of period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September 29,</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w w:val="92"/>
              </w:rPr>
              <w:t>October 1,</w:t>
            </w:r>
          </w:p>
        </w:tc>
        <w:tc>
          <w:tcPr>
            <w:tcW w:w="120" w:type="dxa"/>
            <w:vAlign w:val="bottom"/>
          </w:tcPr>
          <w:p>
            <w:pPr>
              <w:spacing w:after="0"/>
              <w:rPr>
                <w:sz w:val="11"/>
                <w:szCs w:val="11"/>
                <w:color w:val="auto"/>
              </w:rPr>
            </w:pPr>
          </w:p>
        </w:tc>
      </w:tr>
      <w:tr>
        <w:trPr>
          <w:trHeight w:val="171"/>
        </w:trPr>
        <w:tc>
          <w:tcPr>
            <w:tcW w:w="646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Write-off of property and equipment included in accrued expenses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(approximately 20 years remaining as of September 29, 2016) and certain third-party theatre circuits (known as “network affiliates”) under long-term network affiliate agreements, which have terms from three to twenty years.</w:t>
      </w:r>
    </w:p>
    <w:p>
      <w:pPr>
        <w:spacing w:after="0" w:line="192"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As of September 29, 2016, NCM LLC had 137,174,139 common membership units outstanding, of which 59,853,806 (43.6%) were owned by NCM, Inc., 27,072,701 (19.8%) were owned by Regal, 26,384,644 (19.2%) were owned by Cinemark and 23,862,988 (17.4%) were owned by AMC. The membership units held by the founding members are exchangeable into NCM, Inc. common stock on a one-for-one basis.</w:t>
      </w:r>
    </w:p>
    <w:p>
      <w:pPr>
        <w:spacing w:after="0" w:line="166"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During the nine months ended October 1, 2015, the Company also either paid directly or reimbursed NCM, Inc. for the legal and other merger-related costs of approximately $15.0 million ($7.5 million incurred by NCM, Inc. during the year ended January 1, 2015 and approximately $7.5 million incurred by NCM LLC during the nine months ended October 1, 2015). NCM, Inc. and the founding members each bore a pro rata portion of the merger termination fee and the related merger expenses based on their aggregate ownership percentages in NCM LLC when the expenses were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31,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31, 2015.</w:t>
      </w:r>
    </w:p>
    <w:p>
      <w:pPr>
        <w:spacing w:after="0" w:line="178"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7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2015 contain a complete discussion of the Company’s significant accounting policies. Following is additional information related to the Company’s accounting policies.</w:t>
      </w:r>
    </w:p>
    <w:p>
      <w:pPr>
        <w:spacing w:after="0" w:line="124" w:lineRule="exact"/>
        <w:rPr>
          <w:sz w:val="20"/>
          <w:szCs w:val="20"/>
          <w:color w:val="auto"/>
        </w:rPr>
      </w:pPr>
    </w:p>
    <w:p>
      <w:pPr>
        <w:ind w:right="140" w:firstLine="555"/>
        <w:spacing w:after="0" w:line="253"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September 29, 2016 and December 31, 2015, there were no advertising agency groups or individual customers through which the Company sources national advertising revenue representing more than 10% of the Company’s outstanding gross receivable balance. During the three and nine months ended September 29, 2016 and October 1, 2015, there were no customers that accounted for more than 10% of revenue.</w:t>
      </w:r>
    </w:p>
    <w:p>
      <w:pPr>
        <w:spacing w:after="0" w:line="19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2015 and 2016,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September 29, 2016 and October 1, 2015 and nine months ended September 29, 2016 and October 1, 2015, NCM, Inc. acquired 17,407, 6,829, 614,652 and 267,941 units, respectively, due to the vesting of restricted stock and restricted stock units and exercise of stock options and contributed $0.1 million, $0.1 million, $0.4 million and $1.2 million to NCM LLC for the three months ended September 29, 2016 and October 1, 2015 and the nine months ended September 29, 2016 and October 1,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2015-01, </w:t>
      </w:r>
      <w:r>
        <w:rPr>
          <w:rFonts w:ascii="Arial" w:cs="Arial" w:eastAsia="Arial" w:hAnsi="Arial"/>
          <w:sz w:val="17"/>
          <w:szCs w:val="17"/>
          <w:i w:val="1"/>
          <w:iCs w:val="1"/>
          <w:color w:val="auto"/>
        </w:rPr>
        <w:t>Income Statement Extraordinary and Unusual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225-20): Simplifying Income Statement Presentation by Eliminating the Concept of Extraordinary Items </w:t>
      </w:r>
      <w:r>
        <w:rPr>
          <w:rFonts w:ascii="Arial" w:cs="Arial" w:eastAsia="Arial" w:hAnsi="Arial"/>
          <w:sz w:val="17"/>
          <w:szCs w:val="17"/>
          <w:color w:val="auto"/>
        </w:rPr>
        <w:t>(“ASU 2015-01”) on a prospective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eliminates the concept of 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The adoption of ASU 2015-01 did not have a material impact on the unaudited Condensed Financial Statements or notes thereto.</w:t>
      </w:r>
    </w:p>
    <w:p>
      <w:pPr>
        <w:spacing w:after="0" w:line="178" w:lineRule="exact"/>
        <w:rPr>
          <w:sz w:val="20"/>
          <w:szCs w:val="20"/>
          <w:color w:val="auto"/>
        </w:rPr>
      </w:pPr>
    </w:p>
    <w:p>
      <w:pPr>
        <w:ind w:right="280" w:firstLine="555"/>
        <w:spacing w:after="0" w:line="297"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2015-02, </w:t>
      </w:r>
      <w:r>
        <w:rPr>
          <w:rFonts w:ascii="Arial" w:cs="Arial" w:eastAsia="Arial" w:hAnsi="Arial"/>
          <w:sz w:val="16"/>
          <w:szCs w:val="16"/>
          <w:i w:val="1"/>
          <w:iCs w:val="1"/>
          <w:color w:val="auto"/>
        </w:rPr>
        <w:t>Consolidation (Topic 810):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Consolidation Analysis </w:t>
      </w:r>
      <w:r>
        <w:rPr>
          <w:rFonts w:ascii="Arial" w:cs="Arial" w:eastAsia="Arial" w:hAnsi="Arial"/>
          <w:sz w:val="16"/>
          <w:szCs w:val="16"/>
          <w:color w:val="auto"/>
        </w:rPr>
        <w:t>(“ASU 2015-02”) on a prospective basis. ASU 2015-02 amends current consolidation guidance by modifying the evaluation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The adoption of ASU 2015-02 did not have a material impact on the unaudited Condensed Financial Statements or notes thereto.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firstLine="555"/>
        <w:spacing w:after="0" w:line="287"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2015-03, </w:t>
      </w:r>
      <w:r>
        <w:rPr>
          <w:rFonts w:ascii="Arial" w:cs="Arial" w:eastAsia="Arial" w:hAnsi="Arial"/>
          <w:sz w:val="16"/>
          <w:szCs w:val="16"/>
          <w:i w:val="1"/>
          <w:iCs w:val="1"/>
          <w:color w:val="auto"/>
        </w:rPr>
        <w:t>Interest - 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Presentation of Debt Issuance Costs </w:t>
      </w:r>
      <w:r>
        <w:rPr>
          <w:rFonts w:ascii="Arial" w:cs="Arial" w:eastAsia="Arial" w:hAnsi="Arial"/>
          <w:sz w:val="16"/>
          <w:szCs w:val="16"/>
          <w:color w:val="auto"/>
        </w:rPr>
        <w:t>(“ASU 2015-03”) on a retrospective basis, which provides guidance for simplifying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issuance costs. ASU 2015-03 requires that debt issuance costs be presented in the balance sheet as a direct deduction from the carrying amount of debt liability, consistent with debt discounts or premiums. The Company also adopted Accounting Standards Update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(“ASU 2015-15”) on a retrospective basis, which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reclassified net deferred financing costs related to the Company’s Term Loans, Senior Secured Notes and Senior Unsecured Notes in the Condensed Balance Sheets as a direct deduction from the carrying amount of those borrowings, while net deferred financing costs related to the Company’s Revolving Credit Facility remained an asset in the unaudited Condensed Balance Sheets. Upon adoption of ASU 2015-03 and ASU 2015-15, net deferred financing costs of $10.6 million in the December 31, 2015 unaudited Condensed Balance Sheet were reclassified from an asset to a reduction of the carrying value of long-term debt.</w:t>
      </w:r>
    </w:p>
    <w:p>
      <w:pPr>
        <w:spacing w:after="0" w:line="173" w:lineRule="exact"/>
        <w:rPr>
          <w:sz w:val="20"/>
          <w:szCs w:val="20"/>
          <w:color w:val="auto"/>
        </w:rPr>
      </w:pPr>
    </w:p>
    <w:p>
      <w:pPr>
        <w:ind w:right="22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2015-05, </w:t>
      </w:r>
      <w:r>
        <w:rPr>
          <w:rFonts w:ascii="Arial" w:cs="Arial" w:eastAsia="Arial" w:hAnsi="Arial"/>
          <w:sz w:val="17"/>
          <w:szCs w:val="17"/>
          <w:i w:val="1"/>
          <w:iCs w:val="1"/>
          <w:color w:val="auto"/>
        </w:rPr>
        <w:t>Intangibles-Goodwill and Other –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Fees Paid in a Cloud Computing Arrangement </w:t>
      </w:r>
      <w:r>
        <w:rPr>
          <w:rFonts w:ascii="Arial" w:cs="Arial" w:eastAsia="Arial" w:hAnsi="Arial"/>
          <w:sz w:val="17"/>
          <w:szCs w:val="17"/>
          <w:color w:val="auto"/>
        </w:rPr>
        <w:t>(“ASU 2015-05”) on a prospective basis,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accounting for fees paid by a 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adoption of ASU 2015-05 did not have a material impact on the unaudited Condensed Financial Statements or notes thereto.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xml:space="preserve">,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Accounting Standards Update 2016-11, </w:t>
      </w:r>
      <w:r>
        <w:rPr>
          <w:rFonts w:ascii="Arial" w:cs="Arial" w:eastAsia="Arial" w:hAnsi="Arial"/>
          <w:sz w:val="17"/>
          <w:szCs w:val="17"/>
          <w:i w:val="1"/>
          <w:iCs w:val="1"/>
          <w:color w:val="auto"/>
        </w:rPr>
        <w:t xml:space="preserve">Revenue Recognition (Topic 605) and Derivatives and Hedging (Topic 815): Rescission of SEC Guidance Because of Accounting Standards Update 2014-09 and 2014-16 Pursuant to Staff Announcements at the March 3, 2016 EITF Meeting, </w:t>
      </w:r>
      <w:r>
        <w:rPr>
          <w:rFonts w:ascii="Arial" w:cs="Arial" w:eastAsia="Arial" w:hAnsi="Arial"/>
          <w:sz w:val="17"/>
          <w:szCs w:val="17"/>
          <w:color w:val="auto"/>
        </w:rPr>
        <w:t>which was issued in May 2016, rescinds several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Announcements that are codified in Topic 605, including, among other items, guidance relating to accounting for shipping and handling fees and freight services. Accounting Standards Update 2016-12, </w:t>
      </w:r>
      <w:r>
        <w:rPr>
          <w:rFonts w:ascii="Arial" w:cs="Arial" w:eastAsia="Arial" w:hAnsi="Arial"/>
          <w:sz w:val="17"/>
          <w:szCs w:val="17"/>
          <w:i w:val="1"/>
          <w:iCs w:val="1"/>
          <w:color w:val="auto"/>
        </w:rPr>
        <w:t>Revenue from Contract with Customers (Topic 606): Narrow-Scope Improvements and Practical Expedients,</w:t>
      </w:r>
      <w:r>
        <w:rPr>
          <w:rFonts w:ascii="Arial" w:cs="Arial" w:eastAsia="Arial" w:hAnsi="Arial"/>
          <w:sz w:val="17"/>
          <w:szCs w:val="17"/>
          <w:color w:val="auto"/>
        </w:rPr>
        <w:t xml:space="preserve"> which was issued in May 2016, provides guidance to reduce the risk of diversity in practice for certain aspects of ASU 2014-09, including collectability, noncash consideration, presentation of sales tax and transition. ASU 2014-09 allows for either a full retrospective or a modified retrospective transition method. The Company is currently evaluating the effect that adopting this guidance will have on the unaudited Condensed Financial Statements or notes thereto, as well as, which transition method it intends to use.</w:t>
      </w:r>
    </w:p>
    <w:p>
      <w:pPr>
        <w:spacing w:after="0" w:line="18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 xml:space="preserve">In January 2016, the FASB issued Accounting Standards Update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(“ASU 2016-01”), which revises the guidance in ASC 825-10,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and provides guidance for the recognition, measurement, presentation, and disclosure of financial assets and liabilities. The guidance is effective for reporting periods (interim and annual) beginning after December 15, 2017, for public companies and should be adopted on a prospective basis. The Company is currently assessing the impact of ASU 2016-01 on the unaudited Condensed Financial Statements or notes thereto.</w:t>
      </w:r>
    </w:p>
    <w:p>
      <w:pPr>
        <w:spacing w:after="0" w:line="173"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 xml:space="preserve">In February 2016, the FASB issued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(“ASU 2016-02”). ASU 2016-02 establishes a right-of-use (“ROU”) model that requires a lessee to record a ROU asset and a lease liability 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ASU 2016-02 on the unaudited Condensed Financial Statements or notes thereto.</w:t>
      </w:r>
    </w:p>
    <w:p>
      <w:pPr>
        <w:spacing w:after="0" w:line="158"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2016-09, </w:t>
      </w:r>
      <w:r>
        <w:rPr>
          <w:rFonts w:ascii="Arial" w:cs="Arial" w:eastAsia="Arial" w:hAnsi="Arial"/>
          <w:sz w:val="18"/>
          <w:szCs w:val="18"/>
          <w:i w:val="1"/>
          <w:iCs w:val="1"/>
          <w:color w:val="auto"/>
        </w:rPr>
        <w:t>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The updated guidance changes how companies account for certain aspects of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including forfeitures. ASU 2016-09 is effective for fiscal years beginning after December 15, 2017, including interim periods within those fiscal years with early adoption permitted. The Company is currently evaluating the effect that adopting this guidance will have on the unaudited Condensed Financial Statements or notes thereto.</w:t>
      </w:r>
    </w:p>
    <w:p>
      <w:pPr>
        <w:spacing w:after="0" w:line="188"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In March 2016, the FASB issued Accounting Standards Update 2016-07, </w:t>
      </w:r>
      <w:r>
        <w:rPr>
          <w:rFonts w:ascii="Arial" w:cs="Arial" w:eastAsia="Arial" w:hAnsi="Arial"/>
          <w:sz w:val="16"/>
          <w:szCs w:val="16"/>
          <w:i w:val="1"/>
          <w:iCs w:val="1"/>
          <w:color w:val="auto"/>
        </w:rPr>
        <w:t>Investments- Equity Method and Joint Ventures: Simplifying the Transition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Equity Method of Accounting </w:t>
      </w:r>
      <w:r>
        <w:rPr>
          <w:rFonts w:ascii="Arial" w:cs="Arial" w:eastAsia="Arial" w:hAnsi="Arial"/>
          <w:sz w:val="16"/>
          <w:szCs w:val="16"/>
          <w:color w:val="auto"/>
        </w:rPr>
        <w:t>(“ASU 2016-07”). ASU 2016-07 eliminates the requirement to apply the equity method of accounting retrospectively when</w:t>
      </w:r>
      <w:r>
        <w:rPr>
          <w:rFonts w:ascii="Arial" w:cs="Arial" w:eastAsia="Arial" w:hAnsi="Arial"/>
          <w:sz w:val="16"/>
          <w:szCs w:val="16"/>
          <w:i w:val="1"/>
          <w:iCs w:val="1"/>
          <w:color w:val="auto"/>
        </w:rPr>
        <w:t xml:space="preserve"> </w:t>
      </w:r>
      <w:r>
        <w:rPr>
          <w:rFonts w:ascii="Arial" w:cs="Arial" w:eastAsia="Arial" w:hAnsi="Arial"/>
          <w:sz w:val="16"/>
          <w:szCs w:val="16"/>
          <w:color w:val="auto"/>
        </w:rPr>
        <w:t>a reporting entity obtains significant influence over a previously held investment. ASU 2016-07 is effective for fiscal years beginning after December 15, 2016, including interim periods within those fiscal years with early adoption permitted and is to be adopted on a prospective basis. The adoption of ASU 2016-07 is not expected to have a material effect on the unaudited Condensed Financial Statements or notes thereto.</w:t>
      </w:r>
    </w:p>
    <w:p>
      <w:pPr>
        <w:spacing w:after="0" w:line="158"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effect that adopting this guidance will have on the unaudited Condensed Financial Statements or notes thereto.</w:t>
      </w:r>
    </w:p>
    <w:p>
      <w:pPr>
        <w:spacing w:after="0" w:line="18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August 2016, the FASB issued Accounting Standards Update 2016-15, Statement of Cash Flows (Topic 230): Classification of Certain Cash Receipts and Cash Payments (“ASU 2016-15”), which provides guidance on how certain cash receipts and cash payments are to be presented and classified in the statement of cash flows. ASU 2016-15 is effective for fiscal years beginning after December 15, 2017, including interim periods within those fiscal years, with early adoption permitted. The Company is currently evaluating the effect that adopting this guidance will have on the unaudited Condensed Financial Statements or notes thereto.</w:t>
      </w:r>
    </w:p>
    <w:p>
      <w:pPr>
        <w:spacing w:after="0" w:line="188"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229"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2016 and 2015, the Company issued 1,416,515 and 2,160,915 common membership units to our founding members, respectively, for the rights to exclusive access to the theatre screens and attendees added, net of dispositions by the founding members to NCM LLC’s network during the previous year. The Company recorded a net intangible asset of $21.1 million and $31.4 million during the three months ended March 31, 2016 and April 2, 2015, respectively, as a result of the Common Unit Adjustments.</w:t>
      </w:r>
    </w:p>
    <w:p>
      <w:pPr>
        <w:spacing w:after="0" w:line="178"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September 29, 2016 and October 1, 2015 and the nine months ended September 29, 2016 and October 1, 2015, the Company recorded a reduction to net intangible assets of $0.7 million, $0.7 million, $1.5 million and $1.8 million, respectively, related to integration payments due from AMC and Cinemark related to their acquisitions of theatres from Rave Cinemas that are encumbered by an existing on-screen advertising agreement with an alternative provider. During the three months ended September 29, 2016 and October 1, 2015 and the nine months ended September 29, 2016 and October 1, 2015, AMC and Cinemark paid a total of $0.7 million, $0.8 million, $1.7 million and $1.9 million, respectively, in integration payments.</w:t>
      </w:r>
    </w:p>
    <w:p>
      <w:pPr>
        <w:spacing w:after="0" w:line="179"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143" w:lineRule="exact"/>
        <w:rPr>
          <w:sz w:val="20"/>
          <w:szCs w:val="20"/>
          <w:color w:val="auto"/>
        </w:rPr>
      </w:pPr>
    </w:p>
    <w:p>
      <w:pPr>
        <w:ind w:left="1120" w:right="20" w:hanging="558"/>
        <w:spacing w:after="0" w:line="272" w:lineRule="auto"/>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172" w:lineRule="exact"/>
        <w:rPr>
          <w:rFonts w:ascii="Arial" w:cs="Arial" w:eastAsia="Arial" w:hAnsi="Arial"/>
          <w:sz w:val="17"/>
          <w:szCs w:val="17"/>
          <w:color w:val="auto"/>
        </w:rPr>
      </w:pPr>
    </w:p>
    <w:p>
      <w:pPr>
        <w:ind w:left="1120" w:right="20" w:hanging="558"/>
        <w:spacing w:after="0" w:line="26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theatres or sale or closure of theatres that are operated by each founding member and included in the Company’s network.</w:t>
      </w:r>
    </w:p>
    <w:p>
      <w:pPr>
        <w:spacing w:after="0" w:line="176" w:lineRule="exact"/>
        <w:rPr>
          <w:rFonts w:ascii="Arial" w:cs="Arial" w:eastAsia="Arial" w:hAnsi="Arial"/>
          <w:sz w:val="18"/>
          <w:szCs w:val="18"/>
          <w:color w:val="auto"/>
        </w:rPr>
      </w:pPr>
    </w:p>
    <w:p>
      <w:pPr>
        <w:ind w:left="1120" w:right="120" w:hanging="558"/>
        <w:spacing w:after="0" w:line="30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46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4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FF0FC"/>
            </w:tcBorders>
            <w:gridSpan w:val="5"/>
            <w:vMerge w:val="continue"/>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FF0FC"/>
          </w:tcPr>
          <w:p>
            <w:pPr>
              <w:spacing w:after="0"/>
              <w:rPr>
                <w:sz w:val="15"/>
                <w:szCs w:val="15"/>
                <w:color w:val="auto"/>
              </w:rPr>
            </w:pPr>
          </w:p>
        </w:tc>
        <w:tc>
          <w:tcPr>
            <w:tcW w:w="416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160" w:type="dxa"/>
            <w:vAlign w:val="bottom"/>
            <w:gridSpan w:val="4"/>
          </w:tcPr>
          <w:p>
            <w:pPr>
              <w:ind w:left="140"/>
              <w:spacing w:after="0"/>
              <w:rPr>
                <w:sz w:val="20"/>
                <w:szCs w:val="20"/>
                <w:color w:val="auto"/>
              </w:rPr>
            </w:pPr>
            <w:r>
              <w:rPr>
                <w:rFonts w:ascii="Arial" w:cs="Arial" w:eastAsia="Arial" w:hAnsi="Arial"/>
                <w:sz w:val="18"/>
                <w:szCs w:val="18"/>
                <w:color w:val="auto"/>
              </w:rPr>
              <w:t>Beverage concessionaire revenue (included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60" w:type="dxa"/>
            <w:vAlign w:val="bottom"/>
            <w:gridSpan w:val="4"/>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Advertising inventory revenue (included in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41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160" w:type="dxa"/>
            <w:vAlign w:val="bottom"/>
            <w:gridSpan w:val="4"/>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60" w:type="dxa"/>
            <w:vAlign w:val="bottom"/>
            <w:gridSpan w:val="4"/>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60" w:type="dxa"/>
            <w:vAlign w:val="bottom"/>
            <w:gridSpan w:val="4"/>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 other administrative costs)</w:t>
            </w: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60" w:type="dxa"/>
            <w:vAlign w:val="bottom"/>
            <w:gridSpan w:val="4"/>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160" w:type="dxa"/>
            <w:vAlign w:val="bottom"/>
            <w:gridSpan w:val="4"/>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60" w:type="dxa"/>
            <w:vAlign w:val="bottom"/>
            <w:gridSpan w:val="4"/>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20" w:hanging="558"/>
        <w:spacing w:after="0" w:line="253"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For the nine months ended September 29, 2016 and the three months ended October 1, 2015,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 For the first six months of 2015, all of the founding members purchased 60 seconds of on-screen advertising time.</w:t>
      </w:r>
    </w:p>
    <w:p>
      <w:pPr>
        <w:spacing w:after="0" w:line="3" w:lineRule="exact"/>
        <w:rPr>
          <w:rFonts w:ascii="Arial" w:cs="Arial" w:eastAsia="Arial" w:hAnsi="Arial"/>
          <w:sz w:val="18"/>
          <w:szCs w:val="18"/>
          <w:i w:val="1"/>
          <w:iCs w:val="1"/>
          <w:color w:val="auto"/>
        </w:rPr>
      </w:pP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60" w:right="280" w:hanging="558"/>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hanging="558"/>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Chief Executive Officer, President, Chief Financial Officer,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560" w:right="60" w:hanging="558"/>
        <w:spacing w:after="0" w:line="253"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-2621915</wp:posOffset>
            </wp:positionV>
            <wp:extent cx="17151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0"/>
          </w:cols>
          <w:pgMar w:left="80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1800" w:type="dxa"/>
            <w:vAlign w:val="bottom"/>
            <w:gridSpan w:val="3"/>
          </w:tcPr>
          <w:p>
            <w:pPr>
              <w:ind w:left="240"/>
              <w:spacing w:after="0" w:line="133" w:lineRule="exact"/>
              <w:rPr>
                <w:sz w:val="20"/>
                <w:szCs w:val="20"/>
                <w:color w:val="auto"/>
              </w:rPr>
            </w:pPr>
            <w:r>
              <w:rPr>
                <w:rFonts w:ascii="Arial" w:cs="Arial" w:eastAsia="Arial" w:hAnsi="Arial"/>
                <w:sz w:val="14"/>
                <w:szCs w:val="14"/>
                <w:b w:val="1"/>
                <w:bCs w:val="1"/>
                <w:color w:val="auto"/>
              </w:rPr>
              <w:t>September 29,</w:t>
            </w:r>
          </w:p>
        </w:tc>
        <w:tc>
          <w:tcPr>
            <w:tcW w:w="12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14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FF2FA"/>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160" w:type="dxa"/>
            <w:vAlign w:val="bottom"/>
            <w:tcBorders>
              <w:top w:val="single" w:sz="8" w:color="CFF2FA"/>
            </w:tcBorders>
            <w:shd w:val="clear" w:color="auto" w:fill="CFF2FA"/>
          </w:tcPr>
          <w:p>
            <w:pPr>
              <w:spacing w:after="0"/>
              <w:rPr>
                <w:sz w:val="18"/>
                <w:szCs w:val="18"/>
                <w:color w:val="auto"/>
              </w:rPr>
            </w:pPr>
          </w:p>
        </w:tc>
        <w:tc>
          <w:tcPr>
            <w:tcW w:w="140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280" w:type="dxa"/>
            <w:vAlign w:val="bottom"/>
            <w:tcBorders>
              <w:top w:val="single" w:sz="8" w:color="auto"/>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380"/>
              <w:spacing w:after="0"/>
              <w:rPr>
                <w:sz w:val="20"/>
                <w:szCs w:val="20"/>
                <w:color w:val="auto"/>
              </w:rPr>
            </w:pPr>
            <w:r>
              <w:rPr>
                <w:rFonts w:ascii="Arial" w:cs="Arial" w:eastAsia="Arial" w:hAnsi="Arial"/>
                <w:sz w:val="18"/>
                <w:szCs w:val="18"/>
                <w:color w:val="auto"/>
              </w:rPr>
              <w:t>(included in prepaid expenses)</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38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Common unit adjustments and integration payments, net of</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537.1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140" w:hanging="558"/>
        <w:spacing w:after="0" w:line="250" w:lineRule="auto"/>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-825500</wp:posOffset>
            </wp:positionV>
            <wp:extent cx="1363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9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On March 16, 2015, NCM, Inc. announced the termination of the Merger Agreement with Screenvision.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During the nine months ended October 1, 2015, the Company also either paid directly or reimbursed NCM, Inc. for the legal and other merger-related costs of approximately $15.0 million ($7.5 million incurred by NCM, Inc. during the year ended January 1, 2015 and approximately $7.5 million incurred by NCM LLC during the nine months ended October 1, 2015). NCM, Inc. and the founding members each bore a pro rata portion of the termination fee and the related merger expenses based on their aggregate ownership percentages in NCM LLC when the expenses were incurred.</w:t>
      </w:r>
    </w:p>
    <w:p>
      <w:pPr>
        <w:spacing w:after="0" w:line="178"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nine months ended September 29, 2016 and October 1, 2015 were as follows (in millions):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3"/>
          </w:tcPr>
          <w:p>
            <w:pPr>
              <w:jc w:val="right"/>
              <w:ind w:right="446"/>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ind w:lef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2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tcBorders>
              <w:top w:val="single" w:sz="8" w:color="auto"/>
            </w:tcBorders>
            <w:gridSpan w:val="2"/>
          </w:tcPr>
          <w:p>
            <w:pPr>
              <w:jc w:val="right"/>
              <w:ind w:right="193"/>
              <w:spacing w:after="0" w:line="13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October 1,</w:t>
            </w:r>
          </w:p>
        </w:tc>
        <w:tc>
          <w:tcPr>
            <w:tcW w:w="3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September 29,</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4"/>
              <w:spacing w:after="0" w:line="13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1"/>
                <w:szCs w:val="11"/>
                <w:color w:val="auto"/>
              </w:rPr>
            </w:pPr>
          </w:p>
        </w:tc>
      </w:tr>
      <w:tr>
        <w:trPr>
          <w:trHeight w:val="171"/>
        </w:trPr>
        <w:tc>
          <w:tcPr>
            <w:tcW w:w="29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300" w:type="dxa"/>
            <w:vAlign w:val="bottom"/>
            <w:gridSpan w:val="2"/>
          </w:tcPr>
          <w:p>
            <w:pPr>
              <w:jc w:val="right"/>
              <w:ind w:right="14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9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Cinemark</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9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23"/>
        </w:trPr>
        <w:tc>
          <w:tcPr>
            <w:tcW w:w="29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9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20.4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9"/>
                <w:szCs w:val="19"/>
                <w:color w:val="auto"/>
              </w:rPr>
            </w:pPr>
          </w:p>
        </w:tc>
      </w:tr>
      <w:tr>
        <w:trPr>
          <w:trHeight w:val="223"/>
        </w:trPr>
        <w:tc>
          <w:tcPr>
            <w:tcW w:w="2900" w:type="dxa"/>
            <w:vAlign w:val="bottom"/>
          </w:tcPr>
          <w:p>
            <w:pPr>
              <w:ind w:left="50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45.1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was netted against the available cash distributions for the second quarter of 2016. The mandatory distributions of available cash by the Company to its founding members for the three months ended September 29, 2016 of $25.3 million is included in amounts due to founding members on the unaudited Condensed Balance Sheets as of September 29, 2016 and will be made in the fourth quarter of 2016. The mandatory distributions of available cash by NCM LLC to its managing member for the three months ended September 29, 2016 of $19.6 million is included in amounts due from managing member on the unaudited Condensed Balance Sheets as of September 29, 2016 and will be made in the fourth quarter of 2016.</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September 29,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31, 2015 were comprised of the following (in millions):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Cinemark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Regal</w:t>
            </w: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amounts due to founding members</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r>
      <w:tr>
        <w:trPr>
          <w:trHeight w:val="20"/>
        </w:trPr>
        <w:tc>
          <w:tcPr>
            <w:tcW w:w="116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600" w:type="dxa"/>
            <w:vAlign w:val="bottom"/>
            <w:gridSpan w:val="7"/>
          </w:tcPr>
          <w:p>
            <w:pPr>
              <w:spacing w:after="0"/>
              <w:rPr>
                <w:sz w:val="20"/>
                <w:szCs w:val="20"/>
                <w:color w:val="auto"/>
              </w:rPr>
            </w:pPr>
            <w:r>
              <w:rPr>
                <w:rFonts w:ascii="Arial" w:cs="Arial" w:eastAsia="Arial" w:hAnsi="Arial"/>
                <w:sz w:val="18"/>
                <w:szCs w:val="18"/>
                <w:color w:val="auto"/>
                <w:w w:val="96"/>
              </w:rPr>
              <w:t>Amounts due to/from managing member were comprised of the following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As of</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$1.2 million and $1.2 million as of September 29, 2016 and December 31, 2015, respectively.</w:t>
      </w:r>
    </w:p>
    <w:p>
      <w:pPr>
        <w:spacing w:after="0" w:line="179"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September 29, 2016 and October 1, 2015 and the nine months ended September 29, 2016 and October 1, 2015, there was approximately $0.1 million, $0.1 million, $0.2 million and $0.2 million, respectively, included in advertising operating costs related to LA Live, and there was approximately $0.1 million and $0.1 million of accounts payable with this company as of September 29, 2016 and December 31, 2015, respectively.</w:t>
      </w:r>
    </w:p>
    <w:p>
      <w:pPr>
        <w:spacing w:after="0" w:line="18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had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There was approximately $0.0 million and $0.3 million of accounts receivable due from this company as of September 29, 2016 and December 31, 2015, respectively.</w:t>
      </w:r>
    </w:p>
    <w:p>
      <w:pPr>
        <w:spacing w:after="0" w:line="18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NCM LLC’s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During the three months ended September 29, 2016 and October 1, 2015 and the nine months ended September 29, 2016 and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2015, NCM LLC recorded approximately $0.5 million, $0.3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million, $1.3 million and $1.2 million, respectively, in revenue from AEG Live. As of September 29, 2016 and December 31, 2015, had approximately $0.5 million and $0.4 million, respectively, of accounts receivable from AEG Live.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September 29, 2016 and December 31, 2015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ind w:left="320"/>
              <w:spacing w:after="0"/>
              <w:rPr>
                <w:sz w:val="20"/>
                <w:szCs w:val="20"/>
                <w:color w:val="auto"/>
              </w:rPr>
            </w:pPr>
            <w:r>
              <w:rPr>
                <w:rFonts w:ascii="Arial" w:cs="Arial" w:eastAsia="Arial" w:hAnsi="Arial"/>
                <w:sz w:val="18"/>
                <w:szCs w:val="18"/>
                <w:i w:val="1"/>
                <w:iCs w:val="1"/>
                <w:color w:val="auto"/>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ind w:left="320"/>
              <w:spacing w:after="0"/>
              <w:rPr>
                <w:sz w:val="20"/>
                <w:szCs w:val="20"/>
                <w:color w:val="auto"/>
              </w:rPr>
            </w:pPr>
            <w:r>
              <w:rPr>
                <w:rFonts w:ascii="Arial" w:cs="Arial" w:eastAsia="Arial" w:hAnsi="Arial"/>
                <w:sz w:val="18"/>
                <w:szCs w:val="18"/>
                <w:i w:val="1"/>
                <w:iCs w:val="1"/>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unsecured notes due 2021</w:t>
            </w: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860" w:type="dxa"/>
            <w:vAlign w:val="bottom"/>
            <w:shd w:val="clear" w:color="auto" w:fill="CFF2FA"/>
          </w:tcPr>
          <w:p>
            <w:pPr>
              <w:ind w:left="180"/>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Senior secured notes due 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tcPr>
          <w:p>
            <w:pPr>
              <w:ind w:left="18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unsecured notes due 2026</w:t>
            </w: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40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2FA"/>
          </w:tcPr>
          <w:p>
            <w:pPr>
              <w:jc w:val="center"/>
              <w:ind w:right="180"/>
              <w:spacing w:after="0"/>
              <w:rPr>
                <w:sz w:val="20"/>
                <w:szCs w:val="20"/>
                <w:color w:val="auto"/>
              </w:rPr>
            </w:pPr>
            <w:r>
              <w:rPr>
                <w:rFonts w:ascii="Arial" w:cs="Arial" w:eastAsia="Arial" w:hAnsi="Arial"/>
                <w:sz w:val="18"/>
                <w:szCs w:val="18"/>
                <w:color w:val="auto"/>
                <w:w w:val="91"/>
              </w:rPr>
              <w:t>August 15, 2026</w:t>
            </w:r>
          </w:p>
        </w:tc>
        <w:tc>
          <w:tcPr>
            <w:tcW w:w="860" w:type="dxa"/>
            <w:vAlign w:val="bottom"/>
            <w:shd w:val="clear" w:color="auto" w:fill="CFF2FA"/>
          </w:tcPr>
          <w:p>
            <w:pPr>
              <w:ind w:left="180"/>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FF2FA"/>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6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16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7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3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40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(10.6)</w:t>
            </w:r>
          </w:p>
        </w:tc>
        <w:tc>
          <w:tcPr>
            <w:tcW w:w="17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86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925.4</w:t>
            </w: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5" w:lineRule="exact"/>
        <w:rPr>
          <w:sz w:val="20"/>
          <w:szCs w:val="20"/>
          <w:color w:val="auto"/>
        </w:rPr>
      </w:pPr>
    </w:p>
    <w:p>
      <w:pPr>
        <w:jc w:val="both"/>
        <w:ind w:right="38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September 29, 2016, the Company’s senior secured credit facility consisted of a $175.0 million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and a $270.0 million term loan. On May 26, 2016, the Company entered into an incremental amendment of its senior secured credit facility whereby the revolving credit facility was increased by $40.0 million from $135.0 million to $175.0 million.</w:t>
      </w:r>
    </w:p>
    <w:p>
      <w:pPr>
        <w:spacing w:after="0" w:line="18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As of September 29, 2016, the Company’s total availability under the $175.0 million revolving credit facility was $172.0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September 29, 2016 was 3.79%.</w:t>
      </w:r>
    </w:p>
    <w:p>
      <w:pPr>
        <w:spacing w:after="0" w:line="165"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September 29, 2016 was 3.28%. Interest on the term loans is currently paid monthly.</w:t>
      </w:r>
    </w:p>
    <w:p>
      <w:pPr>
        <w:spacing w:after="0" w:line="18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September 29, 2016,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September 29, 2016, the Company’s consolidated net senior secured leverage ratio was 3.1 times (versus the covenant of 6.5 times).</w:t>
      </w:r>
    </w:p>
    <w:p>
      <w:pPr>
        <w:spacing w:after="0" w:line="18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Senior Unsecured Notes due 2021</w:t>
      </w:r>
      <w:r>
        <w:rPr>
          <w:rFonts w:ascii="Arial" w:cs="Arial" w:eastAsia="Arial" w:hAnsi="Arial"/>
          <w:sz w:val="18"/>
          <w:szCs w:val="18"/>
          <w:color w:val="auto"/>
        </w:rPr>
        <w:t>— On September 19, 2016, the Company redeemed its $200.0 million 7.875% Senior Unsecured Notes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2021”) at a redemption price of 103.938% of the principal amount plus accrued and unpaid interest. As a result of the redemption, the Company wrote-off approximately $2.5 million in unamortized debt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issuance costs and paid a redemption premium of approximately $7.9 million, which are reflected in the loss on early retirement of debt on the Condensed Consolidated Statements of Income during the three and nine months ended September 29, 2016.</w:t>
      </w:r>
    </w:p>
    <w:p>
      <w:pPr>
        <w:spacing w:after="0" w:line="170"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6.000% Senior Secured Notes (the “Notes due 2022”) for which the registered exchange offering was completed on November 26, 2012. The Notes due 2022 pay interest semi-annually in arrears on April 15 and October 15 of each year, which commenced October 15, 2012. The Notes due 2022 are senior secured obligations of the Company, rank the same as the Company’s senior secured credit facility, subject to certain exceptions, and share in the same collateral that secures the Company’s obligations under the senior secured credit facility.</w:t>
      </w:r>
    </w:p>
    <w:p>
      <w:pPr>
        <w:spacing w:after="0" w:line="173"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The Company may redeem all or any portion of the Notes due 2022 prior to April 15, 2017, at once or over time, at 100% of the principal amount plus the applicable make-whole premium, plus accrued and unpaid interest, if any, to the redemption date. The Company may redeem all or any portion of the Notes due 2022, at once or over time, on or after April 15, 2017 at specified redemption prices, plus accrued and unpaid interest, if any, to the redemption date. In addition, at any time prior to April 15, 2015, the Company may on any one or more occasions redeem up to 35% of the original aggregate principal amount of Notes due 2022 from the net proceeds of certain equity offerings at a redemption price equal to 106.00% of the principal amount of the Notes due 2022 redeemed, plus accrued and unpaid interest, if any, to the redemption date. Upon the occurrence of a Change of Control (as defined in the Indenture), the Company will be required to make an offer to each holder of Notes due 2022 to repurchase all of such holder’s Notes due 2022 for a cash payment equal to 101.00% of the aggregate principal amount of the Notes due 2022 repurchased, plus accrued and unpaid interest, if any, to the date of repurchase.</w:t>
      </w:r>
    </w:p>
    <w:p>
      <w:pPr>
        <w:spacing w:after="0" w:line="166"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indenture contains covenants that, among other things, restrict the Company’s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the Company has the ability to distribute all of its quarterly available cash as a restricted payment or as an investment, if it meets a minimum net senior secured leverage ratio. The Company was in compliance with these non-maintenance covenants as of September 29, 2016.</w:t>
      </w:r>
    </w:p>
    <w:p>
      <w:pPr>
        <w:spacing w:after="0" w:line="158"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b w:val="1"/>
          <w:bCs w:val="1"/>
          <w:i w:val="1"/>
          <w:iCs w:val="1"/>
          <w:color w:val="auto"/>
        </w:rPr>
        <w:t>Senior Unsecured Notes due 2026</w:t>
      </w:r>
      <w:r>
        <w:rPr>
          <w:rFonts w:ascii="Arial" w:cs="Arial" w:eastAsia="Arial" w:hAnsi="Arial"/>
          <w:sz w:val="18"/>
          <w:szCs w:val="18"/>
          <w:color w:val="auto"/>
        </w:rPr>
        <w:t>—On August 19, 2016, the Company completed a private placement of $250.0 million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5.750% Senior Unsecured Notes (the “Notes due 2026”). The Notes due 2026 pay interest semi-annually in arrears on February 15 and August 15 of each year, commencing on February 15, 2017. The Notes due 2026 were issued at 100% of the face amount thereof and are the senior unsecured obligations of the Company and will be effectively subordinated to all existing and future secured debt, including the Notes due 2022, its senior secured credit facility and any future asset backed loan facility. The Notes due 2026 will rank equally in right of payment with all of the Company’s existing and future senior indebtedness, including the Notes due 2022, the Company’s existing senior secured credit facility, any future asset backed loan facility, in each case, without giving effect to collateral arrangements. The Notes due 2026 will be effectively subordinated to all liabilities of any subsidiaries that the Company may form or acquire in the future, unless those subsidiaries become guarantors of the Notes due 2026. The Company does not currently have any subsidiaries, and the Notes due 2026 will not be guaranteed by any subsidiaries that the Company may form or acquire in the future except in very limited circumstances.</w:t>
      </w:r>
    </w:p>
    <w:p>
      <w:pPr>
        <w:spacing w:after="0" w:line="195"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Company may redeem all or any portion of the Notes due 2026 prior to August 15, 2021, at once or over time, at 100% of the principal amount plus the applicable make-whole premium, plus accrued and unpaid interest, if any, to the redemption date. The Company may redeem all or any portion of the Notes due 2026, at once or over time, on or after August 15, 2021 at specified redemption prices, plus accrued and unpaid interest, if any, to the redemption date. In addition, at any time prior to August 15, 2019, the Company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the Company will be required to make an offer to each holder of Notes due 2026 to repurchase all of such holder’s Notes due 2026 for a cash payment equal to 101.00% of the aggregate principal amount of the Notes due 2026 repurchased, plus accrued and unpaid interest, if any, to the date of repurchase.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indenture contains covenants that, among other things, restrict the Company’s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the Company has the ability to distribute all of its quarterly available cash as a restricted payment or as an investment, if it meets a minimum net senior secured leverage ratio. The Company was in compliance with these non-maintenance covenants as of September 29, 2016.</w:t>
      </w:r>
    </w:p>
    <w:p>
      <w:pPr>
        <w:spacing w:after="0" w:line="158"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On October 3, 2016, the Company filed a registration statement with the Securities and Exchange Commission (the “Commission”), pursuant to which the Company offered to exchange the Notes due 2026 for substantially identical notes registered under the Securities Act of 1933, as amended, that do not contain terms restricting the transfer thereof or providing for registration rights. The registration statement was declared effective by the Commission on October 11, 2016. After the exchange offer expires on November 8, 2016, all of the original Notes due 2026 will be exchanged.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sells advertising for display in various network affiliate theatre chains, the Company has agreed to certain minimum revenue guarantees on a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attendee basis. If a network affiliate achieves the attendance set forth in their respective agreement, the Company has guaranteed minimum revenue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 affiliate per attendee if such amount paid under the revenue share arrangement is less than its guaranteed amount. The amount and term varies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network affiliate, but terms range from three to twenty years, prior to any renewal periods of which some are at the option of the Company.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29, 2016, the maximum potential amount of future payments the Company could be required to make pursuant to the minimum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guarantees is $40.2 million over the remaining terms of the network affiliate agreements, which calculation does not include any potential future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extensions. As of September 29, 2016 and December 31, 2015, the Company had no liabilities recorded for these obligations, as such guarantees are less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expected share of revenue paid to the network affiliate.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20" w:hanging="553"/>
        <w:spacing w:after="0"/>
        <w:tabs>
          <w:tab w:leader="none" w:pos="20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jc w:val="both"/>
        <w:ind w:left="2020" w:right="120" w:hanging="553"/>
        <w:spacing w:after="0" w:line="255" w:lineRule="auto"/>
        <w:tabs>
          <w:tab w:leader="none" w:pos="20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-563880</wp:posOffset>
            </wp:positionV>
            <wp:extent cx="977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During the nine months ended September 29, 2016, the Company recorded an other-than-temporary impairment charge of $0.7 million on one of its investments which brought the investment to a remaining value of $0.0 million. The fair value of the other investments has not been estimated as of September 29, 2016 and December 31, 2015 as there were no identified events or changes in the circumstances that had a significant adverse effect on the fair value of those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93"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As of September 29, 2016 and December 31, 2015, the Company had notes receivable totaling $16.7 million and $16.7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As of September 29,</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i w:val="1"/>
                <w:iCs w:val="1"/>
                <w:color w:val="auto"/>
                <w:w w:val="95"/>
              </w:rPr>
              <w:t>(1)</w:t>
            </w: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Senior unsecured notes due 2021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due 2022</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2260" w:right="200" w:hanging="550"/>
        <w:spacing w:after="0" w:line="264" w:lineRule="auto"/>
        <w:tabs>
          <w:tab w:leader="none" w:pos="2260" w:val="left"/>
        </w:tabs>
        <w:numPr>
          <w:ilvl w:val="1"/>
          <w:numId w:val="6"/>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66" w:lineRule="exact"/>
        <w:rPr>
          <w:rFonts w:ascii="Arial" w:cs="Arial" w:eastAsia="Arial" w:hAnsi="Arial"/>
          <w:sz w:val="18"/>
          <w:szCs w:val="18"/>
          <w:i w:val="1"/>
          <w:iCs w:val="1"/>
          <w:color w:val="auto"/>
        </w:rPr>
      </w:pPr>
    </w:p>
    <w:p>
      <w:pPr>
        <w:ind w:left="220" w:hanging="185"/>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-796925</wp:posOffset>
            </wp:positionV>
            <wp:extent cx="626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01" w:lineRule="exact"/>
        <w:rPr>
          <w:sz w:val="20"/>
          <w:szCs w:val="20"/>
          <w:color w:val="auto"/>
        </w:rPr>
      </w:pPr>
    </w:p>
    <w:p>
      <w:pPr>
        <w:ind w:right="700" w:firstLine="555"/>
        <w:spacing w:after="0" w:line="286" w:lineRule="auto"/>
        <w:rPr>
          <w:sz w:val="20"/>
          <w:szCs w:val="20"/>
          <w:color w:val="auto"/>
        </w:rPr>
      </w:pPr>
      <w:r>
        <w:rPr>
          <w:rFonts w:ascii="Arial" w:cs="Arial" w:eastAsia="Arial" w:hAnsi="Arial"/>
          <w:sz w:val="17"/>
          <w:szCs w:val="17"/>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September 29, 2016 and December 31, 2015, the Company did not have any outstanding derivative assets or liabilities.</w:t>
      </w:r>
    </w:p>
    <w:p>
      <w:pPr>
        <w:spacing w:after="0" w:line="166"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which states that amounts in AOCI shall be reclassified into earnings in the same period or periods during which the hedged forecasted transaction affects earnings. As of September 29, 2016, there were no amounts outstanding related to these discontinued cash flow hedges.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AOCI by component for the nine months ended September 29, 2016 and October 1, 2015 were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79"/>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(1.6)</w:t>
            </w: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Amounts reclassified from AOCI:</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on discontinued cash flow</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Amortization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hedges</w:t>
            </w:r>
          </w:p>
        </w:tc>
        <w:tc>
          <w:tcPr>
            <w:tcW w:w="5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terminated derivatives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amounts reclassified from AOCI</w:t>
            </w:r>
          </w:p>
        </w:tc>
        <w:tc>
          <w:tcPr>
            <w:tcW w:w="54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other comprehensive income</w:t>
            </w:r>
          </w:p>
        </w:tc>
        <w:tc>
          <w:tcPr>
            <w:tcW w:w="5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79"/>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in our annual report on Form 10-K for the Company’s fiscal year ended December 31, 2015.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31,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 xml:space="preserve">We operate the largest digital in-theatre video advertising network in North America, through which we distribute national and local advertising that we have sold on theatre screens and video screens in theatre lobbies. We also sell theatre lobby promotions and online and mobile advertising that are displayed on our and other company websites and mobile sites and apps. Our revenue is principally derived from advertising distributed to our founding member theatres in accordance with long-term ESAs (approximately 20 years remaining as of September 29, 2016) and to network affiliates in accordance with multi-year agreements, which expire at various dates through July 22, 2031. The weighted average remaining term (based on attendance) of the ESAs and the network affiliate agreements is 18.4 years as of September 29, 2016. The ESAs with the founding members and network affiliate agreements grant us exclusive rights in their theatres to sell advertising, subject to limited exceptions.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theatre attendance is generated by theatres connected to our DCN (the remaining 375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(90% digital cinema projectors and 10% LCD projectors).</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and local and regional and total advertising revenue per attendee. We also monitor free cash flow, the dividend coverage ratio, financial leverage (net debt divided by Adjusted OIBDA),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178"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On May 5, 2014, NCM, Inc. entered into the Merger Agreement to merge with Screenvision, which was terminated on March 16, 2015. After the Merger Agreement was terminated, NCM LLC reimbursed, or paid on behalf of, NCM, Inc. for certain expenses, including an approximate $26.8 million termination payment to Screenvision pursuant to an indemnification agreement among NCM LLC, NCM, Inc. and the founding members. During the nine months ended October 1, 2015, the Company also either paid directly or reimbursed NCM, Inc. for the legal and other merger-related costs of approximately $15.0 million ($7.5 million incurred by NCM, Inc. during the year ended January 1, 2015 and approximately $7.5 million incurred by NCM LLC during the nine months ended October 1, 2015). NCM, Inc. and the founding members each bore a pro rata portion of the termination fee and the related merger expenses based on their aggregate ownership percentages in NCM LLC when the expenses were incurred.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 w:name="page22"/>
    <w:bookmarkEnd w:id="21"/>
    <w:p>
      <w:pPr>
        <w:ind w:right="62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2, 2016 for the Company’s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22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88"/>
              </w:rPr>
              <w:t>September</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October 1,</w:t>
            </w:r>
          </w:p>
        </w:tc>
        <w:tc>
          <w:tcPr>
            <w:tcW w:w="80" w:type="dxa"/>
            <w:vAlign w:val="bottom"/>
          </w:tcPr>
          <w:p>
            <w:pPr>
              <w:spacing w:after="0"/>
              <w:rPr>
                <w:sz w:val="11"/>
                <w:szCs w:val="11"/>
                <w:color w:val="auto"/>
              </w:rPr>
            </w:pPr>
          </w:p>
        </w:tc>
        <w:tc>
          <w:tcPr>
            <w:tcW w:w="108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October 1,</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Q3 2016 to</w:t>
            </w: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YTD 2016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2015</w:t>
            </w:r>
          </w:p>
        </w:tc>
        <w:tc>
          <w:tcPr>
            <w:tcW w:w="3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Network, administrative and unallocated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termination fee and related merger</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(1)</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(31.3%)</w:t>
            </w: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Adjusted OIBDA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59.6</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154.7</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49.9%</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517.3</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right="740" w:hanging="552"/>
        <w:spacing w:after="0" w:line="258"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 w:lineRule="exact"/>
        <w:rPr>
          <w:rFonts w:ascii="Arial" w:cs="Arial" w:eastAsia="Arial" w:hAnsi="Arial"/>
          <w:sz w:val="18"/>
          <w:szCs w:val="18"/>
          <w:i w:val="1"/>
          <w:iCs w:val="1"/>
          <w:color w:val="auto"/>
        </w:rPr>
      </w:pPr>
    </w:p>
    <w:p>
      <w:pPr>
        <w:ind w:left="560" w:right="240" w:hanging="552"/>
        <w:spacing w:after="0" w:line="261"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-568325</wp:posOffset>
            </wp:positionV>
            <wp:extent cx="17151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the merger termination fee and related merger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or costs associated with the resignation of the Company’s former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non-GAAP presentations may not be comparable to other similarly titled measures of other companies, or calculations in the Company’s debt agreement.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October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October 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OIBDA</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OIBDA margin</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120" w:right="240" w:hanging="558"/>
        <w:spacing w:after="0" w:line="268" w:lineRule="auto"/>
        <w:tabs>
          <w:tab w:leader="none" w:pos="112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$2.4 million, $2.1 million, $7.8 million and $5.5 million for the three months ended September 29, 2016 and October 1, 2015 and the nine months ended September 29, 2016 and October 1, 2015, respectively.</w:t>
      </w:r>
    </w:p>
    <w:p>
      <w:pPr>
        <w:spacing w:after="0" w:line="3" w:lineRule="exact"/>
        <w:rPr>
          <w:rFonts w:ascii="Arial" w:cs="Arial" w:eastAsia="Arial" w:hAnsi="Arial"/>
          <w:sz w:val="17"/>
          <w:szCs w:val="17"/>
          <w:i w:val="1"/>
          <w:iCs w:val="1"/>
          <w:color w:val="auto"/>
        </w:rPr>
      </w:pPr>
    </w:p>
    <w:p>
      <w:pPr>
        <w:ind w:left="1120" w:right="160" w:hanging="558"/>
        <w:spacing w:after="0" w:line="250" w:lineRule="auto"/>
        <w:tabs>
          <w:tab w:leader="none" w:pos="112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right="400" w:hanging="558"/>
        <w:spacing w:after="0" w:line="261" w:lineRule="auto"/>
        <w:tabs>
          <w:tab w:leader="none" w:pos="112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 managing member in the accompanying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-1254125</wp:posOffset>
            </wp:positionV>
            <wp:extent cx="13633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4"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2016 results to our 2015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740" w:firstLine="555"/>
        <w:spacing w:after="0" w:line="308" w:lineRule="auto"/>
        <w:rPr>
          <w:sz w:val="20"/>
          <w:szCs w:val="20"/>
          <w:color w:val="auto"/>
        </w:rPr>
      </w:pPr>
      <w:r>
        <w:rPr>
          <w:rFonts w:ascii="Arial" w:cs="Arial" w:eastAsia="Arial" w:hAnsi="Arial"/>
          <w:sz w:val="17"/>
          <w:szCs w:val="17"/>
          <w:color w:val="auto"/>
        </w:rPr>
        <w:t>The results of operations data for the three and nine months ended September 29, 2016 and October 1, 2015 was derived from the unaudited Condensed Financial Statements and accounting records of NCM LLC and should be read in conjunction with the notes thereto.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29, 2016 and October 1, 2015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1.6%, from $111.7 million for the three months ended October 1, 2015 to $113.5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2016. The following is a summary of revenue by category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Q3 2016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2016 to</w:t>
            </w:r>
          </w:p>
        </w:tc>
        <w:tc>
          <w:tcPr>
            <w:tcW w:w="240" w:type="dxa"/>
            <w:vAlign w:val="bottom"/>
          </w:tcPr>
          <w:p>
            <w:pPr>
              <w:spacing w:after="0"/>
              <w:rPr>
                <w:sz w:val="11"/>
                <w:szCs w:val="1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Q3 2015</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2015</w:t>
            </w:r>
          </w:p>
        </w:tc>
        <w:tc>
          <w:tcPr>
            <w:tcW w:w="24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data on theatre attendance and revenue per attendee for the three months ended September 29, 2016 and October 1, 2015:</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2016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0.483</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0.158</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0.590</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0.642</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0.632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0.681</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r>
    </w:tbl>
    <w:p>
      <w:pPr>
        <w:spacing w:after="0" w:line="134" w:lineRule="exact"/>
        <w:rPr>
          <w:sz w:val="20"/>
          <w:szCs w:val="20"/>
          <w:color w:val="auto"/>
        </w:rPr>
      </w:pPr>
    </w:p>
    <w:p>
      <w:pPr>
        <w:ind w:left="1700" w:right="160" w:hanging="558"/>
        <w:spacing w:after="0" w:line="308" w:lineRule="auto"/>
        <w:tabs>
          <w:tab w:leader="none" w:pos="170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-317500</wp:posOffset>
            </wp:positionV>
            <wp:extent cx="9861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 w:lineRule="exact"/>
        <w:rPr>
          <w:sz w:val="20"/>
          <w:szCs w:val="20"/>
          <w:color w:val="auto"/>
        </w:rPr>
      </w:pPr>
    </w:p>
    <w:p>
      <w:pPr>
        <w:ind w:left="560" w:right="20"/>
        <w:spacing w:after="0" w:line="290"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$3.0 million, or 3.8%, increase in national advertising revenue (excluding beverage revenue from NCM LLC’s founding members) was due primarily to a 2.1% increase in national advertising CPMs (excluding beverage) in the third quarter of 2016, compared to the third quarter of 2015 and a $1.5 million increase in online, mobile and other revenue not included in the inventory measured by impressions sold or CPMs. The increase in national advertising CPMs was due primarily to higher CPMs on upfront commitments and the scatter market in the third quarter of 2016, compared to the third quarter of 2015. These increases to revenue were partially offset by a 0.2% decrease in impressions sold, which resulted in a decrease in national inventory utilization, from 145.8% for the third quarter of 2015 to 132.5% for the third quarter of 2016 on a 9.4% increase in network attendance. Inventory utilization is calculated as utilized impressions divided by total advertising impressions, which is based on eleven 30-second salable national advertising units in our pre-show, which can be expanded, should market demand dictate.</w:t>
      </w:r>
    </w:p>
    <w:p>
      <w:pPr>
        <w:spacing w:after="0" w:line="58"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$2.3 million, or 8.8%, decrease in local and regional advertising revenue was primarily driven by a decrease in revenue from contracts greater than $100,000, whereby they had a 27.3% decrease in contract volume and an 18.6% decrease in average contract value in the third quarter of 2016, compared to the third quarter of 2015. The decrease in revenue from contracts greater than $100,000 was driven by the absence of two contracts that were greater than $1 million in the third quarter of 2015. This was partially offset by revenue from contracts less than $100,000 which increased 1.9% in average contract value and increased 1.7% in contract volume primarily related to expansion of our salesforce and diversification of our client base.</w:t>
      </w:r>
    </w:p>
    <w:p>
      <w:pPr>
        <w:spacing w:after="0" w:line="85"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$1.1 million, or 17.2%, increase in national advertising revenue from NCM LLC’s founding members’ beverage concessionaire agreements was due to a 9.8% increase in founding member attendance and a 5.7% increase in beverage revenue CPMs in the third quarter of 2016, compared to the third quarter of 2015. The 2016 beverage revenue CPM is based on the change in CPM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2014 to 2015, which increased 5.7%.</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4" w:name="page25"/>
    <w:bookmarkEnd w:id="24"/>
    <w:p>
      <w:pPr>
        <w:ind w:right="38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$1.2 million, or 1.9%, from $63.9 million for the three months ended October 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$65.1 million for the three months ended September 29, 2016. The following table shows the changes in operating expense for the three months ended September 29, 2016 and October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94"/>
              <w:spacing w:after="0" w:line="133" w:lineRule="exact"/>
              <w:rPr>
                <w:sz w:val="20"/>
                <w:szCs w:val="20"/>
                <w:color w:val="auto"/>
              </w:rPr>
            </w:pPr>
            <w:r>
              <w:rPr>
                <w:rFonts w:ascii="Arial" w:cs="Arial" w:eastAsia="Arial" w:hAnsi="Arial"/>
                <w:sz w:val="14"/>
                <w:szCs w:val="14"/>
                <w:b w:val="1"/>
                <w:bCs w:val="1"/>
                <w:color w:val="auto"/>
                <w:w w:val="98"/>
              </w:rPr>
              <w:t>October 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Q3 2016 to</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2016 to</w:t>
            </w:r>
          </w:p>
        </w:tc>
        <w:tc>
          <w:tcPr>
            <w:tcW w:w="240" w:type="dxa"/>
            <w:vAlign w:val="bottom"/>
          </w:tcPr>
          <w:p>
            <w:pPr>
              <w:spacing w:after="0"/>
              <w:rPr>
                <w:sz w:val="11"/>
                <w:szCs w:val="11"/>
                <w:color w:val="auto"/>
              </w:rPr>
            </w:pPr>
          </w:p>
        </w:tc>
      </w:tr>
      <w:tr>
        <w:trPr>
          <w:trHeight w:val="171"/>
        </w:trPr>
        <w:tc>
          <w:tcPr>
            <w:tcW w:w="50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Q3 2015</w:t>
            </w:r>
          </w:p>
        </w:tc>
        <w:tc>
          <w:tcPr>
            <w:tcW w:w="2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2015</w:t>
            </w:r>
          </w:p>
        </w:tc>
        <w:tc>
          <w:tcPr>
            <w:tcW w:w="240" w:type="dxa"/>
            <w:vAlign w:val="bottom"/>
            <w:tcBorders>
              <w:bottom w:val="single" w:sz="8" w:color="CFF0FC"/>
            </w:tcBorders>
          </w:tcPr>
          <w:p>
            <w:pPr>
              <w:spacing w:after="0"/>
              <w:rPr>
                <w:sz w:val="14"/>
                <w:szCs w:val="1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80"/>
        <w:spacing w:after="0" w:line="342"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$0.3 million, or 3.8%, from $7.8 million for the third quarter of 2015 to $7.5 million for the third quarter of 2016. The decrease was primarily due to a decrease in production costs, personnel related expenses and contract labor.</w:t>
      </w:r>
    </w:p>
    <w:p>
      <w:pPr>
        <w:spacing w:after="0" w:line="16"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$0.2 million, or 4.7%, from $4.3 million for the third quarter of 2015 to $4.1 million for the third quarter of 2016.</w:t>
      </w:r>
    </w:p>
    <w:p>
      <w:pPr>
        <w:spacing w:after="0" w:line="62" w:lineRule="exact"/>
        <w:rPr>
          <w:sz w:val="20"/>
          <w:szCs w:val="20"/>
          <w:color w:val="auto"/>
        </w:rPr>
      </w:pPr>
    </w:p>
    <w:p>
      <w:pPr>
        <w:ind w:left="560" w:right="40"/>
        <w:spacing w:after="0" w:line="272" w:lineRule="auto"/>
        <w:rPr>
          <w:sz w:val="20"/>
          <w:szCs w:val="20"/>
          <w:color w:val="auto"/>
        </w:rPr>
      </w:pPr>
      <w:r>
        <w:rPr>
          <w:rFonts w:ascii="Arial" w:cs="Arial" w:eastAsia="Arial" w:hAnsi="Arial"/>
          <w:sz w:val="17"/>
          <w:szCs w:val="17"/>
          <w:u w:val="single" w:color="auto"/>
          <w:color w:val="auto"/>
        </w:rPr>
        <w:t>Theatre access fees—founding members.</w:t>
      </w:r>
      <w:r>
        <w:rPr>
          <w:rFonts w:ascii="Arial" w:cs="Arial" w:eastAsia="Arial" w:hAnsi="Arial"/>
          <w:sz w:val="17"/>
          <w:szCs w:val="17"/>
          <w:color w:val="auto"/>
        </w:rPr>
        <w:t xml:space="preserve"> Theatre access fees increased $1.6 million, or 9.1%, from $17.6 million for the third quarter of 2015 to $19.2 million for the third quarter of 2016. The increase was due to a $1.0 million increase in the fee associated with founding member attendance and a $0.6 million increase in the fee associated with the number of founding member digital screens that are connected to the DCN, including higher quality digital cinema projectors and related equipment. The theatre access fees, based upon attendance increased $1.0 million due to a 9.8% increase in founding member attendance during the third quarter of 2016, compared to the third quarter of 2015. The $0.6 million increase in digital screen fees increased $0.4 million related to an annual 5% rate increase specified in the ESAs and $0.2 million from an increase in the number of founding member screens equipped with the higher quality digital cinema equipment.</w:t>
      </w:r>
    </w:p>
    <w:p>
      <w:pPr>
        <w:spacing w:after="0" w:line="70" w:lineRule="exact"/>
        <w:rPr>
          <w:sz w:val="20"/>
          <w:szCs w:val="20"/>
          <w:color w:val="auto"/>
        </w:rPr>
      </w:pPr>
    </w:p>
    <w:p>
      <w:pPr>
        <w:ind w:left="560" w:right="140"/>
        <w:spacing w:after="0" w:line="279"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$0.1 million, or 0.6%, from $16.9 million for the third quarter of 2015 to $16.8 million for the third quarter of 2016. This decrease was primarily due to a decrease of $0.5 million in personnel related expenses related primarily to lower bonus expense, partially offset by a $0.2 million increase in online publisher expense related to higher online and mobile revenue during the third quarter of 2016, compared to the third quarter of 2015 and a $0.2 million increase in marketing research expense.</w:t>
      </w:r>
    </w:p>
    <w:p>
      <w:pPr>
        <w:spacing w:after="0" w:line="63"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$0.2 million, or 3.7%, from $5.4 million for the third quarter of 2015 to $5.6 million for the third quarter of 2016 due primarily to a $0.3 million increase personnel related expenses primarily from higher non-cash share-based compensation expense.</w:t>
      </w:r>
    </w:p>
    <w:p>
      <w:pPr>
        <w:spacing w:after="0" w:line="73"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decreased $0.9 million or 23.1% from $3.9 million for the third quarter of 2015 to $3.0 million for the third quarter of 2016 primarily due to a decrease in personnel related expenses.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56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$0.9 million, or 11.3%, from $8.0 million for the third quarter of 2015 to $8.9 million for the third quarter of 2016. The increase was due to an increase in amortization expense of intangible assets related primarily to NCM LLC founding member common unit adjustments, partially offset by lower depreciation expense as assets became fully depreciated.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5" w:name="page26"/>
    <w:bookmarkEnd w:id="25"/>
    <w:p>
      <w:pPr>
        <w:jc w:val="both"/>
        <w:ind w:right="4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$11.7 million, or 91.4%, from $12.8 million for the three months ended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$24.5 million for the three months ended September 29, 2016. The following table shows the changes in non-operating expense for the three months ended September 29, 2016 and October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8"/>
              </w:rPr>
              <w:t>October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3"/>
              </w:rPr>
              <w:t>Q3 2016 to</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2016 to</w:t>
            </w:r>
          </w:p>
        </w:tc>
        <w:tc>
          <w:tcPr>
            <w:tcW w:w="240" w:type="dxa"/>
            <w:vAlign w:val="bottom"/>
          </w:tcPr>
          <w:p>
            <w:pPr>
              <w:spacing w:after="0"/>
              <w:rPr>
                <w:sz w:val="11"/>
                <w:szCs w:val="11"/>
                <w:color w:val="auto"/>
              </w:rPr>
            </w:pPr>
          </w:p>
        </w:tc>
      </w:tr>
      <w:tr>
        <w:trPr>
          <w:trHeight w:val="171"/>
        </w:trPr>
        <w:tc>
          <w:tcPr>
            <w:tcW w:w="500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Q3 2015</w:t>
            </w:r>
          </w:p>
        </w:tc>
        <w:tc>
          <w:tcPr>
            <w:tcW w:w="22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2015</w:t>
            </w:r>
          </w:p>
        </w:tc>
        <w:tc>
          <w:tcPr>
            <w:tcW w:w="240" w:type="dxa"/>
            <w:vAlign w:val="bottom"/>
            <w:tcBorders>
              <w:bottom w:val="single" w:sz="8" w:color="CFF2FA"/>
            </w:tcBorders>
          </w:tcPr>
          <w:p>
            <w:pPr>
              <w:spacing w:after="0"/>
              <w:rPr>
                <w:sz w:val="14"/>
                <w:szCs w:val="14"/>
                <w:color w:val="auto"/>
              </w:rPr>
            </w:pPr>
          </w:p>
        </w:tc>
      </w:tr>
      <w:tr>
        <w:trPr>
          <w:trHeight w:val="223"/>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2FA"/>
          </w:tcPr>
          <w:p>
            <w:pPr>
              <w:spacing w:after="0"/>
              <w:rPr>
                <w:sz w:val="19"/>
                <w:szCs w:val="19"/>
                <w:color w:val="auto"/>
              </w:rPr>
            </w:pP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30"/>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Loss on early retirement of debt</w:t>
            </w:r>
          </w:p>
        </w:tc>
        <w:tc>
          <w:tcPr>
            <w:tcW w:w="18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100.0%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50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non-operating expenses</w:t>
            </w:r>
          </w:p>
        </w:tc>
        <w:tc>
          <w:tcPr>
            <w:tcW w:w="180" w:type="dxa"/>
            <w:vAlign w:val="bottom"/>
            <w:tcBorders>
              <w:top w:val="single" w:sz="8" w:color="auto"/>
              <w:bottom w:val="single" w:sz="8" w:color="auto"/>
            </w:tcBorders>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1220" w:type="dxa"/>
            <w:vAlign w:val="bottom"/>
            <w:tcBorders>
              <w:top w:val="single" w:sz="8" w:color="CFF2FA"/>
              <w:bottom w:val="single" w:sz="8" w:color="CFF2FA"/>
            </w:tcBorders>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91.4%</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increase in non-operating expense was due primarily to a $10.4 million loss on early retirement of debt recorded in the third quarter of 2016 as a result of the redemption of our senior unsecured notes due 2021. The loss on early retirement of debt included an approximate $7.9 million redemption premium and the write-off of approximately $2.5 million in unamortized debt issuance costs. Interest on borrowings increased approximately $1.3 million during the third quarter of 2016, compared to the third quarter of 2015 due to the one-month period between the issuance of the Notes due 2026 in August 2016 and the redemption of the Notes due 2021 in September 2016, whereby interest was paid on both notes for one month.</w:t>
      </w:r>
    </w:p>
    <w:p>
      <w:pPr>
        <w:spacing w:after="0" w:line="15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$10.9 million from $34.8 million for the three months ended October 1, 2015 to $23.9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29, 2016. The decrease in net income was due to a decrease in non-operating expense of $11.7 million, as described further above, partially offset by an increase in operating income of $0.6 million, as described above, and a $0.2 decrease in income tax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29, 2016 and October 1, 2015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Total revenue decreased 1.6%, from $310.1 million for the nine months ended October 1, 2015 to $305.1 million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2016. The following is a summary of revenue by category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YTD 2015</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0"/>
              </w:rPr>
              <w:t>(2.7)</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concessionaire agreements</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305.1</w:t>
            </w:r>
          </w:p>
        </w:tc>
        <w:tc>
          <w:tcPr>
            <w:tcW w:w="2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(5.0)</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data on theatre attendance and revenue per attendee for the nine months ended September 29, 2016 and October 1, 2015:</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0.422</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0.133</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0.541</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0.555</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0.599</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p>
    <w:p>
      <w:pPr>
        <w:ind w:left="1700" w:right="320" w:hanging="558"/>
        <w:spacing w:after="0" w:line="277" w:lineRule="auto"/>
        <w:tabs>
          <w:tab w:leader="none" w:pos="170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-302260</wp:posOffset>
            </wp:positionV>
            <wp:extent cx="13379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42"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$2.7 million, or 1.2%, decrease in national advertising revenue (excluding beverage revenue from NCM LLC’s founding members) was due primarily to a 9.7% decrease in impressions sold in the first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ind w:left="560" w:right="40"/>
        <w:spacing w:after="0" w:line="290" w:lineRule="auto"/>
        <w:rPr>
          <w:sz w:val="20"/>
          <w:szCs w:val="20"/>
          <w:color w:val="auto"/>
        </w:rPr>
      </w:pPr>
      <w:r>
        <w:rPr>
          <w:rFonts w:ascii="Arial" w:cs="Arial" w:eastAsia="Arial" w:hAnsi="Arial"/>
          <w:sz w:val="16"/>
          <w:szCs w:val="16"/>
          <w:color w:val="auto"/>
        </w:rPr>
        <w:t>nine months of 2016, compared to the first nine months of 2015, partially offset by a 5.4% increase in national advertising CPMs (excluding beverage) and a $8.0 million increase in online, mobile and other revenue not included in the inventory measured by impressions sold or CPMs. The decrease in impressions sold was due primarily to lower content partner spending which declined approximately $5.8 million during the first nine months of 2016, compared to the first nine months of 2015. The decrease in impressions sold resulted in a decrease in national inventory utilization, from 127.0% for the first nine months of 2015 to 112.9% for the first nine months of 2016 on a 1.3% increase in network attendance.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higher CPMs on upfront commitments in the first nine months of 2016, compared to the first nine months of 2015.</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Local and regional advertising revenue.</w:t>
      </w:r>
      <w:r>
        <w:rPr>
          <w:rFonts w:ascii="Arial" w:cs="Arial" w:eastAsia="Arial" w:hAnsi="Arial"/>
          <w:sz w:val="17"/>
          <w:szCs w:val="17"/>
          <w:color w:val="auto"/>
        </w:rPr>
        <w:t xml:space="preserve"> The $1.1 million, or 1.6%, decrease in local and regional advertising revenue was primarily driven by a</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decrease in revenue from contracts greater than $100,000, whereby they had a 2.4% decrease in contract volume and a 12.4% decrease in average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contract value in the first nine months of 2016, compared to the first nine months of 2015. The decrease in revenue from contracts greater than</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$100,000 was driven by fewer contracts that were greater than $1 million. This was partially offset by revenue from contracts less than $100,000</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which increased 6.8% in contract volume primarily related to expansion of our salesforce and diversification of our client base.</w:t>
      </w:r>
    </w:p>
    <w:p>
      <w:pPr>
        <w:spacing w:after="0" w:line="103" w:lineRule="exact"/>
        <w:rPr>
          <w:sz w:val="20"/>
          <w:szCs w:val="20"/>
          <w:color w:val="auto"/>
        </w:rPr>
      </w:pPr>
    </w:p>
    <w:p>
      <w:pPr>
        <w:ind w:left="56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$1.2 million, or 5.2%, decrease in national advertising revenue from NCM LLC’s founding members’ beverage concessionaire agreements was due to a decrease of $3.0 million related to one of NCM LLC’s founding members reducing the length of its beverage advertising unit by 30 seconds beginning July 1, 2015, partially offset by a 5.7% increase in beverage revenue CPMs and a 2.2% increase in founding member attendance during the first nine months of 2016, compared to the first nine months of 2015. The 2016 beverage revenue CPM is based on the change in CPMs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158"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$26.7 million, or 11.6%, from $231.1 million for the nine months ended October 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$204.4 million for the nine months ended September 29, 2016. The following table shows the changes in operating expense for the nine months ended September 29, 2016 and October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29,</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3"/>
              <w:spacing w:after="0" w:line="133" w:lineRule="exact"/>
              <w:rPr>
                <w:sz w:val="20"/>
                <w:szCs w:val="20"/>
                <w:color w:val="auto"/>
              </w:rPr>
            </w:pPr>
            <w:r>
              <w:rPr>
                <w:rFonts w:ascii="Arial" w:cs="Arial" w:eastAsia="Arial" w:hAnsi="Arial"/>
                <w:sz w:val="14"/>
                <w:szCs w:val="14"/>
                <w:b w:val="1"/>
                <w:bCs w:val="1"/>
                <w:color w:val="auto"/>
                <w:w w:val="95"/>
              </w:rPr>
              <w:t>October 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YTD 2015</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Network costs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34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8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decreased $1.1 million, or 5.0%, from $21.9 million for the first nine months of 2015 to</w:t>
      </w:r>
    </w:p>
    <w:p>
      <w:pPr>
        <w:spacing w:after="0" w:line="35"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$20.8 million for the first nine months of 2016. This decrease was primarily the result of a $0.8 million decrease in affiliate advertising payments due to a 5.8%, or 211 screens, decrease in the number of average affiliate screens during the period primarily related to an acquisition of a network affiliate by a founding member in late 2015, whereby we are now paying theatre access fees.</w:t>
      </w:r>
    </w:p>
    <w:p>
      <w:pPr>
        <w:spacing w:after="0" w:line="8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$0.1 million, or 0.8%, from $13.0 million for the first nine months of 2015 to $12.9 million for the first nine months of 2016.</w:t>
      </w:r>
    </w:p>
    <w:p>
      <w:pPr>
        <w:spacing w:after="0" w:line="62"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$2.8 million, or 5.2%, from $54.0 million for the first nine months of 2015 to $56.8 million for the first nine months of 2016. The increase was due to a $2.1 million increase in the fee associated with the number of founding member digital screens that are connected to the DCN, including higher quality digital cinema projectors and related equipment and a $0.7 million increase in the fee</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7" w:name="page28"/>
    <w:bookmarkEnd w:id="27"/>
    <w:p>
      <w:pPr>
        <w:ind w:left="560" w:right="120"/>
        <w:spacing w:after="0" w:line="259" w:lineRule="auto"/>
        <w:rPr>
          <w:sz w:val="20"/>
          <w:szCs w:val="20"/>
          <w:color w:val="auto"/>
        </w:rPr>
      </w:pPr>
      <w:r>
        <w:rPr>
          <w:rFonts w:ascii="Arial" w:cs="Arial" w:eastAsia="Arial" w:hAnsi="Arial"/>
          <w:sz w:val="18"/>
          <w:szCs w:val="18"/>
          <w:color w:val="auto"/>
        </w:rPr>
        <w:t>associated with founding member attendance. The $2.1 million increase in digital screen fees increased $1.1 million related to an annual 5% rate increase specified in the ESAs and $1.0 million from an increase in the number of founding member screens equipped with the higher quality digital cinema equipment. Theatre access fees based on attendance increased $0.7 million due to a 2.2% increase in founding member attendance during the first nine months of 2016, compared to the first nine months of 2015.</w:t>
      </w:r>
    </w:p>
    <w:p>
      <w:pPr>
        <w:spacing w:after="0" w:line="79" w:lineRule="exact"/>
        <w:rPr>
          <w:sz w:val="20"/>
          <w:szCs w:val="20"/>
          <w:color w:val="auto"/>
        </w:rPr>
      </w:pPr>
    </w:p>
    <w:p>
      <w:pPr>
        <w:ind w:left="560" w:right="42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$4.6 million, or 9.2%, from $49.9 million for the first nine months of 2015 to $54.5 million for the first nine months of 2016. This increase was primarily due to an increase of $1.3 million in personnel related expenses due primarily to higher salaries and non-cash share-based compensation expense. Selling and marketing costs also increased due to a $0.9 million increase in online publisher expense related to higher online and mobile revenue, a $0.9 million increase in marketing research and event merchandising expenses and $0.7 million due to a non-cash impairment charge on an investment obtained in exchange for advertising services.</w:t>
      </w:r>
    </w:p>
    <w:p>
      <w:pPr>
        <w:spacing w:after="0" w:line="50"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$1.5 million, or 9.6%, from $15.6 million for the first nine months of 2015 to $17.1 million for the first nine months of 2016 due primarily to a $1.2 million increase in personnel related expenses due primarily to higher non-cash share-based compensation expense.</w:t>
      </w:r>
    </w:p>
    <w:p>
      <w:pPr>
        <w:spacing w:after="0" w:line="73" w:lineRule="exact"/>
        <w:rPr>
          <w:sz w:val="20"/>
          <w:szCs w:val="20"/>
          <w:color w:val="auto"/>
        </w:rPr>
      </w:pPr>
    </w:p>
    <w:p>
      <w:pPr>
        <w:ind w:left="560" w:right="100"/>
        <w:spacing w:after="0" w:line="297"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$5.1 million, or 47.7% from $10.7 million for the first nine months of 2015 to $15.8 million for the first nine months of 2016 due primarily to $3.4 million of CEO transition costs, which consisted primarily of severance and consulting costs to our former CEO and $2.3 million non-cash share-based compensation expense associated with modifying equity awards pursuant to agreements with our former CEO. Amounts recorded are based on the terms of the management services agreement which states NCM LLC pays NCM, Inc. service fees which are equal to the cost of NCM, Inc. employees and any reimbursable costs incurred by NCM, Inc.</w:t>
      </w:r>
    </w:p>
    <w:p>
      <w:pPr>
        <w:spacing w:after="0" w:line="50"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$2.3 million, or 9.5%, from $24.2 million for the first nine months of 2015 to $26.5 million for the first nine months of 2016. The increase was due to an increase in amortization expense of intangible assets related primarily to NCM LLC founding member common unit adjustments, partially offset by lower depreciation expense as assets became fully depreciated.</w:t>
      </w:r>
    </w:p>
    <w:p>
      <w:pPr>
        <w:spacing w:after="0" w:line="79"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$41.8 million for the first nine months of 2015 due to the merger termination payment of approximately $26.8 million, approximately $7.5 million in primarily legal, accounting, advisory and other professional fees associated with the terminated Screenvision merger and the payment to NCM, Inc. for the reimbursement of merger-related administrative costs of $7.5 million.</w:t>
      </w:r>
    </w:p>
    <w:p>
      <w:pPr>
        <w:spacing w:after="0" w:line="187"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$10.8 million, or 26.9%, from $40.2 million for the nine months ended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$51.0 million for the nine months ended September 29, 2016. The following table shows the changes in non-operating expense for the nine months ended September 29, 2016 and October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94"/>
              <w:spacing w:after="0" w:line="133" w:lineRule="exact"/>
              <w:rPr>
                <w:sz w:val="20"/>
                <w:szCs w:val="20"/>
                <w:color w:val="auto"/>
              </w:rPr>
            </w:pPr>
            <w:r>
              <w:rPr>
                <w:rFonts w:ascii="Arial" w:cs="Arial" w:eastAsia="Arial" w:hAnsi="Arial"/>
                <w:sz w:val="14"/>
                <w:szCs w:val="14"/>
                <w:b w:val="1"/>
                <w:bCs w:val="1"/>
                <w:color w:val="auto"/>
                <w:w w:val="98"/>
              </w:rPr>
              <w:t>October 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r>
      <w:tr>
        <w:trPr>
          <w:trHeight w:val="171"/>
        </w:trPr>
        <w:tc>
          <w:tcPr>
            <w:tcW w:w="500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YTD 2015</w:t>
            </w:r>
          </w:p>
        </w:tc>
        <w:tc>
          <w:tcPr>
            <w:tcW w:w="22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2FA"/>
            </w:tcBorders>
          </w:tcPr>
          <w:p>
            <w:pPr>
              <w:spacing w:after="0"/>
              <w:rPr>
                <w:sz w:val="14"/>
                <w:szCs w:val="14"/>
                <w:color w:val="auto"/>
              </w:rPr>
            </w:pPr>
          </w:p>
        </w:tc>
      </w:tr>
      <w:tr>
        <w:trPr>
          <w:trHeight w:val="223"/>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FF2FA"/>
          </w:tcPr>
          <w:p>
            <w:pPr>
              <w:spacing w:after="0"/>
              <w:rPr>
                <w:sz w:val="19"/>
                <w:szCs w:val="19"/>
                <w:color w:val="auto"/>
              </w:rPr>
            </w:pP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5.1%</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30"/>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30"/>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Other non-operating expense</w:t>
            </w:r>
          </w:p>
        </w:tc>
        <w:tc>
          <w:tcPr>
            <w:tcW w:w="18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non-operating expenses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The increase in non-operating expense was due primarily to a $10.4 million loss on early retirement of debt recorded in the third quarter of 2016 as a result of the redemption of our senior unsecured notes due in 2021. The loss on early retirement of debt included an approximate $7.9 million redemption premium and the write-off of approximately $2.5 million in unamortized debt issuance costs. The interest on borrowings increased approximately $2.0 million during the first nine months of 2016, compared to the first nine months of 2015 due to the one-month period between the issuance of the Notes due 2026 in August 2016 and the redemption of the Notes due 2021 in September 2016, whereby interest was paid on both notes for one month, as well as, a higher LIBOR rate on our term loans during the first nine months of 2016, compared to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right="580"/>
        <w:spacing w:after="0" w:line="277" w:lineRule="auto"/>
        <w:rPr>
          <w:sz w:val="20"/>
          <w:szCs w:val="20"/>
          <w:color w:val="auto"/>
        </w:rPr>
      </w:pPr>
      <w:r>
        <w:rPr>
          <w:rFonts w:ascii="Arial" w:cs="Arial" w:eastAsia="Arial" w:hAnsi="Arial"/>
          <w:sz w:val="18"/>
          <w:szCs w:val="18"/>
          <w:color w:val="auto"/>
        </w:rPr>
        <w:t>first nine months of 2015. These increases in non-operating expenses were partially offset by a $1.6 million decrease in the amortization of terminated derivatives as the amortization period ended in February 2015.</w:t>
      </w:r>
    </w:p>
    <w:p>
      <w:pPr>
        <w:spacing w:after="0" w:line="170" w:lineRule="exact"/>
        <w:rPr>
          <w:sz w:val="20"/>
          <w:szCs w:val="20"/>
          <w:color w:val="auto"/>
        </w:rPr>
      </w:pPr>
    </w:p>
    <w:p>
      <w:pPr>
        <w:jc w:val="both"/>
        <w:ind w:right="180" w:firstLine="555"/>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$11.1 million from $38.5 million for the nine months ended October 1, 2015 to $49.6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29, 2016. The increase in net income was due to an increase in operating income of $21.7 million, as described above, and a $0.2 million decrease in income tax expense, partially offset by an increase in non-operating expense of $10.8 million, as described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100" w:firstLine="555"/>
        <w:spacing w:after="0" w:line="268" w:lineRule="auto"/>
        <w:rPr>
          <w:sz w:val="20"/>
          <w:szCs w:val="20"/>
          <w:color w:val="auto"/>
        </w:rPr>
      </w:pPr>
      <w:r>
        <w:rPr>
          <w:rFonts w:ascii="Arial" w:cs="Arial" w:eastAsia="Arial" w:hAnsi="Arial"/>
          <w:sz w:val="17"/>
          <w:szCs w:val="17"/>
          <w:color w:val="auto"/>
        </w:rPr>
        <w:t xml:space="preserve">Changes in the current macro-economic environment and changes in the national, regional and local advertising markets present uncertainties that could impact our results of operations, including the timing and amount of spending from our advertising clients. These changes include increased competition related to the expansion of online and mobile advertising platforms. Further, we could be negatively impacted by factors that could reduce the viewership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such as the offering of reserve seating,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engagement and upgrades to our inventory management and data management systems. We could also benefit if the effectiveness of cinema advertising improves relative to other advertising mediums. Consumer and media market trends appear to have had a favorable impact on our level of national upfront bookings for 2015 and 2016 when compared to the previous year. We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the number of screens in our network during the nine months ended September 29, 2016 was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 of screens</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0" w:type="dxa"/>
            <w:vAlign w:val="bottom"/>
            <w:gridSpan w:val="2"/>
          </w:tcPr>
          <w:p>
            <w:pPr>
              <w:ind w:left="280"/>
              <w:spacing w:after="0" w:line="133" w:lineRule="exact"/>
              <w:rPr>
                <w:sz w:val="20"/>
                <w:szCs w:val="20"/>
                <w:color w:val="auto"/>
              </w:rPr>
            </w:pPr>
            <w:r>
              <w:rPr>
                <w:rFonts w:ascii="Arial" w:cs="Arial" w:eastAsia="Arial" w:hAnsi="Arial"/>
                <w:sz w:val="14"/>
                <w:szCs w:val="14"/>
                <w:b w:val="1"/>
                <w:bCs w:val="1"/>
                <w:color w:val="auto"/>
              </w:rPr>
              <w:t>Founding</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Network Affiliates</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Members</w:t>
            </w:r>
          </w:p>
        </w:tc>
        <w:tc>
          <w:tcPr>
            <w:tcW w:w="13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(Lost) new affiliates </w:t>
            </w:r>
            <w:r>
              <w:rPr>
                <w:rFonts w:ascii="Arial" w:cs="Arial" w:eastAsia="Arial" w:hAnsi="Arial"/>
                <w:sz w:val="18"/>
                <w:szCs w:val="18"/>
                <w:i w:val="1"/>
                <w:iCs w:val="1"/>
                <w:color w:val="auto"/>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Openings, net of closures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as of September 29, 2016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17,037</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right="160" w:hanging="398"/>
        <w:spacing w:after="0" w:line="264" w:lineRule="auto"/>
        <w:tabs>
          <w:tab w:leader="none" w:pos="9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During the first nine months of 2016, the run-out provision in the contract with one of our affiliates that was acquired by a theatre circuit not in our network ended, resulting in 194 screens being removed from our network. These lost screens were partially offset by three new affiliates with 153 screens added during the first nine months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-432435</wp:posOffset>
            </wp:positionV>
            <wp:extent cx="17151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1"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year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adjusting our pricing through 2014 to be more attractive to a broader number of potential clients, to compete more effectively with various forms of</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140"/>
        <w:spacing w:after="0" w:line="255" w:lineRule="auto"/>
        <w:rPr>
          <w:sz w:val="20"/>
          <w:szCs w:val="20"/>
          <w:color w:val="auto"/>
        </w:rPr>
      </w:pPr>
      <w:r>
        <w:rPr>
          <w:rFonts w:ascii="Arial" w:cs="Arial" w:eastAsia="Arial" w:hAnsi="Arial"/>
          <w:sz w:val="18"/>
          <w:szCs w:val="18"/>
          <w:color w:val="auto"/>
        </w:rPr>
        <w:t>premium video advertising and reflect seasonal marketplace supply and demand characteristics, during 2015 and the first nine months of 2016, we experienced an increase year over year of 6.7% and 5.4%, respectively, in national advertising CPMs (excluding beverage revenue). We have also experienced volatility in our utilization over the years, with annual national inventory utilization ranging from 98.8% to 128.3% over the last four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189"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 xml:space="preserve">Under the ESAs, 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our founding members to satisfy their on-screen advertising commitments under their beverage concessionaire agreements. During the first six months of 2015, we sold 60 seconds to our founding members. Beginning July 1, 2015, one of our founding members reduced their beverage advertising from 60 seconds to 30 seconds. We have the right to sell the remaining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limited to the highest advertising CPM being then-charged by us. Due to a 5.7% increase in segment one CPMs in 2015, the CPM on</w:t>
      </w:r>
      <w:r>
        <w:rPr>
          <w:rFonts w:ascii="Arial" w:cs="Arial" w:eastAsia="Arial" w:hAnsi="Arial"/>
          <w:sz w:val="17"/>
          <w:szCs w:val="17"/>
          <w:i w:val="1"/>
          <w:iCs w:val="1"/>
          <w:color w:val="auto"/>
        </w:rPr>
        <w:t xml:space="preserve"> </w:t>
      </w:r>
      <w:r>
        <w:rPr>
          <w:rFonts w:ascii="Arial" w:cs="Arial" w:eastAsia="Arial" w:hAnsi="Arial"/>
          <w:sz w:val="17"/>
          <w:szCs w:val="17"/>
          <w:color w:val="auto"/>
        </w:rPr>
        <w:t>our beverage concessionaire revenue increased during the first nine months of 2016 by 5.7% and the remainder of 2016 will increase by an equivalent percentage.</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the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September 29, 2016, 95%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178"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 xml:space="preserve">During 2015, we reduced the length of our content partner entertainment programming segments from two and one-half minutes to two-minutes in content partner agreements representing about 50%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impressions. During 2016, we are reducing the remaining segments such that all of our content partner agreements will provide for two- minute entertainment content segments. The reduction in the length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 2016. Because there is no reduction in our revenue from reducing these content segments, this will provide additional salable national, local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inventory that could allow us to increase our future advertising revenue provided that there is adequate market demand.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During the past several years, we amended our senior secured credit facility to extend the maturity, expand the revolver availability and reduce the interest rate spreads. In August 2016, we completed a private placement of $250.0 million in aggregate principal amount of 5.750% Senior Unsecured Notes due in 2026. A portion of the proceeds were used to redeem our $200.0 million 7.875% Senior Unsecured Notes due in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September 29, 2016 the weighted average remaining maturity was 6.0 years. As of September 29, 2016, approximately 70% of our total borrowings bear interest at fixed rates. The remaining 30% of our borrowings bear interest at variable rates and as such, our net income could fluctuate with market interest rate fluctuations that could increase the interest paid on our borrowings. Refer to Note 4—</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the unaudited Condensed Financial Statements in Item 1 of this Form 10-Q for more information regarding the Company’s borrowings.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2016 and 2015, we issued 1,416,515 and 2,160,915 common membership units to our founding members, respectively, for the rights to exclusive access to the theatre screens and attendees added, net of dispositions by the founding members to our network during the previous year. We recorded a net intangible asset of $21.1 million and $31.4 million during the first quarter of 2016 and 2015, respectively, as a result of the Common Unit Adjustments.</w:t>
      </w:r>
    </w:p>
    <w:p>
      <w:pPr>
        <w:spacing w:after="0" w:line="158"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July 2016, AMC entered into an amended and restated merger agreement with a large motion picture exhibitor, Carmike Cinemas, Inc. (“Carmike”) pursuant to which AMC would acquire all of the outstanding shares of Carmike. The merger is subject to customary closing conditions, including regulatory approval and approval by Carmike’s shareholders. As of June 30, 2016, Carmike held membership units representing approximately 18% of the total issued and outstanding membership units of another cinema advertising provider and Carmike has a long-term agreement with the cinema advertising provider for them to be their exclusive provider of on-screen advertising services.</w:t>
      </w:r>
    </w:p>
    <w:p>
      <w:pPr>
        <w:spacing w:after="0" w:line="18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 xml:space="preserve">If the merger closes, then the on-screen advertising agreement with the alternative provider may or may not remain in effect with respect to the acquired Carmike theatres. Under either circumstance, AMC may elect to receive common membership units related to the acquisition of those theatres. If AMC makes this election and the on-screen cinema advertising agreement with the alternative provider remains in effect, then AMC will be required to make integration payments, as described in Note 2 </w:t>
      </w:r>
      <w:r>
        <w:rPr>
          <w:rFonts w:ascii="Arial" w:cs="Arial" w:eastAsia="Arial" w:hAnsi="Arial"/>
          <w:sz w:val="17"/>
          <w:szCs w:val="17"/>
          <w:i w:val="1"/>
          <w:iCs w:val="1"/>
          <w:color w:val="auto"/>
        </w:rPr>
        <w:t>– Intangible Assets</w:t>
      </w:r>
      <w:r>
        <w:rPr>
          <w:rFonts w:ascii="Arial" w:cs="Arial" w:eastAsia="Arial" w:hAnsi="Arial"/>
          <w:sz w:val="17"/>
          <w:szCs w:val="17"/>
          <w:color w:val="auto"/>
        </w:rPr>
        <w:t xml:space="preserve"> to the unaudited Condensed Financial Statements in Item 1 of this Form 10-Q. If this were to occur, we believe that, the effect on NCM LLC’s cash position would be relatively neutral in the near term as the integration payments would be distributed out to the members. Further, pursuant to NCM, Inc.’s Amended and Restated Certificate of Incorporation and NCM LLC’s Third Amended and Restated Limited Liability Company Operating Agreement, as amended, members of NCM LLC, other than NCM, Inc., may choose to have common membership units redeemed, and NCM, Inc. may elect to redeem through either a cash payment or the issuance of shares of its common stock on a one-for-one basis. As this merger is subject to customary closing conditions, including regulatory approval and approval by Carmike’s shareholders, there is no certainty that the merger will close or what the ultimate outcome and impact on NCM LLC or NCM, Inc. will be.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29,</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October 1,</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Q3 2016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Q3 2016 to</w:t>
            </w:r>
          </w:p>
        </w:tc>
        <w:tc>
          <w:tcPr>
            <w:tcW w:w="100" w:type="dxa"/>
            <w:vAlign w:val="bottom"/>
          </w:tcPr>
          <w:p>
            <w:pPr>
              <w:spacing w:after="0"/>
              <w:rPr>
                <w:sz w:val="11"/>
                <w:szCs w:val="11"/>
                <w:color w:val="auto"/>
              </w:rPr>
            </w:pPr>
          </w:p>
        </w:tc>
      </w:tr>
      <w:tr>
        <w:trPr>
          <w:trHeight w:val="17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YE 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Q3 2015</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40" w:hanging="552"/>
        <w:spacing w:after="0" w:line="259" w:lineRule="auto"/>
        <w:tabs>
          <w:tab w:leader="none" w:pos="5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September 29, 2016 and $135.0 million as of December 31, 2015 and October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-566420</wp:posOffset>
            </wp:positionV>
            <wp:extent cx="17151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1"/>
                <w:szCs w:val="1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107.0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Investing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(59.3)</w:t>
            </w:r>
          </w:p>
        </w:tc>
      </w:tr>
    </w:tbl>
    <w:p>
      <w:pPr>
        <w:spacing w:after="0" w:line="198" w:lineRule="exact"/>
        <w:rPr>
          <w:sz w:val="20"/>
          <w:szCs w:val="20"/>
          <w:color w:val="auto"/>
        </w:rPr>
      </w:pPr>
    </w:p>
    <w:p>
      <w:pPr>
        <w:ind w:left="1660" w:hanging="545"/>
        <w:spacing w:after="0" w:line="281" w:lineRule="auto"/>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The $40.9 million increase in cash provided by operating activities for the nine months ended September 29,</w:t>
      </w:r>
      <w:r>
        <w:rPr>
          <w:rFonts w:ascii="Arial" w:cs="Arial" w:eastAsia="Arial" w:hAnsi="Arial"/>
          <w:sz w:val="17"/>
          <w:szCs w:val="17"/>
          <w:b w:val="1"/>
          <w:bCs w:val="1"/>
          <w:color w:val="auto"/>
        </w:rPr>
        <w:t xml:space="preserve"> </w:t>
      </w:r>
      <w:r>
        <w:rPr>
          <w:rFonts w:ascii="Arial" w:cs="Arial" w:eastAsia="Arial" w:hAnsi="Arial"/>
          <w:sz w:val="17"/>
          <w:szCs w:val="17"/>
          <w:color w:val="auto"/>
        </w:rPr>
        <w:t>2016, compared to the nine months ended October 1, 2015 was due primarily to an increase in the change in accounts receivable of $25.2 million during the nine months ended September 29, 2016 compared to the nine months ended October 1, 2015 related to higher collections and a $11.1 million increase in net income, as described further above.</w:t>
      </w:r>
    </w:p>
    <w:p>
      <w:pPr>
        <w:spacing w:after="0" w:line="56" w:lineRule="exact"/>
        <w:rPr>
          <w:rFonts w:ascii="Arial" w:cs="Arial" w:eastAsia="Arial" w:hAnsi="Arial"/>
          <w:sz w:val="17"/>
          <w:szCs w:val="17"/>
          <w:color w:val="auto"/>
        </w:rPr>
      </w:pPr>
    </w:p>
    <w:p>
      <w:pPr>
        <w:ind w:left="1660" w:right="180" w:hanging="545"/>
        <w:spacing w:after="0" w:line="266"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$0.6 million increase in cash used in investing activities for the nine months ended September 29,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October 1, 2015 was due primarily to an increase of $1.0 million of purchases of property, plant and equipment.</w:t>
      </w:r>
    </w:p>
    <w:p>
      <w:pPr>
        <w:spacing w:after="0" w:line="68" w:lineRule="exact"/>
        <w:rPr>
          <w:rFonts w:ascii="Arial" w:cs="Arial" w:eastAsia="Arial" w:hAnsi="Arial"/>
          <w:sz w:val="18"/>
          <w:szCs w:val="18"/>
          <w:color w:val="auto"/>
        </w:rPr>
      </w:pPr>
    </w:p>
    <w:p>
      <w:pPr>
        <w:ind w:left="1660" w:right="140" w:hanging="545"/>
        <w:spacing w:after="0" w:line="261"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$38.7 million increase in cash used in financing activities for the nine months ended September 29,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October 1, 2015 was due primarily to higher repayments, net of proceeds, under our revolving credit facility of $107.0 million, partially offset by $42.1 million of proceeds from the issuance of the Notes due 2026, net of the redemption of the Notes due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nine months ended September 29, 2016, net of the negative available cash generated in the first quarter of 2015 and netted against the second quarter of 2016 distribution, was approximately $61.8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31, 2015 and incorporated by reference herein. As of September 29, 2016,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2015 and incorporated by reference herein. We do not believe these arrangements are material to our current or future financial condition, results of operations, liquidity, capital resources or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nine months ended September 29,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2012</w:t>
            </w:r>
          </w:p>
        </w:tc>
        <w:tc>
          <w:tcPr>
            <w:tcW w:w="8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32.1%</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2012, 2013, 2014 and 2015.</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2012</w:t>
            </w:r>
          </w:p>
        </w:tc>
        <w:tc>
          <w:tcPr>
            <w:tcW w:w="8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24.7%</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33.7%</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September 29, 2016, the only interest rate risk that we are exposed to is related to our $175.0 million revolving credit facility and our $270.0 million term loan. A 100 basis point fluctuation in market interest rates underlying our term loan and revolving credit facility would have the effect of increasing or decreasing our cash interest expense by approximately $2.7 million for an annual period on the $3.0 million revolving credit balance and $270.0 million term loan outstanding as of September 29, 2016. For a discussion of market risks, see Item 7A. “Quantitative and Qualitative Disclosures About Market Risk” contained in our annual report on Form 10-K for the fiscal year ended December 31, 2015 and incorporated by reference 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September 29, 2016,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29, 2016 were effective.</w:t>
      </w:r>
    </w:p>
    <w:p>
      <w:pPr>
        <w:spacing w:after="0" w:line="192"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September 29, 2016 that have materially affected, or are reasonably likely to materially affect, the Company’s internal controls over financial reporting.</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2, 2016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ind w:left="5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500"/>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w w:val="94"/>
              </w:rPr>
              <w:t>Indenture, dated as of August 19, 2016, by and between the Company and Wells Fargo Bank, National Association, as</w:t>
            </w: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trustee.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Form of 5.750% Senior Secured Notes due 2026 (included in Exhibit 4.1).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dated as of August 19, 2016, by and between the Company and J.P. Morgan Securities</w:t>
            </w: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LLC, as representative of the Initial Purchasers named therein.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Employment Agreement dated August 11, 2016, between National CineMedia Inc. and Katherine L. Scherping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67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940" w:type="dxa"/>
            <w:vAlign w:val="bottom"/>
            <w:gridSpan w:val="2"/>
          </w:tcPr>
          <w:p>
            <w:pPr>
              <w:ind w:left="3120"/>
              <w:spacing w:after="0"/>
              <w:rPr>
                <w:sz w:val="20"/>
                <w:szCs w:val="20"/>
                <w:color w:val="auto"/>
              </w:rPr>
            </w:pPr>
            <w:r>
              <w:rPr>
                <w:rFonts w:ascii="Arial" w:cs="Arial" w:eastAsia="Arial" w:hAnsi="Arial"/>
                <w:sz w:val="18"/>
                <w:szCs w:val="18"/>
                <w:color w:val="auto"/>
              </w:rPr>
              <w:t>32</w:t>
            </w:r>
          </w:p>
        </w:tc>
      </w:tr>
      <w:tr>
        <w:trPr>
          <w:trHeight w:val="115"/>
        </w:trPr>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w w:val="92"/>
              </w:rPr>
              <w:t>Certification of Chief Financial Officer Pursuant to 18 U.S.C. Section 1350.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00" w:type="dxa"/>
            <w:vAlign w:val="bottom"/>
          </w:tcPr>
          <w:p>
            <w:pPr>
              <w:ind w:left="260"/>
              <w:spacing w:after="0"/>
              <w:rPr>
                <w:sz w:val="20"/>
                <w:szCs w:val="20"/>
                <w:color w:val="auto"/>
              </w:rPr>
            </w:pPr>
            <w:r>
              <w:rPr>
                <w:rFonts w:ascii="Arial" w:cs="Arial" w:eastAsia="Arial" w:hAnsi="Arial"/>
                <w:sz w:val="18"/>
                <w:szCs w:val="18"/>
                <w:color w:val="auto"/>
              </w:rPr>
              <w:t>*</w:t>
            </w:r>
          </w:p>
        </w:tc>
        <w:tc>
          <w:tcPr>
            <w:tcW w:w="6040" w:type="dxa"/>
            <w:vAlign w:val="bottom"/>
          </w:tcPr>
          <w:p>
            <w:pPr>
              <w:ind w:left="5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Exhibit 4.1 to NCM Inc.’s Form 8-K (File No. 001-33296) filed on August 19, 2016.</w:t>
      </w:r>
    </w:p>
    <w:p>
      <w:pPr>
        <w:spacing w:after="0" w:line="46" w:lineRule="exact"/>
        <w:rPr>
          <w:rFonts w:ascii="Arial" w:cs="Arial" w:eastAsia="Arial" w:hAnsi="Arial"/>
          <w:sz w:val="16"/>
          <w:szCs w:val="16"/>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Exhibit 4.2 to NCM Inc.’s Form 8-K (File No. 001-33296) filed on August 19, 2016.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Exhibit 4.3 to NCM Inc.’s Form 8-K (File No. 001-33296) filed on August 19, 2016.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Exhibit 10.1 to NCM Inc.’s Form 8-K (File No. 001-33296) filed on August 11,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9, 2016</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9, 2016</w:t>
            </w:r>
          </w:p>
        </w:tc>
        <w:tc>
          <w:tcPr>
            <w:tcW w:w="610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L. Scherping</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225" w:lineRule="exact"/>
        <w:rPr>
          <w:sz w:val="20"/>
          <w:szCs w:val="20"/>
          <w:color w:val="auto"/>
        </w:rPr>
      </w:pPr>
    </w:p>
    <w:p>
      <w:pPr>
        <w:ind w:left="700" w:hanging="17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29, 2016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9,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29, 2016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9,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lvl w:ilvl="1">
      <w:lvlJc w:val="left"/>
      <w:lvlText w:val="(%2)"/>
      <w:numFmt w:val="decimal"/>
      <w:start w:val="1"/>
    </w:lvl>
  </w:abstractNum>
  <w:abstractNum w:abstractNumId="6">
    <w:nsid w:val="25E45D32"/>
    <w:multiLevelType w:val="hybridMultilevel"/>
    <w:lvl w:ilvl="0">
      <w:lvlJc w:val="left"/>
      <w:lvlText w:val="%1."/>
      <w:numFmt w:val="decimal"/>
      <w:start w:val="7"/>
    </w:lvl>
    <w:lvl w:ilvl="1">
      <w:lvlJc w:val="left"/>
      <w:lvlText w:val="%2"/>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2019-12-29T09:39:04Z</dcterms:created>
  <dcterms:modified xsi:type="dcterms:W3CDTF">2019-12-29T09:39:04Z</dcterms:modified>
</cp:coreProperties>
</file>