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9"/>
              </w:rPr>
              <w:t>As of August 4, 2009, 42,119,307 shares of the registrant’s common stock, par value of $0.01 per share,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6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6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3200" w:type="dxa"/>
            <w:vAlign w:val="bottom"/>
            <w:gridSpan w:val="10"/>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49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7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 of Stockholders’ Equity/(Deficit)</w:t>
              </w:r>
            </w:hyperlink>
          </w:p>
        </w:tc>
        <w:tc>
          <w:tcPr>
            <w:tcW w:w="44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Unaudited Condensed Consolidated Financial Statements</w:t>
              </w:r>
            </w:hyperlink>
          </w:p>
        </w:tc>
        <w:tc>
          <w:tcPr>
            <w:tcW w:w="54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10"/>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gridSpan w:val="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64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48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17"/>
                <w:szCs w:val="17"/>
                <w:color w:val="auto"/>
              </w:rPr>
            </w:pPr>
          </w:p>
        </w:tc>
        <w:tc>
          <w:tcPr>
            <w:tcW w:w="88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59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3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64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8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240" w:type="dxa"/>
            <w:vAlign w:val="bottom"/>
            <w:gridSpan w:val="17"/>
          </w:tcPr>
          <w:p>
            <w:pPr>
              <w:ind w:left="46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7"/>
              </w:rPr>
              <w:t>January 1, 2009</w:t>
            </w: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Receivables, net of allowance of $2.8 and $2.6 million,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79.3</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Income taxes receivable</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$33.0 and $27.0 million, respectively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$2.8 and $1.5 million, respectively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 net of valuation allowance of $1.7 and $2.0 million, respectively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Debt issuance costs,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method investment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8"/>
                <w:szCs w:val="18"/>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603.6</w:t>
            </w:r>
          </w:p>
        </w:tc>
        <w:tc>
          <w:tcPr>
            <w:tcW w:w="40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609.6</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EQUITY/(DEFICIT)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Amounts due to founding members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Taxes payable to founding members</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payroll and related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 and 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Taxes payable to founding members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 agreements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r>
      <w:tr>
        <w:trPr>
          <w:trHeight w:val="223"/>
        </w:trPr>
        <w:tc>
          <w:tcPr>
            <w:tcW w:w="20" w:type="dxa"/>
            <w:vAlign w:val="bottom"/>
          </w:tcPr>
          <w:p>
            <w:pPr>
              <w:spacing w:after="0"/>
              <w:rPr>
                <w:sz w:val="19"/>
                <w:szCs w:val="19"/>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1,048.5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1,103.2</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1,135.9</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4)</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EQUITY/(DEFICIT):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NCM, Inc. Stockholders’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w w:val="95"/>
              </w:rPr>
              <w:t>Preferred stock, $0.01 par value; 10,000,000 shares authorized, none issued and outstanding, respectively</w:t>
            </w: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Common stock, $0.01 par value; 120,000,000 shares authorized, 42,119,307 and 42,109,966 issued and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outstanding, respectively</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(114.6)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Retained earnings (Distributions in excess of earnings)</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NCM, Inc. stockholders’ equity/(deficit)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w:t>
            </w: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(372.8)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(395.2)</w:t>
            </w: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equity/(deficit)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(526.3)</w:t>
            </w: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July 2, 2009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July 2, 2009</w:t>
            </w: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June 26, 2008</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26,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Advertising (including revenue from founding members of $9.9,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060"/>
              <w:spacing w:after="0"/>
              <w:rPr>
                <w:sz w:val="20"/>
                <w:szCs w:val="20"/>
                <w:color w:val="auto"/>
              </w:rPr>
            </w:pPr>
            <w:r>
              <w:rPr>
                <w:rFonts w:ascii="Arial" w:cs="Arial" w:eastAsia="Arial" w:hAnsi="Arial"/>
                <w:sz w:val="18"/>
                <w:szCs w:val="18"/>
                <w:color w:val="auto"/>
              </w:rPr>
              <w:t>$18.3, $10.6 and $20.8 million,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83.5</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Meetings and Events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166.4</w:t>
            </w:r>
          </w:p>
        </w:tc>
        <w:tc>
          <w:tcPr>
            <w:tcW w:w="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Advertising operating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Meetings and Events operating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Theatre access fees – founding members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Selling and marketing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Administrative and other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Severance plan costs</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323"/>
        </w:trPr>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Change in derivative fair value</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income taxes payable to</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founding members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6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322"/>
        </w:trPr>
        <w:tc>
          <w:tcPr>
            <w:tcW w:w="5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COMMON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23"/>
        </w:trPr>
        <w:tc>
          <w:tcPr>
            <w:tcW w:w="59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42,118,740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42,117,146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42,066,813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42,049,200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42,387,189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42,262,574</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42,109,888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42,134,374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80"/>
        <w:spacing w:after="0" w:line="262" w:lineRule="auto"/>
        <w:rPr>
          <w:sz w:val="20"/>
          <w:szCs w:val="20"/>
          <w:color w:val="auto"/>
        </w:rPr>
      </w:pPr>
      <w:r>
        <w:rPr>
          <w:rFonts w:ascii="Arial" w:cs="Arial" w:eastAsia="Arial" w:hAnsi="Arial"/>
          <w:sz w:val="18"/>
          <w:szCs w:val="18"/>
          <w:b w:val="1"/>
          <w:bCs w:val="1"/>
          <w:color w:val="auto"/>
        </w:rPr>
        <w:t>NATIONAL CINEMEDIA, INC. AND SUBSIDIARY CONDENSED CONSOLIDATED STATEMENTS OF CASH FLOWS (In millions)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26,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24.6</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Non-cash severance plan and share-based compensation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income taxes payable to founding members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Net unrealized gain on hedging transactions</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Amounts due to founding members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Income taxes and other</w:t>
            </w: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Increase in investment in affiliate</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short-term investments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Distribution to founding members</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61.6</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1960"/>
        <w:spacing w:after="0" w:line="270" w:lineRule="auto"/>
        <w:rPr>
          <w:sz w:val="20"/>
          <w:szCs w:val="20"/>
          <w:color w:val="auto"/>
        </w:rPr>
      </w:pPr>
      <w:r>
        <w:rPr>
          <w:rFonts w:ascii="Arial" w:cs="Arial" w:eastAsia="Arial" w:hAnsi="Arial"/>
          <w:sz w:val="18"/>
          <w:szCs w:val="18"/>
          <w:b w:val="1"/>
          <w:bCs w:val="1"/>
          <w:color w:val="auto"/>
        </w:rPr>
        <w:t>NATIONAL CINEMEDIA, INC. AND SUBSIDIARY CONDENSED CONSOLIDATED STATEMENTS OF CASH FLOWS (In millions) (CONTINUED)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9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61"/>
        </w:trPr>
        <w:tc>
          <w:tcPr>
            <w:tcW w:w="94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26, 2008</w:t>
            </w: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Integration payment from members collected after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322"/>
        </w:trPr>
        <w:tc>
          <w:tcPr>
            <w:tcW w:w="94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8"/>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2"/>
        </w:trPr>
        <w:tc>
          <w:tcPr>
            <w:tcW w:w="940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 in</w:t>
            </w:r>
          </w:p>
        </w:tc>
        <w:tc>
          <w:tcPr>
            <w:tcW w:w="3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(Distrib. in</w:t>
            </w:r>
          </w:p>
        </w:tc>
        <w:tc>
          <w:tcPr>
            <w:tcW w:w="180" w:type="dxa"/>
            <w:vAlign w:val="bottom"/>
          </w:tcPr>
          <w:p>
            <w:pPr>
              <w:spacing w:after="0"/>
              <w:rPr>
                <w:sz w:val="12"/>
                <w:szCs w:val="12"/>
                <w:color w:val="auto"/>
              </w:rPr>
            </w:pP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Excess of</w:t>
            </w:r>
          </w:p>
        </w:tc>
        <w:tc>
          <w:tcPr>
            <w:tcW w:w="1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34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Taxes attributable to Members and impacts of subsidiary</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ownership changes</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Unrealized gain on cash flow hedge, net of tax</w:t>
            </w:r>
          </w:p>
        </w:tc>
        <w:tc>
          <w:tcPr>
            <w:tcW w:w="2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dividends</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Balance—July 2,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 in</w:t>
            </w:r>
          </w:p>
        </w:tc>
        <w:tc>
          <w:tcPr>
            <w:tcW w:w="3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(Distrib. in</w:t>
            </w:r>
          </w:p>
        </w:tc>
        <w:tc>
          <w:tcPr>
            <w:tcW w:w="180" w:type="dxa"/>
            <w:vAlign w:val="bottom"/>
          </w:tcPr>
          <w:p>
            <w:pPr>
              <w:spacing w:after="0"/>
              <w:rPr>
                <w:sz w:val="12"/>
                <w:szCs w:val="12"/>
                <w:color w:val="auto"/>
              </w:rPr>
            </w:pP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w:t>
            </w:r>
          </w:p>
        </w:tc>
        <w:tc>
          <w:tcPr>
            <w:tcW w:w="3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Excess of</w:t>
            </w:r>
          </w:p>
        </w:tc>
        <w:tc>
          <w:tcPr>
            <w:tcW w:w="1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34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27, 2007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 (186.8)</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Taxes attributable to Members and impacts of subsidiary</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ownership changes</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Unrealized (loss) on cash flow hedge, net of tax</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net of tax</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6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dividends</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Balance—June 26,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 (128.9)</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right="4860" w:firstLine="8"/>
        <w:spacing w:after="0" w:line="347" w:lineRule="auto"/>
        <w:tabs>
          <w:tab w:leader="none" w:pos="17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business meetings, and Fathom event services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July 2, 2009, NCM LLC had 101,555,065 common membership units outstanding, of which 42,119,307 (41.5%) were owned by NCM, Inc., 25,425,689 (25.0%) were owned by Regal, 18,821,114 (18.5%) were owned by AMC, and 15,188,955 (15.0%) were owned by Cinemark. The membership units held by the founding members are convertible into NCM, Inc. common stock on a one-for-one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for the fiscal year ended January 1, 2009, filed with the SEC on March 6, 2009. The Company’s initial public offering (“IPO”) was completed in February 2007.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2, the operating results as presented are not necessarily indicative of the results that might have occurred if all agreements were with non-related third parties.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Basic and Diluted</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Quarter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Quarter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July 2, 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July 2, 2009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26, 2008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26, 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 (in millions)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42,118,740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42,117,146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42,066,813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42,049,200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268,449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145,428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43,075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42,387,189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42,262,574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42,109,888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42,134,374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440"/>
              <w:spacing w:after="0"/>
              <w:rPr>
                <w:sz w:val="20"/>
                <w:szCs w:val="20"/>
                <w:color w:val="auto"/>
              </w:rPr>
            </w:pPr>
            <w:r>
              <w:rPr>
                <w:rFonts w:ascii="Arial" w:cs="Arial" w:eastAsia="Arial" w:hAnsi="Arial"/>
                <w:sz w:val="18"/>
                <w:szCs w:val="18"/>
                <w:color w:val="auto"/>
              </w:rPr>
              <w:t>Diluted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effect of the 59,435,758; 58,571,298; 55,804,748 and 53,841,833 convertible NCM LLC common units held by the founding members for the quarter and six months ended July 2, 2009 and the quarter and six months ended June 26, 2008, respectively, has been excluded from the calculation of diluted weighted average shares and earnings per share as they were antidilutive. In addition, there were 1,081,420; 1,401,480; 209,242 and 137,691 stock options and 71,787; 114,724; 244 and 910 non-vested restricted shares for the quarter and six months ended July 2, 2009 and the quarter and six months ended June 26, 2008, respectively, excluded from the calculation as they are antidilutive.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for the fiscal year ended January 1, 2009 contain a complete discussion of the Company’s significant accounting policies.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(“make-goods”), equity-based compensation, income taxes and the valuation of investments in absence of market value data. Actual results could differ from those estimates.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Certain amounts in the unaudited condensed consolidated financial statements and notes for prior periods have been reclassified to conform to the current period presentation. These reclassifications had no material impact on the results of operations of the Company.</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b w:val="1"/>
          <w:bCs w:val="1"/>
          <w:i w:val="1"/>
          <w:iCs w:val="1"/>
          <w:color w:val="auto"/>
        </w:rPr>
        <w:t>Receivables</w:t>
      </w:r>
      <w:r>
        <w:rPr>
          <w:rFonts w:ascii="Arial" w:cs="Arial" w:eastAsia="Arial" w:hAnsi="Arial"/>
          <w:sz w:val="15"/>
          <w:szCs w:val="15"/>
          <w:color w:val="auto"/>
        </w:rPr>
        <w:t>—Bad debts are provided for using the allowance for doubtful accounts method based on historical experience and management’s evaluation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receivables at the end of the period. Receivables are written off when management determines amounts are uncollectible. Trade accounts receivable are uncollateralized and represent a large number of geographically dispersed debtors. At July 2, 2009, there was one advertising agency group through which the Company sources national advertising revenue representing approximately 18% of the Company’s outstanding gross receivable balance; however, none of the individual contracts related to the advertising agency were more than 10% of advertising revenue. At January 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nationwide firms who have strong reputations in the advertising industry and stable financial positions.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—During the quarter ended July 2, 2009, the Company adopted FASB Staff Position No. SFAS 107-1 and APB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 28-1, </w:t>
      </w:r>
      <w:r>
        <w:rPr>
          <w:rFonts w:ascii="Arial" w:cs="Arial" w:eastAsia="Arial" w:hAnsi="Arial"/>
          <w:sz w:val="16"/>
          <w:szCs w:val="16"/>
          <w:i w:val="1"/>
          <w:iCs w:val="1"/>
          <w:color w:val="auto"/>
        </w:rPr>
        <w:t>Disclosures about the Fair Value of Financial Instruments</w:t>
      </w:r>
      <w:r>
        <w:rPr>
          <w:rFonts w:ascii="Arial" w:cs="Arial" w:eastAsia="Arial" w:hAnsi="Arial"/>
          <w:sz w:val="16"/>
          <w:szCs w:val="16"/>
          <w:color w:val="auto"/>
        </w:rPr>
        <w:t>, which requires quarterly disclosure of information about the fair value of financial instruments within the scope of FASB Statement No. 107. The carrying amounts of cash and cash equivalents, the revolving credit facility and other notes payable as reported in the Company’s balance sheets approximate their fair values due to their short maturity or floating rate terms, as applicable. The carrying amounts and fair values of short-term investments and interest rate swap agreements are the same since the Company accounts for these instruments at fair value. The Company has estimated the fair value of its term loan based on our analysis of current credit market conditions to be $677.8 million and $514.8 million as of July 2, 2009 and January 1, 2009, respectively. The carrying value of the term loan was $725.0 million as of July 2, 2009 and January 1, 2009. The Company has estimated the fair value of its equity method investment (described further below and in Note 4) using a probability weighted discounted cash flow analysis to be approximately $5.5 million as of July 2, 2009. The carrying value of the investment was $5.5 million as of July 2, 2009.</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Equity Method Investments</w:t>
      </w:r>
      <w:r>
        <w:rPr>
          <w:rFonts w:ascii="Arial" w:cs="Arial" w:eastAsia="Arial" w:hAnsi="Arial"/>
          <w:sz w:val="16"/>
          <w:szCs w:val="16"/>
          <w:color w:val="auto"/>
        </w:rPr>
        <w:t>—The Company accounts for its investment in Danoo, Inc. (see Note 4) under the equity method of accounting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APB No. 18, </w:t>
      </w:r>
      <w:r>
        <w:rPr>
          <w:rFonts w:ascii="Arial" w:cs="Arial" w:eastAsia="Arial" w:hAnsi="Arial"/>
          <w:sz w:val="16"/>
          <w:szCs w:val="16"/>
          <w:i w:val="1"/>
          <w:iCs w:val="1"/>
          <w:color w:val="auto"/>
        </w:rPr>
        <w:t>The Equity Method of Accounting for Investments in Common Stock</w:t>
      </w:r>
      <w:r>
        <w:rPr>
          <w:rFonts w:ascii="Arial" w:cs="Arial" w:eastAsia="Arial" w:hAnsi="Arial"/>
          <w:sz w:val="16"/>
          <w:szCs w:val="16"/>
          <w:color w:val="auto"/>
        </w:rPr>
        <w:t xml:space="preserve"> because we exert significant influence over, but do not control, the policy and decisions of Danoo, Inc. As of July 2, 2009, the Company owns approximately 24% of the issued and outstanding preferred and common stock of Danoo. Danoo is a privately held company, therefore there are no marketplace indicators available that management can use to determine the aggregate value of the investment based on quoted market price. The Company’s investment is stated at cost of $5.5 million and in the third quarter of 2009 it will begin to record its proportionate share of earnings or losses and other comprehensive income. The investment in Danoo, Inc. is in the aggregate immaterial, and as a result summarized financial information is not presented.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 xml:space="preserve">In December 2007, the Financial Accounting Standards Board (“FASB”) issued SFAS No. 160, </w:t>
      </w:r>
      <w:r>
        <w:rPr>
          <w:rFonts w:ascii="Arial" w:cs="Arial" w:eastAsia="Arial" w:hAnsi="Arial"/>
          <w:sz w:val="16"/>
          <w:szCs w:val="16"/>
          <w:i w:val="1"/>
          <w:iCs w:val="1"/>
          <w:color w:val="auto"/>
        </w:rPr>
        <w:t>Noncontrolling Interests in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Statements—an amendment of ARB No. 51</w:t>
      </w:r>
      <w:r>
        <w:rPr>
          <w:rFonts w:ascii="Arial" w:cs="Arial" w:eastAsia="Arial" w:hAnsi="Arial"/>
          <w:sz w:val="16"/>
          <w:szCs w:val="16"/>
          <w:color w:val="auto"/>
        </w:rPr>
        <w:t>. SFAS No. 160 changes the manner of presentation and related disclosures for the noncontrolling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(formerly referred to as a minority interest) and for the deconsolidation of a subsidiary. The Company adopted SFAS No. 160 effective January 2, 2009. The changes are reflected retrospectively in the Company’s unaudited condensed consolidated financial statements and Note 7.</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The new standard changes the manner of presentation and related disclosures of the fair values of derivative instruments and their gains and losses. The Company adopted SFAS No. 161 effective January 2, 2009 (see Note 6).</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In April 2009, the FASB issued FASB Staff Position No. SFAS 107-1 and APB No. 28-1, </w:t>
      </w:r>
      <w:r>
        <w:rPr>
          <w:rFonts w:ascii="Arial" w:cs="Arial" w:eastAsia="Arial" w:hAnsi="Arial"/>
          <w:sz w:val="18"/>
          <w:szCs w:val="18"/>
          <w:i w:val="1"/>
          <w:iCs w:val="1"/>
          <w:color w:val="auto"/>
        </w:rPr>
        <w:t>Disclosures about the Fair Value of Financial Instruments</w:t>
      </w:r>
      <w:r>
        <w:rPr>
          <w:rFonts w:ascii="Arial" w:cs="Arial" w:eastAsia="Arial" w:hAnsi="Arial"/>
          <w:sz w:val="18"/>
          <w:szCs w:val="18"/>
          <w:color w:val="auto"/>
        </w:rPr>
        <w:t>, which requires quarterly disclosure of information about the fair value of financial instruments within the scope of FASB Statement No. 107. The Company adopted this pronouncement effective April 3, 2009 (see Fair Value of Financial Instruments above).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 April 2009, the FASB issued FASB Staff Position No. SFAS 157-4, </w:t>
      </w:r>
      <w:r>
        <w:rPr>
          <w:rFonts w:ascii="Arial" w:cs="Arial" w:eastAsia="Arial" w:hAnsi="Arial"/>
          <w:sz w:val="18"/>
          <w:szCs w:val="18"/>
          <w:i w:val="1"/>
          <w:iCs w:val="1"/>
          <w:color w:val="auto"/>
        </w:rPr>
        <w:t>Determining Fair Value When the Volume and Level of Activity for the Asset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Liability Have Significantly Decreased and Identifying Transactions That Are Not Orderly. </w:t>
      </w:r>
      <w:r>
        <w:rPr>
          <w:rFonts w:ascii="Arial" w:cs="Arial" w:eastAsia="Arial" w:hAnsi="Arial"/>
          <w:sz w:val="18"/>
          <w:szCs w:val="18"/>
          <w:color w:val="auto"/>
        </w:rPr>
        <w:t>The standard provides additional guidance for estimating fair value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SFAS No. 157 when the volume and level of activity for the asset or liability have significantly decreased and includes guidance on identifying circumstances that indicate if a transaction is not orderly. The Company adopted this pronouncement effective April 3, 2009 with no impact on its unaudited condensed consolidated financial statements.</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In May 2009, the FASB issued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The new standard changes the general standards of accounting for and disclosure of events that occur after the balance sheet date but before financial statements are issued or are available to be issued. The Company adopted SFAS No. 165 effective April 3, 2009 (see Note 9).</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 xml:space="preserve">In June 2009, the FASB issued SFAS No.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xml:space="preserve"> The new standard amends the definition of the primary beneficiary of a variable interest entity and will require the Company to make an assessment each reporting period of its variable interests. SFAS No. 167 is effective for the Company on January 1, 2010. The Company is evaluating the impact of the statement on its unaudited condensed consolidated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June 2009, the FASB issued SFAS No. 168, </w:t>
      </w:r>
      <w:r>
        <w:rPr>
          <w:rFonts w:ascii="Arial" w:cs="Arial" w:eastAsia="Arial" w:hAnsi="Arial"/>
          <w:sz w:val="16"/>
          <w:szCs w:val="16"/>
          <w:i w:val="1"/>
          <w:iCs w:val="1"/>
          <w:color w:val="auto"/>
        </w:rPr>
        <w:t>The FASB Accounting Standard Codification and the Hierarchy of the Generally Accepted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Principles—a replacement of SFAS No. 162</w:t>
      </w:r>
      <w:r>
        <w:rPr>
          <w:rFonts w:ascii="Arial" w:cs="Arial" w:eastAsia="Arial" w:hAnsi="Arial"/>
          <w:sz w:val="16"/>
          <w:szCs w:val="16"/>
          <w:color w:val="auto"/>
        </w:rPr>
        <w:t>. The new standard becomes the authoritative U.S. GAAP recognized by the FASB to be applied by nongovernmental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SFAS No. 168 is effective for financial statements issued for interim and annual periods ending after September 15, 2009. The Company does not believe the adoption of SFAS No. 168 will have a material impact on its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RELATED-PARTY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 and Six Months Ended July 2, 2009 and June 26, 2008</w:t>
      </w:r>
    </w:p>
    <w:p>
      <w:pPr>
        <w:spacing w:after="0" w:line="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Pursuant to the ESAs, the Company makes monthly theatre access fee payments to the founding members, comprised of a payment per theatre attendee and a payment per digital screen of the founding member theatres included in our network. Also, the founding members can purchase advertising time for the display of up to 90 seconds of on-screen advertising under their beverage concessionaire agreements at a specified 30 second equivalent cost per thousand (“CPM”) impressions. The total theatre access fee to the founding members for the quarter ended July 2, 2009, the six months ended July 2, 2009, the quarter ended</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June 26, 2008 and the six months ended June 26, 2008 was $14.0 million, $26.4 million, $12.1 million and $23.6 million respectively. The total revenue related to the beverage concessionaire agreements for the quarter ended July 2, 2009, the six months ended July 2, 2009, the quarter ended June 26, 2008 and the six months ended June 26, 2008 was $9.9 million, $18.3 million, $10.6 million and $20.8 million respectively. In addition, the Company makes payments to the founding members for use of their screens and theatres for its Meetings and Events business. These payments are at rates (percentage of event revenue) included in the ESAs based on the nature of the event. Payments to the founding members for these events totaled $1.4 million, $3.5 million, $1.6 million and $3.0 million for the quarter ended July 2, 2009, the six months ended July 2, 2009, the quarter ended June 26, 2008 and the six months ended June 26, 2008, respectively, and are included in Meetings and Events operating costs in the unaudited condensed consolidated Statement of Operations.</w:t>
      </w:r>
    </w:p>
    <w:p>
      <w:pPr>
        <w:spacing w:after="0" w:line="12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pursuant to the terms of the NCM LLC Operating Agreement in place since the close of the IPO, NCM LLC is required to make mandatory distributions to its members of available cash, as defined in the NCM LLC Operating Agreement, on a quarterly basis, calculated as follows (in millions):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Quarter</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Quarter</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2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9"/>
              </w:rPr>
              <w:t>NCM LLC Members</w:t>
            </w:r>
          </w:p>
        </w:tc>
        <w:tc>
          <w:tcPr>
            <w:tcW w:w="4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2, 2009</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June 26, 2008</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June 26,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Cinemark</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NCM, Inc.</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u w:val="single" w:color="auto"/>
                <w:color w:val="auto"/>
              </w:rPr>
              <w:t>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the end of February 2009 in accordance with certain run-out provisions. For the six months ended July 2, 2009, the quarter ended June 26, 2008 and the six months ended June 26, 2008, the AMC Loews payment was $0.1 million (Star Theatres), $3.2 million and $4.0 million, respectively. The AMC Loews payment was recorded directly to NCM LLC’s members’ equity account.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30, 2008, Regal acquired Consolidated Theatres and NCM issued common membership units to Regal upon the closing of its acquisition (see Note 5). As a result, Regal must make payments pursuant to the ESAs on a quarterly basis in arrears through January 2011 in accordance with certain run-out provisions. For the quarter and six months ended July 2, 2009 and the quarter and six months ended June 26, 2008, the Regal Consolidated Theatres payment was $0.8 million, $1.1 million, $0.5 million, and $0.5 million, respectively. The Regal Consolidated Theatres payment was recorded as a reduction of the intangible asset.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July 2,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3"/>
              </w:rPr>
              <w:t>AMC</w:t>
            </w:r>
          </w:p>
        </w:tc>
        <w:tc>
          <w:tcPr>
            <w:tcW w:w="2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Cinemark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Regal</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$ 0.5</w:t>
            </w: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80" w:type="dxa"/>
            <w:vAlign w:val="bottom"/>
            <w:gridSpan w:val="6"/>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(0.2)</w:t>
            </w:r>
          </w:p>
        </w:tc>
        <w:tc>
          <w:tcPr>
            <w:tcW w:w="1080" w:type="dxa"/>
            <w:vAlign w:val="bottom"/>
            <w:gridSpan w:val="5"/>
          </w:tcPr>
          <w:p>
            <w:pPr>
              <w:jc w:val="right"/>
              <w:ind w:right="400"/>
              <w:spacing w:after="0"/>
              <w:rPr>
                <w:sz w:val="20"/>
                <w:szCs w:val="20"/>
                <w:color w:val="auto"/>
              </w:rPr>
            </w:pPr>
            <w:r>
              <w:rPr>
                <w:rFonts w:ascii="Arial" w:cs="Arial" w:eastAsia="Arial" w:hAnsi="Arial"/>
                <w:sz w:val="18"/>
                <w:szCs w:val="18"/>
                <w:color w:val="auto"/>
              </w:rPr>
              <w:t>(0.1)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8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gridSpan w:val="5"/>
          </w:tcPr>
          <w:p>
            <w:pPr>
              <w:jc w:val="right"/>
              <w:ind w:right="20"/>
              <w:spacing w:after="0"/>
              <w:rPr>
                <w:sz w:val="20"/>
                <w:szCs w:val="20"/>
                <w:color w:val="auto"/>
              </w:rPr>
            </w:pPr>
            <w:r>
              <w:rPr>
                <w:rFonts w:ascii="Arial" w:cs="Arial" w:eastAsia="Arial" w:hAnsi="Arial"/>
                <w:sz w:val="18"/>
                <w:szCs w:val="18"/>
                <w:color w:val="auto"/>
              </w:rPr>
              <w:t>$ 6.2</w:t>
            </w:r>
          </w:p>
        </w:tc>
        <w:tc>
          <w:tcPr>
            <w:tcW w:w="220" w:type="dxa"/>
            <w:vAlign w:val="bottom"/>
          </w:tcPr>
          <w:p>
            <w:pPr>
              <w:spacing w:after="0"/>
              <w:rPr>
                <w:sz w:val="19"/>
                <w:szCs w:val="19"/>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$ 7.8</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40" w:type="dxa"/>
            <w:vAlign w:val="bottom"/>
            <w:gridSpan w:val="7"/>
          </w:tcPr>
          <w:p>
            <w:pPr>
              <w:spacing w:after="0"/>
              <w:rPr>
                <w:sz w:val="20"/>
                <w:szCs w:val="20"/>
                <w:color w:val="auto"/>
              </w:rPr>
            </w:pPr>
            <w:r>
              <w:rPr>
                <w:rFonts w:ascii="Arial" w:cs="Arial" w:eastAsia="Arial" w:hAnsi="Arial"/>
                <w:sz w:val="18"/>
                <w:szCs w:val="18"/>
                <w:color w:val="auto"/>
                <w:w w:val="92"/>
              </w:rPr>
              <w:t>Amounts due to (from) founding members at January 1, 2009 were comprised of the following (in millions):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1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AMC</w:t>
            </w:r>
          </w:p>
        </w:tc>
        <w:tc>
          <w:tcPr>
            <w:tcW w:w="3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Cinemark</w:t>
            </w:r>
          </w:p>
        </w:tc>
        <w:tc>
          <w:tcPr>
            <w:tcW w:w="2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Regal</w:t>
            </w:r>
          </w:p>
        </w:tc>
        <w:tc>
          <w:tcPr>
            <w:tcW w:w="480" w:type="dxa"/>
            <w:vAlign w:val="bottom"/>
            <w:gridSpan w:val="2"/>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$ 0.7</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$ 0.6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(0.5)</w:t>
            </w:r>
          </w:p>
        </w:tc>
        <w:tc>
          <w:tcPr>
            <w:tcW w:w="1080" w:type="dxa"/>
            <w:vAlign w:val="bottom"/>
            <w:gridSpan w:val="5"/>
          </w:tcPr>
          <w:p>
            <w:pPr>
              <w:jc w:val="right"/>
              <w:ind w:right="420"/>
              <w:spacing w:after="0"/>
              <w:rPr>
                <w:sz w:val="20"/>
                <w:szCs w:val="20"/>
                <w:color w:val="auto"/>
              </w:rPr>
            </w:pPr>
            <w:r>
              <w:rPr>
                <w:rFonts w:ascii="Arial" w:cs="Arial" w:eastAsia="Arial" w:hAnsi="Arial"/>
                <w:sz w:val="18"/>
                <w:szCs w:val="18"/>
                <w:color w:val="auto"/>
              </w:rPr>
              <w:t>(0.6)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4"/>
              </w:rPr>
              <w:t>$ 7.7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quarter ended July 2, 2009, the six months ended July 2, 2009, the quarter ended June 26, 2008 and the six months ended June 26, 2008, AMC, Cinemark and Regal purchased $0.5 million, $0.8 million, $0.5 million and $0.8 million, respectively, of NCM LLC’s advertising inventory for their own use. The value of such purchases are calculated by reference to NCM LLC’s advertising rate card and is included in advertising revenue.</w:t>
      </w:r>
    </w:p>
    <w:p>
      <w:pPr>
        <w:spacing w:after="0" w:line="107"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Included in Meetings and Events operating costs is $0.1 million, $0.2 million, $1.0 million and $1.2 million for the quarter ended July 2, 2009, the six months ended July 2, 2009, the quarter ended June 26, 2008 and the six months ended June 26, 2008, respectively, related to purchases of movie tickets and concession products from the founding members primarily for marketing resale to NCM LLC’s customers.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IdeaCast/Danoo –</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NCM LLC and IdeaCast, Inc. (“IdeaCast”) entered into a shared services agreement, which allowed for cross-marketing and certain services to be provided between the companies at rates, which were determined on an arms length basis. The services provided by or to IdeaCast for the quarter ended July 2, 2009, the six months ended July 2, 2009, the quarter ended June 26, 2008 and the six months ended June 26, 2008 were not material to NCM. On June 29, 2009, NCM LLC and Danoo, Inc. (“Danoo”) entered into a shared services agreement (including NCM’s access to Danoo advertising on a space available basis), which replaced the agreement with IdeaCast. The services provided by or to Danoo for the quarter and six months ended July 2, 2009 were not material to NCM.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BORROWINGS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outstanding balance of the term loan facility at July 2, 2009 was $725.0 million. The outstanding balance under the revolving credit facility at July 2, 2009 was $74.0 million. As of July 2, 2009, the effective rate on the term loan was 5.68% including the effect of the interest rate swaps (both those accounted for as hedges and those that are not). The interest rate swaps hedged $550.0 million of the $725.0 million term loan at a fixed interest rate of 6.734% while the unhedged portion was at an interest rate of 2.38%. The weighted-average interest rate on the unhedged revolver was 2.07%. Commencing with the fourth fiscal quarter in fiscal year 2008, the applicable margin for the revolving credit facility is determined quarterly and is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July 2, 2009, including the consolidated net senior secured leverage ratio. As of July 2, 2009, our consolidated net senior secured leverage ratio was 3.8 times versus a covenant of 7.0 times. The debt covenants also require 50% of the term loan,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$362.5 million to be hedged at a fixed rate. As of July 2, 2009, the Company had approximately $550.0 million, or 76% hedged ($412.5 million, or 57% without considering the Lehman Brothers Special Financing (“LBSF”), a subsidiary of Lehman Brothers Holdings, Inc. (“Lehman”), portion of the hedge). Of the $550.0 million that is economically hedged, $137.5 million is with LBSF. See Note 6 for an additional discussion of the interest rate swaps.</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September 15, 2008,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July 2, 2009, NCM LLC has borrowed $14.0 million from LCPI under the revolving credit facility. Following the bankruptcy filing, LCPI failed to fund a borrowing request related to its undrawn commitment of $6.0 million. NCM LLC does not anticipate LCPI will fulfill its funding commitment; however this $6.0 million of liquidity is not expected to be required by the Company to operate its business. Until the LCPI issues are resolved, NCM LLC is not anticipating repaying any of its revolver borrowings as it would effectively result in a permanent reduction of its revolving credit facility, to the extent of the LCPI commitments. In addition, while the bankruptcy court has authorized LCPI to resign as the administrative agent under the revolving credit facility, to the Company’s knowledge they have not yet resigned.</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March 19, 2009, the Company gave a note payable to Credit Suisse, Cayman Islands Branch (“Credit Suisse”) with no stated interest to settle the $10 million contingent put obligation (see Note 4) and to acquire the $20.7 million outstanding principal balance of debt of IdeaCast (together with all accrued interest and other lender costs required to be reimbursed by IdeaCast). Quarterly payments to Credit Suisse began on April 15, 2009 and will continue through</w:t>
      </w:r>
    </w:p>
    <w:p>
      <w:pPr>
        <w:spacing w:after="0" w:line="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January 15, 2011. The Company recorded the note at a present value of $7.0 million, of which $4.0 million was recorded as the current portion. Interest on the note will be accreted at the Company’s estimated incremental cost of debt based on then current market indicators over the term of the loan to interest expense. See Note 4 “—Contingent Put Obligation” for additional discussion of the IdeaCast restructuring.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Put Obligation</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The put was accounted for under FIN No. 45 (as amended), </w:t>
      </w:r>
      <w:r>
        <w:rPr>
          <w:rFonts w:ascii="Arial" w:cs="Arial" w:eastAsia="Arial" w:hAnsi="Arial"/>
          <w:sz w:val="16"/>
          <w:szCs w:val="16"/>
          <w:i w:val="1"/>
          <w:iCs w:val="1"/>
          <w:color w:val="auto"/>
        </w:rPr>
        <w:t>Guarantor’s Accounting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for Guarantees, Including Indirect Guarantees of Indebtedness of Others. </w:t>
      </w:r>
      <w:r>
        <w:rPr>
          <w:rFonts w:ascii="Arial" w:cs="Arial" w:eastAsia="Arial" w:hAnsi="Arial"/>
          <w:sz w:val="16"/>
          <w:szCs w:val="16"/>
          <w:color w:val="auto"/>
        </w:rPr>
        <w:t>During the fourth quarter of 2008, the Company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a reasonably estimated probable loss on the put (net of estimated recoveries from the net assets of IdeaCast that serve as collateral for the convertible debt) obligation over the unamortized FIN 45 liability. As discussed in Note 3, on March 19, 2009, NCM LLC, IdeaCast and IdeaCast’s lender agreed to certain transactions with respect to the IdeaCast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non-interest bearing promissory note in the amount of $8.5 million payable through January 2011. On June 16, 2009, NCM LLC’s interest in the Credit Agreement was assigned to NCM out-of-Home, LLC (“OOH”), which was a wholly-owned subsidiary of NCM LLC. OOH was also appointed as administrative agent and collateral agent under the Credit Agreement. On June 16, 2009, OOH, as IdeaCast’s senior secured lender, foreclosed on substantially all of the assets of IdeaCast, consisting of certain tangible and intangible assets (primarily equipment, business processes and contracts with health clubs and programming partners). The assets were valued at $5.5 million. On June 29, 2009, NCM LLC transferred its ownership interest in OOH to Danoo, Inc., a digital advertising company, in exchange for approximately 27% of the equity of Danoo, Inc. on a fully diluted basis through a combination of convertible preferred stock, common stock and common stock warrants (refer to Note 1-Equity Method Investments). The Company’s investment in Danoo was valued at the fair value of the assets contributed.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Minimum Revenue Guarantees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part of the network affiliate agreements entered in the ordinary course of business, the Company has agreed to certain minimum revenue guarantees. If an affiliate achieves the attendance set forth in their respective agreement, the Company has guaranteed minimum revenue for the network affiliate per attendee. The amount and term varies for each network affiliate. The maximum potential amount of future payments the Company could be required to make pursuant to the minimum revenue guarantees is $20.8 million over the remaining terms of the network affiliate agreements. The Company has no liabilities recorded for these obligations as of July 2, 2009 as the impact is immaterial.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During 2008, NCM LLC issued 2,544,949 common membership units to its founding members in connection with its rights of exclusive access to net new theatre screens and projected attendees added by the founding members to NCM LLC’s network and 2,913,754 common membership units to Regal in connection with the closing of its acquisition of Consolidated Theatres. The Company recorded an intangible asset of $116.1 million representing the contractual rights over the remaining terms of the ESAs. The Company based the fair value of the intangible asset on the fair value of the common membership units issued on the date of grant. The number of units issued to Regal assumed that NCM LLC would have immediate access to the Regal Consolidated Theatres for sales of advertising. However, Regal Consolidated Theatres has a pre-existing advertising agreement. Accordingly, Regal makes cash “integration payments” to NCM LLC (see Note</w:t>
      </w:r>
    </w:p>
    <w:p>
      <w:pPr>
        <w:spacing w:after="0" w:line="1" w:lineRule="exact"/>
        <w:rPr>
          <w:sz w:val="20"/>
          <w:szCs w:val="20"/>
          <w:color w:val="auto"/>
        </w:rPr>
      </w:pPr>
    </w:p>
    <w:p>
      <w:pPr>
        <w:ind w:right="60" w:firstLine="8"/>
        <w:spacing w:after="0" w:line="323" w:lineRule="auto"/>
        <w:tabs>
          <w:tab w:leader="none" w:pos="190" w:val="left"/>
        </w:tabs>
        <w:numPr>
          <w:ilvl w:val="0"/>
          <w:numId w:val="2"/>
        </w:numPr>
        <w:rPr>
          <w:rFonts w:ascii="Arial" w:cs="Arial" w:eastAsia="Arial" w:hAnsi="Arial"/>
          <w:sz w:val="16"/>
          <w:szCs w:val="16"/>
          <w:color w:val="auto"/>
        </w:rPr>
      </w:pPr>
      <w:r>
        <w:rPr>
          <w:rFonts w:ascii="Arial" w:cs="Arial" w:eastAsia="Arial" w:hAnsi="Arial"/>
          <w:sz w:val="16"/>
          <w:szCs w:val="16"/>
          <w:color w:val="auto"/>
        </w:rPr>
        <w:t>which will continue through January 2011 until NCM is able to sell advertising on an exclusive basis in these theatres, which are recorded as a reduction of the intangible asset. As of July 2, 2009 and January 1, 2009, $3.8 million and $2.8 million has been applied to the intangible asset, respectively.</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first quarter of 2009, NCM LLC issued 2,126,104 common membership units to its founding members in exchange for the rights to exclusive access to net new theatre screens and projected attendees added by the founding members to NCM LLC’s network. As a result, NCM LLC recorded an intangible asset at fair value of $28.5 million.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Pursuant to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intangible asset has a finite useful life and the Company began to amortize the asset in 2008 and 2009 over the remaining useful life corresponding with the ESAs. Amortization of the asset related to Regal Consolidated Theatres will not begin until after January 2011 since the Company will not have access to on-screen advertising in the Regal Consolidated Theatres until the run-out of their existing on– screen advertising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DERIVATIVE INSTRUMENTS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—The fair values of the Company’s assets and liabilities measured on a recurring basis pursuant to Statement of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80" w:type="dxa"/>
            <w:vAlign w:val="bottom"/>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61"/>
        </w:trPr>
        <w:tc>
          <w:tcPr>
            <w:tcW w:w="48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680" w:type="dxa"/>
            <w:vAlign w:val="bottom"/>
          </w:tcPr>
          <w:p>
            <w:pPr>
              <w:spacing w:after="0"/>
              <w:rPr>
                <w:sz w:val="14"/>
                <w:szCs w:val="14"/>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Inputs (Level 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Inputs (Level 3)</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5</w:t>
            </w:r>
          </w:p>
        </w:tc>
        <w:tc>
          <w:tcPr>
            <w:tcW w:w="66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59.5</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15, 2008, Lehman filed for protection under Chapter 11 of the federal Bankruptcy Code in the United States Bankruptcy Court for the Southern District of New York. LBSF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On October 3, 2008, LBSF also filed for Chapter 11 protection, which constituted another default by LBSF under the swap. As a result, as permitted under the terms of NCM LLC’s swap agreement with LBSF, the Company has withheld interest rate swap payments aggregating $3.9 million that were due to LBSF, and has further notified LBSF that the bankruptcy and insolvency of both Lehman and LBSF constitute default events under the swap. As of July 2, 2009 the interest rate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swap agreement had not been terminated but was considered “ineffective” for accounting purposes. To the Company’s knowledge, LBSF has neither communicated its intent, nor has it taken any action in bankruptcy court, to assume or reject its swap agreement with NCM LLC. In addition, while the bankruptcy court has authorized LBSF to assign certain of its hedges that have not been terminated under certain circumstances, we have not received any notice that Lehman has assigned, its swap agreement with NCM LLC. As of July 2, 2009, NCM LLC’s interest rate swaps liability was $59.5 million, of which $14.9 million is related to the LBSF swap.</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July 2, 2009 and June 26, 2008. There were no amounts reclassified into current earnings due to ineffectiveness during the periods presented other than as described below.</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Cash flow hedge accounting was discontinued on September 15, 2008 for the swap with LBSF due to the event of default and the inability of the Company to continue to demonstrate the swap would be effective. The Company continues to record the interest rate swap with LBSF at fair value with any change in the fair value recorded in the statement of operations. During the quarter ended July 2, 2009, there was a $4.8 million decrease in the fair value of the liability and the Company recorded an offsetting credit to interest expense. Since September 14, 2008, the net derivative loss as of that date related to the discontinued cash flow hedge with LBSF continues to be reported in accumulated other comprehensive income and is being amortized to interest expense over the remaining term of the interest rate swap through February 13, 2015. The amount amortized during the quarter and six months ended July 2, 2009 was $0.3 million and $0.6 million, respectively. The Company estimates approximately $1.3 million will be amortized to interest expense in the next 12 months.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July 2, 2009 and January 1, 2009, the estimated fair value and line item caption of derivative instruments recorded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Liability Derivatives</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2460" w:type="dxa"/>
            <w:vAlign w:val="bottom"/>
            <w:gridSpan w:val="4"/>
          </w:tcPr>
          <w:p>
            <w:pPr>
              <w:ind w:left="560"/>
              <w:spacing w:after="0" w:line="142" w:lineRule="exact"/>
              <w:rPr>
                <w:sz w:val="20"/>
                <w:szCs w:val="20"/>
                <w:color w:val="auto"/>
              </w:rPr>
            </w:pPr>
            <w:r>
              <w:rPr>
                <w:rFonts w:ascii="Arial" w:cs="Arial" w:eastAsia="Arial" w:hAnsi="Arial"/>
                <w:sz w:val="14"/>
                <w:szCs w:val="14"/>
                <w:b w:val="1"/>
                <w:bCs w:val="1"/>
                <w:color w:val="auto"/>
              </w:rPr>
              <w:t>As of July 2, 2009</w:t>
            </w:r>
          </w:p>
        </w:tc>
        <w:tc>
          <w:tcPr>
            <w:tcW w:w="2100" w:type="dxa"/>
            <w:vAlign w:val="bottom"/>
            <w:gridSpan w:val="3"/>
          </w:tcPr>
          <w:p>
            <w:pPr>
              <w:jc w:val="right"/>
              <w:ind w:right="352"/>
              <w:spacing w:after="0" w:line="142" w:lineRule="exact"/>
              <w:rPr>
                <w:sz w:val="20"/>
                <w:szCs w:val="20"/>
                <w:color w:val="auto"/>
              </w:rPr>
            </w:pPr>
            <w:r>
              <w:rPr>
                <w:rFonts w:ascii="Arial" w:cs="Arial" w:eastAsia="Arial" w:hAnsi="Arial"/>
                <w:sz w:val="14"/>
                <w:szCs w:val="14"/>
                <w:b w:val="1"/>
                <w:bCs w:val="1"/>
                <w:color w:val="auto"/>
              </w:rPr>
              <w:t>As of January 1, 2009</w:t>
            </w:r>
          </w:p>
        </w:tc>
        <w:tc>
          <w:tcPr>
            <w:tcW w:w="20" w:type="dxa"/>
            <w:vAlign w:val="bottom"/>
          </w:tcPr>
          <w:p>
            <w:pPr>
              <w:spacing w:after="0"/>
              <w:rPr>
                <w:sz w:val="12"/>
                <w:szCs w:val="12"/>
                <w:color w:val="auto"/>
              </w:rPr>
            </w:pPr>
          </w:p>
        </w:tc>
      </w:tr>
      <w:tr>
        <w:trPr>
          <w:trHeight w:val="129"/>
        </w:trPr>
        <w:tc>
          <w:tcPr>
            <w:tcW w:w="6860" w:type="dxa"/>
            <w:vAlign w:val="bottom"/>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68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Fair Value</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686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Other Liabilities</w:t>
            </w:r>
          </w:p>
        </w:tc>
        <w:tc>
          <w:tcPr>
            <w:tcW w:w="1280" w:type="dxa"/>
            <w:vAlign w:val="bottom"/>
            <w:gridSpan w:val="3"/>
          </w:tcPr>
          <w:p>
            <w:pPr>
              <w:ind w:left="320"/>
              <w:spacing w:after="0"/>
              <w:rPr>
                <w:sz w:val="20"/>
                <w:szCs w:val="20"/>
                <w:color w:val="auto"/>
              </w:rPr>
            </w:pPr>
            <w:r>
              <w:rPr>
                <w:rFonts w:ascii="Arial" w:cs="Arial" w:eastAsia="Arial" w:hAnsi="Arial"/>
                <w:sz w:val="18"/>
                <w:szCs w:val="18"/>
                <w:color w:val="auto"/>
              </w:rPr>
              <w:t>$   59.5</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Other Liabilities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87.7</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unaudited condensed consolidated financial statements for the quarter and six months ended July 2, 2009 and June 26, 2008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Location of Gain</w:t>
            </w:r>
          </w:p>
        </w:tc>
        <w:tc>
          <w:tcPr>
            <w:tcW w:w="100" w:type="dxa"/>
            <w:vAlign w:val="bottom"/>
          </w:tcPr>
          <w:p>
            <w:pPr>
              <w:spacing w:after="0"/>
              <w:rPr>
                <w:sz w:val="14"/>
                <w:szCs w:val="14"/>
                <w:color w:val="auto"/>
              </w:rPr>
            </w:pPr>
          </w:p>
        </w:tc>
        <w:tc>
          <w:tcPr>
            <w:tcW w:w="1660" w:type="dxa"/>
            <w:vAlign w:val="bottom"/>
            <w:gridSpan w:val="3"/>
          </w:tcPr>
          <w:p>
            <w:pPr>
              <w:jc w:val="center"/>
              <w:ind w:right="27"/>
              <w:spacing w:after="0"/>
              <w:rPr>
                <w:sz w:val="20"/>
                <w:szCs w:val="20"/>
                <w:color w:val="auto"/>
              </w:rPr>
            </w:pPr>
            <w:r>
              <w:rPr>
                <w:rFonts w:ascii="Arial" w:cs="Arial" w:eastAsia="Arial" w:hAnsi="Arial"/>
                <w:sz w:val="14"/>
                <w:szCs w:val="14"/>
                <w:b w:val="1"/>
                <w:bCs w:val="1"/>
                <w:color w:val="auto"/>
                <w:w w:val="90"/>
              </w:rPr>
              <w:t>Amt. of Gain or</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or (Loss)</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(Loss) Recognized in</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50"/>
              <w:spacing w:after="0" w:line="149" w:lineRule="exact"/>
              <w:rPr>
                <w:sz w:val="20"/>
                <w:szCs w:val="20"/>
                <w:color w:val="auto"/>
              </w:rPr>
            </w:pPr>
            <w:r>
              <w:rPr>
                <w:rFonts w:ascii="Arial" w:cs="Arial" w:eastAsia="Arial" w:hAnsi="Arial"/>
                <w:sz w:val="14"/>
                <w:szCs w:val="14"/>
                <w:b w:val="1"/>
                <w:bCs w:val="1"/>
                <w:color w:val="auto"/>
                <w:w w:val="88"/>
              </w:rPr>
              <w:t>Amt. of Gain or</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8"/>
              </w:rPr>
              <w:t>Amt. of Gain or</w:t>
            </w: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Income on Derivative</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50"/>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 on</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(Ineffective Portion</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50"/>
              <w:spacing w:after="0" w:line="149" w:lineRule="exact"/>
              <w:rPr>
                <w:sz w:val="20"/>
                <w:szCs w:val="20"/>
                <w:color w:val="auto"/>
              </w:rPr>
            </w:pPr>
            <w:r>
              <w:rPr>
                <w:rFonts w:ascii="Arial" w:cs="Arial" w:eastAsia="Arial" w:hAnsi="Arial"/>
                <w:sz w:val="14"/>
                <w:szCs w:val="14"/>
                <w:b w:val="1"/>
                <w:bCs w:val="1"/>
                <w:color w:val="auto"/>
                <w:w w:val="93"/>
              </w:rPr>
              <w:t>in OCI on</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92"/>
              </w:rPr>
              <w:t>from Accum. OCI</w:t>
            </w: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2"/>
                <w:szCs w:val="12"/>
                <w:color w:val="auto"/>
              </w:rPr>
            </w:pPr>
          </w:p>
        </w:tc>
        <w:tc>
          <w:tcPr>
            <w:tcW w:w="166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7"/>
              </w:rPr>
              <w:t>and Amt. Excluded</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30"/>
              <w:spacing w:after="0" w:line="149" w:lineRule="exact"/>
              <w:rPr>
                <w:sz w:val="20"/>
                <w:szCs w:val="20"/>
                <w:color w:val="auto"/>
              </w:rPr>
            </w:pPr>
            <w:r>
              <w:rPr>
                <w:rFonts w:ascii="Arial" w:cs="Arial" w:eastAsia="Arial" w:hAnsi="Arial"/>
                <w:sz w:val="14"/>
                <w:szCs w:val="14"/>
                <w:b w:val="1"/>
                <w:bCs w:val="1"/>
                <w:color w:val="auto"/>
                <w:w w:val="89"/>
              </w:rPr>
              <w:t>Derivative</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or (Loss)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9"/>
              </w:rPr>
              <w:t>into Income</w:t>
            </w:r>
          </w:p>
        </w:tc>
        <w:tc>
          <w:tcPr>
            <w:tcW w:w="34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100" w:type="dxa"/>
            <w:vAlign w:val="bottom"/>
          </w:tcPr>
          <w:p>
            <w:pPr>
              <w:spacing w:after="0"/>
              <w:rPr>
                <w:sz w:val="12"/>
                <w:szCs w:val="12"/>
                <w:color w:val="auto"/>
              </w:rPr>
            </w:pPr>
          </w:p>
        </w:tc>
        <w:tc>
          <w:tcPr>
            <w:tcW w:w="166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4"/>
              </w:rPr>
              <w:t>from Effectiveness</w:t>
            </w:r>
          </w:p>
        </w:tc>
      </w:tr>
      <w:tr>
        <w:trPr>
          <w:trHeight w:val="161"/>
        </w:trPr>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4"/>
                <w:szCs w:val="14"/>
                <w:b w:val="1"/>
                <w:bCs w:val="1"/>
                <w:color w:val="auto"/>
                <w:w w:val="87"/>
              </w:rPr>
              <w:t>(Effective Portion)</w:t>
            </w:r>
          </w:p>
        </w:tc>
        <w:tc>
          <w:tcPr>
            <w:tcW w:w="3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Reclassified from</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7"/>
              <w:spacing w:after="0"/>
              <w:rPr>
                <w:sz w:val="20"/>
                <w:szCs w:val="20"/>
                <w:color w:val="auto"/>
              </w:rPr>
            </w:pPr>
            <w:r>
              <w:rPr>
                <w:rFonts w:ascii="Arial" w:cs="Arial" w:eastAsia="Arial" w:hAnsi="Arial"/>
                <w:sz w:val="14"/>
                <w:szCs w:val="14"/>
                <w:b w:val="1"/>
                <w:bCs w:val="1"/>
                <w:color w:val="auto"/>
                <w:w w:val="87"/>
              </w:rPr>
              <w:t>(Effective Portion)</w:t>
            </w:r>
          </w:p>
        </w:tc>
        <w:tc>
          <w:tcPr>
            <w:tcW w:w="3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Portion and Amt.</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47"/>
              <w:spacing w:after="0"/>
              <w:rPr>
                <w:sz w:val="20"/>
                <w:szCs w:val="20"/>
                <w:color w:val="auto"/>
              </w:rPr>
            </w:pPr>
            <w:r>
              <w:rPr>
                <w:rFonts w:ascii="Arial" w:cs="Arial" w:eastAsia="Arial" w:hAnsi="Arial"/>
                <w:sz w:val="14"/>
                <w:szCs w:val="14"/>
                <w:b w:val="1"/>
                <w:bCs w:val="1"/>
                <w:color w:val="auto"/>
                <w:w w:val="84"/>
              </w:rPr>
              <w:t>Testing)</w:t>
            </w:r>
          </w:p>
        </w:tc>
      </w:tr>
      <w:tr>
        <w:trPr>
          <w:trHeight w:val="129"/>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50"/>
              <w:spacing w:after="0" w:line="129" w:lineRule="exact"/>
              <w:rPr>
                <w:sz w:val="20"/>
                <w:szCs w:val="20"/>
                <w:color w:val="auto"/>
              </w:rPr>
            </w:pPr>
            <w:r>
              <w:rPr>
                <w:rFonts w:ascii="Arial" w:cs="Arial" w:eastAsia="Arial" w:hAnsi="Arial"/>
                <w:sz w:val="14"/>
                <w:szCs w:val="14"/>
                <w:b w:val="1"/>
                <w:bCs w:val="1"/>
                <w:color w:val="auto"/>
                <w:w w:val="96"/>
              </w:rPr>
              <w:t>Qtr.</w:t>
            </w:r>
          </w:p>
        </w:tc>
        <w:tc>
          <w:tcPr>
            <w:tcW w:w="3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6"/>
              </w:rPr>
              <w:t>Qtr.</w:t>
            </w:r>
          </w:p>
        </w:tc>
        <w:tc>
          <w:tcPr>
            <w:tcW w:w="440" w:type="dxa"/>
            <w:vAlign w:val="bottom"/>
          </w:tcPr>
          <w:p>
            <w:pPr>
              <w:spacing w:after="0"/>
              <w:rPr>
                <w:sz w:val="11"/>
                <w:szCs w:val="11"/>
                <w:color w:val="auto"/>
              </w:rPr>
            </w:pPr>
          </w:p>
        </w:tc>
        <w:tc>
          <w:tcPr>
            <w:tcW w:w="13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Accum. OCI into</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Qtr.</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Qtr.</w:t>
            </w:r>
          </w:p>
        </w:tc>
        <w:tc>
          <w:tcPr>
            <w:tcW w:w="340" w:type="dxa"/>
            <w:vAlign w:val="bottom"/>
          </w:tcPr>
          <w:p>
            <w:pPr>
              <w:spacing w:after="0"/>
              <w:rPr>
                <w:sz w:val="11"/>
                <w:szCs w:val="11"/>
                <w:color w:val="auto"/>
              </w:rPr>
            </w:pPr>
          </w:p>
        </w:tc>
        <w:tc>
          <w:tcPr>
            <w:tcW w:w="15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Excluded from</w:t>
            </w:r>
          </w:p>
        </w:tc>
        <w:tc>
          <w:tcPr>
            <w:tcW w:w="100" w:type="dxa"/>
            <w:vAlign w:val="bottom"/>
          </w:tcPr>
          <w:p>
            <w:pPr>
              <w:spacing w:after="0"/>
              <w:rPr>
                <w:sz w:val="11"/>
                <w:szCs w:val="11"/>
                <w:color w:val="auto"/>
              </w:rPr>
            </w:pPr>
          </w:p>
        </w:tc>
        <w:tc>
          <w:tcPr>
            <w:tcW w:w="9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6"/>
              </w:rPr>
              <w:t>Qtr.</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Qtr.</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2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 2, 2009</w:t>
            </w:r>
          </w:p>
        </w:tc>
        <w:tc>
          <w:tcPr>
            <w:tcW w:w="3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 26, 2008</w:t>
            </w:r>
          </w:p>
        </w:tc>
        <w:tc>
          <w:tcPr>
            <w:tcW w:w="4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Jul. 2, 2009</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 26, 2008</w:t>
            </w:r>
          </w:p>
        </w:tc>
        <w:tc>
          <w:tcPr>
            <w:tcW w:w="3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Testing)</w:t>
            </w:r>
          </w:p>
        </w:tc>
        <w:tc>
          <w:tcPr>
            <w:tcW w:w="3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 2, 2009</w:t>
            </w:r>
          </w:p>
        </w:tc>
        <w:tc>
          <w:tcPr>
            <w:tcW w:w="3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 26, 2008</w:t>
            </w: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23.9</w:t>
            </w:r>
          </w:p>
        </w:tc>
        <w:tc>
          <w:tcPr>
            <w:tcW w:w="1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Interest Expense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5"/>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352"/>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Location of Gain</w:t>
            </w:r>
          </w:p>
        </w:tc>
        <w:tc>
          <w:tcPr>
            <w:tcW w:w="100" w:type="dxa"/>
            <w:vAlign w:val="bottom"/>
          </w:tcPr>
          <w:p>
            <w:pPr>
              <w:spacing w:after="0"/>
              <w:rPr>
                <w:sz w:val="24"/>
                <w:szCs w:val="24"/>
                <w:color w:val="auto"/>
              </w:rPr>
            </w:pPr>
          </w:p>
        </w:tc>
        <w:tc>
          <w:tcPr>
            <w:tcW w:w="1660" w:type="dxa"/>
            <w:vAlign w:val="bottom"/>
            <w:gridSpan w:val="3"/>
          </w:tcPr>
          <w:p>
            <w:pPr>
              <w:jc w:val="center"/>
              <w:ind w:right="27"/>
              <w:spacing w:after="0"/>
              <w:rPr>
                <w:sz w:val="20"/>
                <w:szCs w:val="20"/>
                <w:color w:val="auto"/>
              </w:rPr>
            </w:pPr>
            <w:r>
              <w:rPr>
                <w:rFonts w:ascii="Arial" w:cs="Arial" w:eastAsia="Arial" w:hAnsi="Arial"/>
                <w:sz w:val="14"/>
                <w:szCs w:val="14"/>
                <w:b w:val="1"/>
                <w:bCs w:val="1"/>
                <w:color w:val="auto"/>
                <w:w w:val="90"/>
              </w:rPr>
              <w:t>Amt. of Gain or</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(Loss)</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(Loss) Recognized in</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50"/>
              <w:spacing w:after="0" w:line="149" w:lineRule="exact"/>
              <w:rPr>
                <w:sz w:val="20"/>
                <w:szCs w:val="20"/>
                <w:color w:val="auto"/>
              </w:rPr>
            </w:pPr>
            <w:r>
              <w:rPr>
                <w:rFonts w:ascii="Arial" w:cs="Arial" w:eastAsia="Arial" w:hAnsi="Arial"/>
                <w:sz w:val="14"/>
                <w:szCs w:val="14"/>
                <w:b w:val="1"/>
                <w:bCs w:val="1"/>
                <w:color w:val="auto"/>
                <w:w w:val="88"/>
              </w:rPr>
              <w:t>Amt. of Gain or</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8"/>
              </w:rPr>
              <w:t>Amt. of Gain or</w:t>
            </w: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Income on Derivative</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50"/>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5"/>
              </w:rPr>
              <w:t>(Loss) Recognized</w:t>
            </w: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 on</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(Ineffective Portion</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50"/>
              <w:spacing w:after="0" w:line="149" w:lineRule="exact"/>
              <w:rPr>
                <w:sz w:val="20"/>
                <w:szCs w:val="20"/>
                <w:color w:val="auto"/>
              </w:rPr>
            </w:pPr>
            <w:r>
              <w:rPr>
                <w:rFonts w:ascii="Arial" w:cs="Arial" w:eastAsia="Arial" w:hAnsi="Arial"/>
                <w:sz w:val="14"/>
                <w:szCs w:val="14"/>
                <w:b w:val="1"/>
                <w:bCs w:val="1"/>
                <w:color w:val="auto"/>
                <w:w w:val="93"/>
              </w:rPr>
              <w:t>in OCI on</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92"/>
              </w:rPr>
              <w:t>from Accum. OCI</w:t>
            </w:r>
          </w:p>
        </w:tc>
        <w:tc>
          <w:tcPr>
            <w:tcW w:w="3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2"/>
                <w:szCs w:val="12"/>
                <w:color w:val="auto"/>
              </w:rPr>
            </w:pPr>
          </w:p>
        </w:tc>
        <w:tc>
          <w:tcPr>
            <w:tcW w:w="1660" w:type="dxa"/>
            <w:vAlign w:val="bottom"/>
            <w:gridSpan w:val="3"/>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and Amt. Excluded</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left="130"/>
              <w:spacing w:after="0" w:line="149" w:lineRule="exact"/>
              <w:rPr>
                <w:sz w:val="20"/>
                <w:szCs w:val="20"/>
                <w:color w:val="auto"/>
              </w:rPr>
            </w:pPr>
            <w:r>
              <w:rPr>
                <w:rFonts w:ascii="Arial" w:cs="Arial" w:eastAsia="Arial" w:hAnsi="Arial"/>
                <w:sz w:val="14"/>
                <w:szCs w:val="14"/>
                <w:b w:val="1"/>
                <w:bCs w:val="1"/>
                <w:color w:val="auto"/>
                <w:w w:val="89"/>
              </w:rPr>
              <w:t>Derivative</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or (Loss)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9"/>
              </w:rPr>
              <w:t>into Income</w:t>
            </w:r>
          </w:p>
        </w:tc>
        <w:tc>
          <w:tcPr>
            <w:tcW w:w="34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100" w:type="dxa"/>
            <w:vAlign w:val="bottom"/>
          </w:tcPr>
          <w:p>
            <w:pPr>
              <w:spacing w:after="0"/>
              <w:rPr>
                <w:sz w:val="12"/>
                <w:szCs w:val="12"/>
                <w:color w:val="auto"/>
              </w:rPr>
            </w:pPr>
          </w:p>
        </w:tc>
        <w:tc>
          <w:tcPr>
            <w:tcW w:w="1660" w:type="dxa"/>
            <w:vAlign w:val="bottom"/>
            <w:gridSpan w:val="3"/>
          </w:tcPr>
          <w:p>
            <w:pPr>
              <w:jc w:val="center"/>
              <w:ind w:right="47"/>
              <w:spacing w:after="0" w:line="149" w:lineRule="exact"/>
              <w:rPr>
                <w:sz w:val="20"/>
                <w:szCs w:val="20"/>
                <w:color w:val="auto"/>
              </w:rPr>
            </w:pPr>
            <w:r>
              <w:rPr>
                <w:rFonts w:ascii="Arial" w:cs="Arial" w:eastAsia="Arial" w:hAnsi="Arial"/>
                <w:sz w:val="14"/>
                <w:szCs w:val="14"/>
                <w:b w:val="1"/>
                <w:bCs w:val="1"/>
                <w:color w:val="auto"/>
                <w:w w:val="84"/>
              </w:rPr>
              <w:t>from Effectiveness</w:t>
            </w:r>
          </w:p>
        </w:tc>
      </w:tr>
      <w:tr>
        <w:trPr>
          <w:trHeight w:val="161"/>
        </w:trPr>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4"/>
                <w:szCs w:val="14"/>
                <w:b w:val="1"/>
                <w:bCs w:val="1"/>
                <w:color w:val="auto"/>
                <w:w w:val="87"/>
              </w:rPr>
              <w:t>(Effective Portion)</w:t>
            </w:r>
          </w:p>
        </w:tc>
        <w:tc>
          <w:tcPr>
            <w:tcW w:w="3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Reclassified from</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7"/>
              <w:spacing w:after="0"/>
              <w:rPr>
                <w:sz w:val="20"/>
                <w:szCs w:val="20"/>
                <w:color w:val="auto"/>
              </w:rPr>
            </w:pPr>
            <w:r>
              <w:rPr>
                <w:rFonts w:ascii="Arial" w:cs="Arial" w:eastAsia="Arial" w:hAnsi="Arial"/>
                <w:sz w:val="14"/>
                <w:szCs w:val="14"/>
                <w:b w:val="1"/>
                <w:bCs w:val="1"/>
                <w:color w:val="auto"/>
                <w:w w:val="87"/>
              </w:rPr>
              <w:t>(Effective Portion)</w:t>
            </w:r>
          </w:p>
        </w:tc>
        <w:tc>
          <w:tcPr>
            <w:tcW w:w="34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Portion and Amt.</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47"/>
              <w:spacing w:after="0"/>
              <w:rPr>
                <w:sz w:val="20"/>
                <w:szCs w:val="20"/>
                <w:color w:val="auto"/>
              </w:rPr>
            </w:pPr>
            <w:r>
              <w:rPr>
                <w:rFonts w:ascii="Arial" w:cs="Arial" w:eastAsia="Arial" w:hAnsi="Arial"/>
                <w:sz w:val="14"/>
                <w:szCs w:val="14"/>
                <w:b w:val="1"/>
                <w:bCs w:val="1"/>
                <w:color w:val="auto"/>
                <w:w w:val="84"/>
              </w:rPr>
              <w:t>Testing)</w:t>
            </w:r>
          </w:p>
        </w:tc>
      </w:tr>
      <w:tr>
        <w:trPr>
          <w:trHeight w:val="129"/>
        </w:trPr>
        <w:tc>
          <w:tcPr>
            <w:tcW w:w="22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3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440" w:type="dxa"/>
            <w:vAlign w:val="bottom"/>
          </w:tcPr>
          <w:p>
            <w:pPr>
              <w:spacing w:after="0"/>
              <w:rPr>
                <w:sz w:val="11"/>
                <w:szCs w:val="11"/>
                <w:color w:val="auto"/>
              </w:rPr>
            </w:pPr>
          </w:p>
        </w:tc>
        <w:tc>
          <w:tcPr>
            <w:tcW w:w="13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Accum. OCI into</w:t>
            </w:r>
          </w:p>
        </w:tc>
        <w:tc>
          <w:tcPr>
            <w:tcW w:w="160" w:type="dxa"/>
            <w:vAlign w:val="bottom"/>
          </w:tcPr>
          <w:p>
            <w:pPr>
              <w:spacing w:after="0"/>
              <w:rPr>
                <w:sz w:val="11"/>
                <w:szCs w:val="11"/>
                <w:color w:val="auto"/>
              </w:rPr>
            </w:pPr>
          </w:p>
        </w:tc>
        <w:tc>
          <w:tcPr>
            <w:tcW w:w="11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Six Months</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1"/>
                <w:szCs w:val="11"/>
                <w:color w:val="auto"/>
              </w:rPr>
            </w:pPr>
          </w:p>
        </w:tc>
        <w:tc>
          <w:tcPr>
            <w:tcW w:w="15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Excluded from</w:t>
            </w:r>
          </w:p>
        </w:tc>
        <w:tc>
          <w:tcPr>
            <w:tcW w:w="10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Six Months</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r>
      <w:tr>
        <w:trPr>
          <w:trHeight w:val="149"/>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2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 2, 2009</w:t>
            </w:r>
          </w:p>
        </w:tc>
        <w:tc>
          <w:tcPr>
            <w:tcW w:w="3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 26, 2008</w:t>
            </w:r>
          </w:p>
        </w:tc>
        <w:tc>
          <w:tcPr>
            <w:tcW w:w="4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Jul. 2, 2009</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 26, 2008</w:t>
            </w:r>
          </w:p>
        </w:tc>
        <w:tc>
          <w:tcPr>
            <w:tcW w:w="3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Testing)</w:t>
            </w:r>
          </w:p>
        </w:tc>
        <w:tc>
          <w:tcPr>
            <w:tcW w:w="3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 2, 2009</w:t>
            </w:r>
          </w:p>
        </w:tc>
        <w:tc>
          <w:tcPr>
            <w:tcW w:w="3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 26, 2008</w:t>
            </w: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(3.9)</w:t>
            </w:r>
          </w:p>
        </w:tc>
        <w:tc>
          <w:tcPr>
            <w:tcW w:w="1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Interest Expense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80" w:right="26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NONCONTROLLING INTERESTS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8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1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June 26, 2008</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Taxes attributable to Members and impacts of subsidiary ownership changes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Change from net income attributable to NCM, Inc. and transfers from noncontrolling interests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comprehensive income are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4"/>
                <w:szCs w:val="14"/>
                <w:b w:val="1"/>
                <w:bCs w:val="1"/>
                <w:color w:val="auto"/>
                <w:w w:val="90"/>
              </w:rPr>
              <w:t>Quarter</w:t>
            </w:r>
          </w:p>
        </w:tc>
        <w:tc>
          <w:tcPr>
            <w:tcW w:w="6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8"/>
              </w:rPr>
              <w:t>Six Months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Quarter</w:t>
            </w:r>
          </w:p>
        </w:tc>
        <w:tc>
          <w:tcPr>
            <w:tcW w:w="6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July 2, 2009</w:t>
            </w:r>
          </w:p>
        </w:tc>
        <w:tc>
          <w:tcPr>
            <w:tcW w:w="6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July 2, 2009</w:t>
            </w:r>
          </w:p>
        </w:tc>
        <w:tc>
          <w:tcPr>
            <w:tcW w:w="6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June 26, 2008</w:t>
            </w:r>
          </w:p>
        </w:tc>
        <w:tc>
          <w:tcPr>
            <w:tcW w:w="6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26, 2008</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440"/>
              <w:spacing w:after="0"/>
              <w:rPr>
                <w:sz w:val="20"/>
                <w:szCs w:val="20"/>
                <w:color w:val="auto"/>
              </w:rPr>
            </w:pPr>
            <w:r>
              <w:rPr>
                <w:rFonts w:ascii="Arial" w:cs="Arial" w:eastAsia="Arial" w:hAnsi="Arial"/>
                <w:sz w:val="18"/>
                <w:szCs w:val="18"/>
                <w:color w:val="auto"/>
              </w:rPr>
              <w:t>Net Income Attributable to NCM, Inc. (as reported 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660"/>
              <w:spacing w:after="0"/>
              <w:rPr>
                <w:sz w:val="20"/>
                <w:szCs w:val="20"/>
                <w:color w:val="auto"/>
              </w:rPr>
            </w:pPr>
            <w:r>
              <w:rPr>
                <w:rFonts w:ascii="Arial" w:cs="Arial" w:eastAsia="Arial" w:hAnsi="Arial"/>
                <w:sz w:val="18"/>
                <w:szCs w:val="18"/>
                <w:color w:val="auto"/>
              </w:rPr>
              <w:t>Condensed Consolidated Statements of Operations), net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66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(loss) on cash flow hedge, net of tax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880"/>
              <w:spacing w:after="0"/>
              <w:rPr>
                <w:sz w:val="20"/>
                <w:szCs w:val="20"/>
                <w:color w:val="auto"/>
              </w:rPr>
            </w:pPr>
            <w:r>
              <w:rPr>
                <w:rFonts w:ascii="Arial" w:cs="Arial" w:eastAsia="Arial" w:hAnsi="Arial"/>
                <w:sz w:val="18"/>
                <w:szCs w:val="18"/>
                <w:color w:val="auto"/>
              </w:rPr>
              <w:t>Total, net of tax</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7</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96" w:lineRule="exact"/>
        <w:rPr>
          <w:sz w:val="20"/>
          <w:szCs w:val="20"/>
          <w:color w:val="auto"/>
        </w:rPr>
      </w:pPr>
    </w:p>
    <w:p>
      <w:pPr>
        <w:jc w:val="both"/>
        <w:ind w:right="280" w:firstLine="456"/>
        <w:spacing w:after="0" w:line="332" w:lineRule="auto"/>
        <w:rPr>
          <w:sz w:val="20"/>
          <w:szCs w:val="20"/>
          <w:color w:val="auto"/>
        </w:rPr>
      </w:pPr>
      <w:r>
        <w:rPr>
          <w:rFonts w:ascii="Arial" w:cs="Arial" w:eastAsia="Arial" w:hAnsi="Arial"/>
          <w:sz w:val="16"/>
          <w:szCs w:val="16"/>
          <w:color w:val="auto"/>
        </w:rPr>
        <w:t>On August 4, 2009, the Company declared a cash dividend of $0.16 per share on each share of the Company’s common stock (including outstanding restricted stock) to stockholders of record on August 20, 2009 to be paid on September 3, 2009 (approximately $6.8 million).</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FAS 165 requires the Company to disclose the date through which subsequent events have been evaluated, as well as whether that date is the date the financial statements were issued. For the three and six months ended July 2, 2009, the Company evaluated, for potential recognition and disclosure, events that occurred prior to the filing of the Company’s Quarterly Report on Form 10-Q for the quarter ended July 2, 2009 on August 6, 2009.</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6, 2009 with the SEC for the Company’s fiscal year ended January 1, 2009. The following discussion and analysis should be read in conjunction with the unaudited condensed consolidated financial statements and notes thereto included herein and the audited financial statements and other disclosure included in our annual report on Form 10-K filed on March 6, 2009 with the SEC for the Company’s fiscal year ended January 1, 2009.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NCM operates the largest digital in-theatre network in North America, for the distribution of advertising, business communications, and entertainment events. Our revenue is principally derived from the sale of advertising and, to a lesser extent, from our CineMeetings and Fathom events businesses. We have long-term ESAs with NCM LLC’s founding members through 2037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to theatres that are digitally equipped with our proprietary digital content network (“DCN”) technology. Approximately 94% of our theatre attendance is included in our digital network.</w:t>
      </w:r>
    </w:p>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marketplaces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CineMeetings and Fathom event locations and revenue per location. Finally, we monitor our operating cash flow and related financial leverage (see Note 3 to the unaudited condensed consolidated financial statements) and revolving credit facility availability and cash balances to ensure that debt obligations and future declared dividends can be met and adequate cash reserves are maintained.</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on March 6, 2009 with the SEC for the Company’s fiscal year ended January 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presents operating data and OIBDA taken from our unaudited financial statements included elsewhere in this document. See “—Non-GAAP Financial Measures” below for a discussion of the calculation of Adjusted OIBDA and reconciliation to operating income.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Quarter</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8"/>
              </w:rPr>
              <w:t>Quarter</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4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1"/>
              </w:rPr>
              <w:t>(In millions, except per share data)</w:t>
            </w:r>
          </w:p>
        </w:tc>
        <w:tc>
          <w:tcPr>
            <w:tcW w:w="29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June 26, 2008</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26,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income</w:t>
            </w:r>
          </w:p>
        </w:tc>
        <w:tc>
          <w:tcPr>
            <w:tcW w:w="3080" w:type="dxa"/>
            <w:vAlign w:val="bottom"/>
            <w:gridSpan w:val="2"/>
          </w:tcPr>
          <w:p>
            <w:pPr>
              <w:ind w:left="29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4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62.1</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39.1</w:t>
            </w: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30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Adjusted OIBDA margin</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2"/>
              </w:rPr>
              <w:t>Net Income per Basic Share</w:t>
            </w:r>
          </w:p>
        </w:tc>
        <w:tc>
          <w:tcPr>
            <w:tcW w:w="3080" w:type="dxa"/>
            <w:vAlign w:val="bottom"/>
            <w:gridSpan w:val="2"/>
          </w:tcPr>
          <w:p>
            <w:pPr>
              <w:ind w:left="29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4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0.20</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7"/>
              </w:rPr>
              <w:t>Net Income per Diluted Share</w:t>
            </w:r>
          </w:p>
        </w:tc>
        <w:tc>
          <w:tcPr>
            <w:tcW w:w="308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presents total advertising revenue and total advertising revenue per attendee for the periods presented, which will be discussed further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Quarter</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Six Months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Quarter</w:t>
            </w:r>
          </w:p>
        </w:tc>
        <w:tc>
          <w:tcPr>
            <w:tcW w:w="60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4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5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2, 2009</w:t>
            </w:r>
          </w:p>
        </w:tc>
        <w:tc>
          <w:tcPr>
            <w:tcW w:w="6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2, 2009</w:t>
            </w:r>
          </w:p>
        </w:tc>
        <w:tc>
          <w:tcPr>
            <w:tcW w:w="6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26, 2008</w:t>
            </w:r>
          </w:p>
        </w:tc>
        <w:tc>
          <w:tcPr>
            <w:tcW w:w="6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26, 2008</w:t>
            </w:r>
          </w:p>
        </w:tc>
        <w:tc>
          <w:tcPr>
            <w:tcW w:w="20" w:type="dxa"/>
            <w:vAlign w:val="bottom"/>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 ($ in millions)</w:t>
            </w: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theatre attendance (in millions)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298.9</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 per attendee</w:t>
            </w: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$0.1 million, $3.2 million and $4.0 million for the six months ended July 2, 2009, the quarter ended June 26, 2008 and the six months ended June 26, 2008, respectively. Regal made Consolidated Theatre payments to NCM LLC pursuant to the revised ESAs, which was $0.8 million, $1.1 million, $0.5 million and $0.5 million for the quarter and six months ended July 2, 2009 and the quarter and six months ended June 26, 2008,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Quarter</w:t>
            </w:r>
          </w:p>
        </w:tc>
        <w:tc>
          <w:tcPr>
            <w:tcW w:w="3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3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July 2, 2009</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June 26, 2008</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26, 2008</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costs (1)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8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3780" w:type="dxa"/>
            <w:vAlign w:val="bottom"/>
            <w:gridSpan w:val="2"/>
            <w:vMerge w:val="continue"/>
          </w:tcPr>
          <w:p>
            <w:pPr>
              <w:spacing w:after="0"/>
              <w:rPr>
                <w:sz w:val="19"/>
                <w:szCs w:val="19"/>
                <w:color w:val="auto"/>
              </w:rPr>
            </w:pPr>
          </w:p>
        </w:tc>
        <w:tc>
          <w:tcPr>
            <w:tcW w:w="1340" w:type="dxa"/>
            <w:vAlign w:val="bottom"/>
            <w:gridSpan w:val="2"/>
          </w:tcPr>
          <w:p>
            <w:pPr>
              <w:ind w:left="1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4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8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 margin</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right="3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results of operations data for the quarter and six months ended July 2, 2009 and for the quarter and six months ended June 26, 2008 were derived from the unaudited condensed consolidated financial statements and accounting records of NCM, Inc. and should be read in conjunction with the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July 2, 2009 and June 26, 2008</w:t>
      </w:r>
    </w:p>
    <w:p>
      <w:pPr>
        <w:spacing w:after="0" w:line="9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of the Company for the quarter ended July 2, 2009 was $92.9 million compared to $86.7 million during the quarter ended June 26,</w:t>
      </w:r>
      <w:r>
        <w:rPr>
          <w:rFonts w:ascii="Arial" w:cs="Arial" w:eastAsia="Arial" w:hAnsi="Arial"/>
          <w:sz w:val="15"/>
          <w:szCs w:val="15"/>
          <w:i w:val="1"/>
          <w:iCs w:val="1"/>
          <w:color w:val="auto"/>
        </w:rPr>
        <w:t xml:space="preserve"> </w:t>
      </w:r>
      <w:r>
        <w:rPr>
          <w:rFonts w:ascii="Arial" w:cs="Arial" w:eastAsia="Arial" w:hAnsi="Arial"/>
          <w:sz w:val="15"/>
          <w:szCs w:val="15"/>
          <w:color w:val="auto"/>
        </w:rPr>
        <w:t>2008, an increase of $6.2 million, or 7.2%. The increase in total revenue was the result of an increase in advertising revenue of 11.6% (which includes revenue from our founding member beverage concessionaire agreements, or “beverage revenue”) offset by a 21.0% decrease in Meetings and Events revenue.</w:t>
      </w:r>
    </w:p>
    <w:p>
      <w:pPr>
        <w:spacing w:after="0" w:line="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National advertising revenue of $68.1 million (including $9.9 million of beverage revenue) for the quarter ended July 2, 2009 increased 16.5% compared to $58.5 million (including $10.6 million of beverage revenue) for the quarter ended June 26, 2008. The 21.5% increase in national revenue (excluding beverage revenue) was due primarily to an increase in national inventory utilization to 81.3% from 66.2%, while salable advertising impressions increased approximately 18.3%, or 267.4 million, primarily due to the inclusion in our network of the AMC Loews theatres, offset by a decrease in CPM’s of 6.2% (excluding beverage revenue). This revenue increase was also offset by a $0.7 million decrease, or 6.6%, in beverage revenue, primarily due to a reduction in contracted beverage advertising time by two of our founding members as compared to the quarter ended June 26, 2008, offset by a contractual annual 8% increase in beverage CPM and the additional attendance increase associated with the Consolidated Theatres acquired by Regal in the second quarter of 2008 and the strong theatrical box office. National advertising revenue also benefited from an increase in the allocation of content partner spending to the quarter ended July 2, 2009 versus the comparable period in 2008.</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Local advertising revenue decreased $1.0 million or 6.1% to $15.3 million for the quarter ended July 2, 2009 compared to $16.3 million for the quarter ended June 26, 2008. The decrease is primarily due to current economic conditions. Local revenue per theatre attendee in the second quarter of 2009 declined to $0.08 per attendee compared to $0.11 for the second quarter of 2008 due to the revenue decrease noted above, as well as an increase in the number of attendees over our network.</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Total advertising revenue per attendee for the quarter ended July 2, 2009 decreased slightly to $0.46 per attendee compared to $0.48 per attendee for the quarter ended June 26, 2008 due to higher market attendance despite the significant increase in our national advertising revenues.</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Meetings and Events revenue decreased $2.5 million, or 21.0%, to $9.4 million for the quarter ended July 2, 2009 compared to $11.9 million for the quarter ended June 26, 2008 related to the timing of the Metropolitan Opera events as fewer of the 2008-2009 season events were scheduled in the second quarter of 2009 versus 2008. Our CineMeetings business also appears to be adversely impacted by the soft economy as clients delayed their larger corporate events.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July 2, 2009 were $53.0 million compared to $47.6 million for the quarter ended</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June 26, 2008. The increase of 11.3% for the second quarter of 2009 versus total operating expenses for the second quarter of 2008 was primarily the result of the increase in advertising operations costs and network costs associated with the larger theatre network and higher administrative expenses during the quarter. Set forth below is a discussion of the more significant operating expenses:</w:t>
      </w:r>
    </w:p>
    <w:p>
      <w:pPr>
        <w:spacing w:after="0" w:line="63"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which were $4.8 million for the quarter ended July 2, 2009, increased 26.3% over the $3.8 million for the quarter ended June 26, 2008. This increase was primarily the result of a 45.0% increase in payments made to our network affiliate theatre circuits pursuant to our contractual agreements that require the payment of a specified percentage of the advertising revenue displayed in their theatres. The overall increase was due to a combination of higher national advertising revenues as well as the addition of affiliate circuits to our network in 2008.</w:t>
      </w:r>
    </w:p>
    <w:p>
      <w:pPr>
        <w:spacing w:after="0" w:line="3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u w:val="single" w:color="auto"/>
          <w:color w:val="auto"/>
        </w:rPr>
        <w:t>Meetings and Events operating costs.</w:t>
      </w:r>
      <w:r>
        <w:rPr>
          <w:rFonts w:ascii="Arial" w:cs="Arial" w:eastAsia="Arial" w:hAnsi="Arial"/>
          <w:sz w:val="18"/>
          <w:szCs w:val="18"/>
          <w:color w:val="auto"/>
        </w:rPr>
        <w:t xml:space="preserve"> Meetings and Events operating costs of $5.9 million for the quarter ended July 2, 2009 decreased 19.2% compared to $7.3 million for the quarter ended June 26, 2008 over the quarter ended June 26, 2008 due to lower revenue and change in the mix of event type and the associated content split for those events.</w:t>
      </w:r>
    </w:p>
    <w:p>
      <w:pPr>
        <w:spacing w:after="0" w:line="59"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$4.8 million for the quarter ended July 2, 2009 increased 23.1% compared to $3.9 million for the quarter ended June 26, 2008 due to the increase in the size of our digital network, increased maintenance expenses related to aging equipment and costs associated with our internet initiative.</w:t>
      </w:r>
    </w:p>
    <w:p>
      <w:pPr>
        <w:spacing w:after="0" w:line="59"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for the quarter ended July 2, 2009 were $14.0 million compared to $12.1 million for the quarter ended June 26, 2008. The increase for the second quarter of 2009 versus the second quarter of 2008 was primarily the result of an increase in the rate per digital screen and an 18.4% increase in founding member attendees as compared to the quarter ended June 26, 2008. The founding member attendance increase related to the addition of the AMC Loews theatres and the strong theatrical box office.</w:t>
      </w:r>
    </w:p>
    <w:p>
      <w:pPr>
        <w:spacing w:after="0" w:line="62"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$12.3 million for the quarter ended July 2, 2009 compared to $11.9 million for the quarter ended June 26, 2008, an increase of 3.4%. Selling and marketing costs have increased due primarily to increased marketing efforts to support sales and events over our larger network and broader client base, offset by decreases in the variable compensation levels associated with our regional advertising sales.</w:t>
      </w:r>
    </w:p>
    <w:p>
      <w:pPr>
        <w:spacing w:after="0" w:line="62"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increased to $7.3 million, or 28.1% for the quarter ended July 2, 2009 versus $5.7 million for the quarter ended June 26, 2008 primarily due to increased professional service fees, some of which were one-time costs associated with the IdeaCast restructuring and subsequent transaction with Danoo. See Note 4 to the unaudited condensed consolidated financial statements for additional discussion of the IdeaCast restructuring and Note 1 for additional discussion of the investment in Danoo.</w:t>
      </w:r>
    </w:p>
    <w:p>
      <w:pPr>
        <w:spacing w:after="0" w:line="3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The increase in depreciation and amortization expense for the quarter ended July 2, 2009 was primarily due to increased capital expenditures to support the growth of our network and amortization expense recognized on additional intangible assets recorded associated with the Common Unit Adjustment agreement with the founding members.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July 2, 2009 was $7.1 million compared to $4.3 million during the quarter ended June 26, 2008,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65.1%. This increase related to higher operating income and lower net interest expense that were offset by higher noncontrolling interest. The decrease in net interest expense is primarily due to a non-cash $4.5 million credit to interest expense related to the change in the fair value of our interest rate hedge associated with our senior secured credit facility due to the bankruptcy of Lehman as discussed in Notes 3 and 6 to the unaudited condensed consolidated financial statements and lower market interest rates on the unhedged portion of our debt. The increase in net noncontrolling interest is primarily due to higher operating income and additional common membership units issued in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2, 2009 and June 26, 2008</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six months ended July 2, 2009 was $166.4 million compared to $149.4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26, 2008. The increase of the 2009 period over the 2008 period of 11.4% was primarily the result of an increase of 11.8% in advertising revenues as discussed more fully below, and a 9.1% increase in Meetings and Events revenue.</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National advertising revenues of $119.2 million (including $18.3 million of beverage revenue) for the six months ended July 2, 2009 increased 18.0% from $101.0 million (including $20.8 million of beverage revenue) for the 2008 period. National advertising revenue (excluding beverage revenue) for the six months ended July 2, 2009 increased 25.8% compared to the 2008 period, primarily due to an increase in national advertising inventory utilization (excluding beverage revenue) to 74.9% from 62.6% offset by a decrease in CPMs of 3.3% (excluding beverage revenue). The increase in utilization is due primarily to an increase in the allocation of annual spending by our content partners in the first half of the year in 2009 as compared to 2008, and was achieved despite increases in our salable impressions in the first half of 2009 compared to 2008. This revenue increase was offset by a $2.5 million decrease in beverage revenue, primarily due to a reduction in contracted beverage advertising time by two of our founding members in the first half of 2009 compared to 2008, offset by a contractual annual 8% increase in beverage CPM.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Local advertising revenue decreased $3.2 million or 11.6% to $24.3 million for the six months ended July 2, 2009 compared to $27.5 million for the six months ended June 26, 2008. The decrease appears to be due to current economic conditions. Local revenue per theatre attendee in the first half of 2009 declined to $0.07 per attendee compared to $0.09 for the first half of 2008.</w:t>
      </w:r>
    </w:p>
    <w:p>
      <w:pPr>
        <w:spacing w:after="0" w:line="140"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Total advertising revenue per attendee for the six months ended July 2, 2009 was $0.42 per attendee, which represents a decrease of 1.3% compared to 2008 period. The slight decrease in the advertising revenue per attendee was primarily due to lower local and beverage revenue and increased attendance.</w:t>
      </w:r>
    </w:p>
    <w:p>
      <w:pPr>
        <w:spacing w:after="0" w:line="6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Meetings and Events revenue increased $1.9 million, or 9.1%, to $22.8 million for the six months ended July 2, 2009 compared to the 2008 period as a result of a 26.3% increase in the number of event sites and due to the success of events in our Fathom business.</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Total operating expenses for the six months ended July 2, 2009 were $104.3 million compared to $92.6 million for the 2008 period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June 26, 2008. The 12.6% increase in 2009 compared to the 2008 period was primarily the result of an increase in advertising operating costs and selling and marketing costs, which are the result of the increase in the size of our network and an increase in the percentage of network affiliate screens and increase in overall advertising revenue levels, and an increase in Meetings and Events operating costs which are the result of the increase in the number of events.</w:t>
      </w:r>
    </w:p>
    <w:p>
      <w:pPr>
        <w:spacing w:after="0" w:line="1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operations costs of $9.0 million for the six months ended July 2, 2009 increased 38.5% over the $6.5 million for the 2008 period. This increase was primarily the result of the payments made to our network affiliate theatre circuits pursuant to our contractual agreements for advertising revenue displayed in their theatres. This increase related to the combination of higher national advertising revenues as well as the addition of affiliate circuits to our network in 2008.</w:t>
      </w:r>
    </w:p>
    <w:p>
      <w:pPr>
        <w:spacing w:after="0" w:line="62"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u w:val="single" w:color="auto"/>
          <w:color w:val="auto"/>
        </w:rPr>
        <w:t>Meetings and Events operating costs.</w:t>
      </w:r>
      <w:r>
        <w:rPr>
          <w:rFonts w:ascii="Arial" w:cs="Arial" w:eastAsia="Arial" w:hAnsi="Arial"/>
          <w:sz w:val="18"/>
          <w:szCs w:val="18"/>
          <w:color w:val="auto"/>
        </w:rPr>
        <w:t xml:space="preserve"> Meetings and Events operating costs of $14.6 million for the six months ended July 2, 2009 increased 7.4% compared to $13.6 million during the 2008 period due to a 26.3% increase in the number of events and the increase in revenue and high level of variable event expenses associated with those events.</w:t>
      </w:r>
    </w:p>
    <w:p>
      <w:pPr>
        <w:spacing w:after="0" w:line="59"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$9.2 million for the six months ended July 2, 2009 increased 15% compared to $8.0 million for the 2008 period due primarily to the costs associated with the increase in the size of our digital network, as well as increases in expenses associated with aging equipment and our internet initiative.</w:t>
      </w:r>
    </w:p>
    <w:p>
      <w:pPr>
        <w:spacing w:after="0" w:line="59"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u w:val="single" w:color="auto"/>
          <w:color w:val="auto"/>
        </w:rPr>
        <w:t>Theatre access fees.</w:t>
      </w:r>
      <w:r>
        <w:rPr>
          <w:rFonts w:ascii="Arial" w:cs="Arial" w:eastAsia="Arial" w:hAnsi="Arial"/>
          <w:sz w:val="15"/>
          <w:szCs w:val="15"/>
          <w:color w:val="auto"/>
        </w:rPr>
        <w:t xml:space="preserve"> Theatre access fees were $26.4 million for the six months ended July 2, 2009 compared to $23.6 million for the comparable 2008 period. The increase for the first six months of 2009 versus the 2008 period was primarily the result of an increase in the rate per digital screen and a 12.3% increase in founding member attendees primarily associated with the addition of AMC Loews acquisition and new construction by our founding members.</w:t>
      </w:r>
    </w:p>
    <w:p>
      <w:pPr>
        <w:spacing w:after="0" w:line="7"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$24.1 million for the six months ended July 2, 2009 compared to $23.5 million for the 2008 period, or an increase of 2.6%. Selling and marketing costs have increased slightly due primarily to increased marketing and business development expenses to support our broader client base, offset by decreases in the variable compensation levels associated with our regional advertising sales.</w:t>
      </w:r>
    </w:p>
    <w:p>
      <w:pPr>
        <w:spacing w:after="0" w:line="62"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six months ended July 2, 2009 were $13.5 million compared to $12.4 million for the 2008 period, an increase of 8.9% primarily due to increased professional service fees, some of which were one-time costs associated with the IdeaCast restructuring and subsequent transaction with Danoo. See Note 4 to the unaudited condensed consolidated financial statements for additional discussion of the IdeaCast restructuring and Note 1 for additional discussion of the investment in Danoo.</w:t>
      </w:r>
    </w:p>
    <w:p>
      <w:pPr>
        <w:spacing w:after="0" w:line="32"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for the first six months of 2009 compared to the same period in 2008 primarily as a result of increased depreciation on capital expenditures made to support the growth of our network and amortization expense recognized on additional intangible assets recorded related to activity associated with the Common Unit Adjustment agreement. We expect full year 2009 depreciation and amortization to increase over 2008 with the amortization of the intangible assets that were recorded during 2008.</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Net income generated for the six months ended July 2, 2009 was $8.3 million compared to net income for the six months ended June 26,</w:t>
      </w:r>
      <w:r>
        <w:rPr>
          <w:rFonts w:ascii="Arial" w:cs="Arial" w:eastAsia="Arial" w:hAnsi="Arial"/>
          <w:sz w:val="16"/>
          <w:szCs w:val="16"/>
          <w:i w:val="1"/>
          <w:iCs w:val="1"/>
          <w:color w:val="auto"/>
        </w:rPr>
        <w:t xml:space="preserve"> </w:t>
      </w:r>
      <w:r>
        <w:rPr>
          <w:rFonts w:ascii="Arial" w:cs="Arial" w:eastAsia="Arial" w:hAnsi="Arial"/>
          <w:sz w:val="16"/>
          <w:szCs w:val="16"/>
          <w:color w:val="auto"/>
        </w:rPr>
        <w:t>2008 of $3.9 million due to an increase in operating income as discussed above and lower net interest expense offset by higher income taxes and noncontrolling interest. The decrease in net interest expense is primarily due to a $6.4 million credit to interest expense related to the change in the fair value of our interest rate hedge of our senior secured credit facility due to the bankruptcy of Lehman as discussed in Notes 3 and 6 to the unaudited condensed consolidated financial statements and lower market interest rates on the unhedged portion of our debt. The increase in income taxes is due primarily to higher pretax income. The increase in net noncontrolling interest is primarily due to higher operating income and additional common membership units issued in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current challenging macro-economic environment and current weak overall advertising environment in general, present uncertainties that could impact our future results of operations, including the timing and amount of spending from our advertising clients and collections of accounts receivable. However, in our current quarter we benefited from several factors including the growth in our advertising client base, growing recognition of the effectiveness of cinema advertising relative to other mediums, and the impact of the improving quality and scale of our national digital network and the related increase in salable impressions. In 2008 we added three large circuits to our network with the addition of Kerasotes and Hollywood, and integrated the AMC Loews circuit that had been previously part of another cinema advertising network. These additions have added nearly 100 million new attendees on a full-year pro-forma basis, representing approximately a billion new salable advertising impressions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Our sales force integrated these additional impressions into the advertising sales process during 2008 and they were made part of our selling process in 2009. We believe that these new circuits have strengthened our selling proposition in comparison to television and other national advertising platforms. It should be noted, however, that while our local advertising business is benefiting from the expansion of screens in our network, it is expected to continue to be adversely affected by the impact of the current economic downturn on our local customers, some of which have reduced their advertising spending.</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2008, we sold 90 seconds to two of our founding members and 60 seconds to the third. Beginning in 2009, all three founding members are acquiring only 60 seconds, which is likely to reduce our 2009 beverage revenue received from our founding members as this impact will more than offset its positive impact of the contractual CPM increase. This inventory previously sold to the founding members is now available for sale to our national advertising clients, which could reduce the impact of the lower founding member commitment as our inventory utilization rates increase.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July 2, 2009, our cash, cash equivalents and short-term investments balance was $61.6 million, a decrease of $7.6 million compared to the balance of $69.2 million as of January 1, 2009 and an increase of $43.5 million compared to the balance at June 26, 2008 (2008’s second quarter end).</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NCM LLC has an aggregate revolving credit facility commitment of $80.0 million with a consortium of banks. On September 15, 2008, Lehman filed for protection under Chapter 11 of the federal Bankruptcy Code in the United States Bankruptcy Court for the Southern District of New York. NCM LLC’s revolving credit facility includes $20.0 million with Lehman Commercial Paper Inc. (“LCPI”), a subsidiary of Lehman. As of July 2, 2009, NCM LLC has borrowed $14.0 million from LCPI under the revolving credit facility. Shortly after Lehman’s bankruptcy filing, LCPI failed to fund a borrowing request for the remainder of the undrawn commitment of $6.0 million. NCM LLC does not anticipate LCPI will fulfill its funding commitment in the future, however, such reduced funding is not expected to be required to meet our liquidity needs. Until the LCPI issues are resolved, NCM LLC is not anticipating repaying any of its revolver borrowings as it would effectively result in a permanent reduction of its revolving credit facility, to the extent of the payments against LCPI borrowings. In addition, while the bankruptcy court has authorized LCPI to resign as the administrative agent under the revolving credit facility, to the Company’s knowledge they have not yet done so. While our revolving credit facility is fully drawn (except for the unfunded Lehman amount), we believe we have sufficient cash balances and cash flow generated by operating activities to conduct our normal operations and do not expect the events with Lehman to have a material impact on our liquidity. Refer to Notes 3 and 6 to our unaudited condensed consolidated financial statements for further discussion regarding Lehman’s bankruptcy.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3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3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July 2, 2009</w:t>
            </w:r>
          </w:p>
        </w:tc>
        <w:tc>
          <w:tcPr>
            <w:tcW w:w="78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26, 2008</w:t>
            </w:r>
          </w:p>
        </w:tc>
        <w:tc>
          <w:tcPr>
            <w:tcW w:w="100" w:type="dxa"/>
            <w:vAlign w:val="bottom"/>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426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Investing cash flow</w:t>
            </w:r>
          </w:p>
        </w:tc>
        <w:tc>
          <w:tcPr>
            <w:tcW w:w="4260" w:type="dxa"/>
            <w:vAlign w:val="bottom"/>
            <w:gridSpan w:val="2"/>
          </w:tcPr>
          <w:p>
            <w:pPr>
              <w:ind w:left="414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426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363"/>
        </w:trPr>
        <w:tc>
          <w:tcPr>
            <w:tcW w:w="3060" w:type="dxa"/>
            <w:vAlign w:val="bottom"/>
          </w:tcPr>
          <w:p>
            <w:pPr>
              <w:spacing w:after="0"/>
              <w:rPr>
                <w:sz w:val="24"/>
                <w:szCs w:val="24"/>
                <w:color w:val="auto"/>
              </w:rPr>
            </w:pPr>
          </w:p>
        </w:tc>
        <w:tc>
          <w:tcPr>
            <w:tcW w:w="4140" w:type="dxa"/>
            <w:vAlign w:val="bottom"/>
          </w:tcPr>
          <w:p>
            <w:pPr>
              <w:jc w:val="right"/>
              <w:ind w:right="22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446"/>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increase in funds provided by operating activities for the six months ended July 2, 2009 versus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26, 2008 was primarily due to increased net income and changes in income tax payments offset by changes in the timing of the collection of accounts receivable balances and the timing of payments for normal operating expenditures.</w:t>
      </w:r>
    </w:p>
    <w:p>
      <w:pPr>
        <w:spacing w:after="0" w:line="25"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change in investing cash flows for the six months ended July 2, 2009 versus the six months ended June 26, 2008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the first quarter of 2008 conversion of short-term cash investment funds into cash and 2009 investments in affiliates, partially offset by lower levels of 2009 capital expenditures. The higher 2008 capital expenditures were primarily associated with the purchases of equipment and related installation costs necessary to expand our network in network affiliate theatres.</w:t>
      </w:r>
    </w:p>
    <w:p>
      <w:pPr>
        <w:spacing w:after="0" w:line="31" w:lineRule="exact"/>
        <w:rPr>
          <w:rFonts w:ascii="Arial" w:cs="Arial" w:eastAsia="Arial" w:hAnsi="Arial"/>
          <w:sz w:val="16"/>
          <w:szCs w:val="16"/>
          <w:color w:val="auto"/>
        </w:rPr>
      </w:pPr>
    </w:p>
    <w:p>
      <w:pPr>
        <w:jc w:val="both"/>
        <w:ind w:left="900" w:right="3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financing cash flows for the six months ended July 2, 2009 versus the six months ended June 26, 2008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cash distributions to our founding members based on higher available cash generation, offset by the impact of the repayment of borrowings on our revolving credit facility in the first quarter 2008.</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balances will fluctuate due to the timing of collections of accounts receivable balances and operating expenditure payments, as well as available cash payments (as defined) to NCM LLC’s founding members, interest payments on our term loan and principal payments on debt, income tax payments, tax sharing payments to our founding members and quarterly dividends to NCM, Inc’s common shareholders.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See Note 4 to the unaudited condensed consolidated financial statements for discussion of the IdeaCast restructuring and Note 1 for discussion of the investment in Danoo.</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distributions from NCM LLC. NCM LLC’s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sources of liquidity and capital resources are generated by its operating activities.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quarter ended July 2, 2009 was $32.2 million, of which $13.4 million was NCM, Inc.’s portion. NCM, Inc. will use cash received from the available cash distributions to fund income taxes, payments associated with the tax sharing agreement with the founding members and current and future dividends as declared by the board of directors, including a dividend declared on August 20, 2009 of $0.16 per share (approximately $6.8 million) which will be paid on September 3, 2009. Distributions from NCM LLC and NCM, Inc. cash balances should be sufficient to fund NCM, Inc.’s tax sharing payments to the founding member circuits, income taxes and its regular dividend for the forseeable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for the fiscal year ended January 1, 2009 and incorporated by reference herein. As of July 2, 2009,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2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Operations—Contractual and Other Obligations”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60"/>
        <w:spacing w:after="0" w:line="332" w:lineRule="auto"/>
        <w:rPr>
          <w:sz w:val="20"/>
          <w:szCs w:val="20"/>
          <w:color w:val="auto"/>
        </w:rPr>
      </w:pPr>
      <w:r>
        <w:rPr>
          <w:rFonts w:ascii="Arial" w:cs="Arial" w:eastAsia="Arial" w:hAnsi="Arial"/>
          <w:sz w:val="16"/>
          <w:szCs w:val="16"/>
          <w:color w:val="auto"/>
        </w:rPr>
        <w:t>contained in our annual report on Form 10-K for the fiscal year ended January 1, 2009 and incorporated by reference herein. We do not believe these arrangements are material to our current or future financial condition, results of operations, liquidity, capital resources or capital expenditures.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levels of revenue, operating income, net income, OIBDA and Adjusted OIBDA are seasonal in nature, coinciding with the timing of marketing expenditures by our advertising clients and to the quarter’s film revenue and related attendance patterns within the film exhibition industry. Advertising expenditures tend to be higher during the second, third, and fourth fiscal quarters and are correlated to new product releases and marketing cycles and higher theatre attendance. Theatrical attendance is generally highest during the summer and year-end holiday season coinciding with the release of blockbuster films. As a result, we typically have less revenue, operating income, net income, OIBDA and Adjusted OIBDA and our operating margins are lower in the first quarter than the other quarters of a given year. Importantly, the results of one quarter are not necessarily indicative of results for the next or any future quarter.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primary market risk to which we are exposed is interest rate risk. We have entered into variable-to-fixed interest rate swap arrangements economically hedging $550.0 million of the $725.0 million term loan at a fixed interest rate of 6.734%. For a discussion of market risks, see Item 7A. “Quantitative and Qualitative Disclosures About Market Risk” contained in our annual report on Form 10-K for the fiscal year ended January 1, 2009 and incorporated by reference herein. As of July 2, 2009, we are faced with uncertainty regarding the $137.5 million portion of the interest rate swap agreement with Lehman as discussed in Notes 3 and 6 to our unaudited condensed consolidated financial statements, with respect to which LBSF is in default. If that portion of the swap were terminated, there would be an additional $137.5 million of unhedged variable rate debt outstanding. While the current interest rates on that debt are lower than those implicit in the hedge, a 100 basis point fluctuation in market interest rates would have the effect of increasing or decreasing our interest expense by approximately $3.9 million for an annual period on a total of $386.5 million of unhedged debt. Because each of our interest rate swaps, including the one with LBSF, was in a liability position at July 2, 2009, we are not currently exposed to counterparty risk related to the swaps. When LBSF defaulted on their swap agreement we began suspending payments under the swap agreement due to the default. Such amounts withheld currently aggregate $3.9 million, which is included in accrued expenses in our unaudited condensed consolidated financial statements included elsewhere in this document. We have taken the position that, under the terms of the LBSF swap agreement, these amounts may be off-set against any future payments owed by LBSF should market interest rates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July 2, 2009,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July 2, 2009 were effective.</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July 2, 2009 that have materially affected, or are reasonably likely to materially affect, the Company’s internal controls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6, 2009 with the SEC for the fiscal year ended January 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Restricted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6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(a)</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6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6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6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of Shares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Paid Per</w:t>
            </w:r>
          </w:p>
        </w:tc>
        <w:tc>
          <w:tcPr>
            <w:tcW w:w="6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6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 be Purchased</w:t>
            </w:r>
          </w:p>
        </w:tc>
        <w:tc>
          <w:tcPr>
            <w:tcW w:w="0" w:type="dxa"/>
            <w:vAlign w:val="bottom"/>
          </w:tcPr>
          <w:p>
            <w:pPr>
              <w:spacing w:after="0"/>
              <w:rPr>
                <w:sz w:val="1"/>
                <w:szCs w:val="1"/>
                <w:color w:val="auto"/>
              </w:rPr>
            </w:pPr>
          </w:p>
        </w:tc>
      </w:t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Purchased (1)</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6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7"/>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 3, 2009 through Apr 30, 2009</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May 1, 2009 through May 28, 2009</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29, 2009 through July 2, 2009</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581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$13.82</w:t>
            </w: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covering the recipient’s tax withholding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matters were voted upon at the Annual Meeting of Stockholders held on April 28, 2009:</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#1 Election of Class II Directors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tcPr>
          <w:p>
            <w:pPr>
              <w:spacing w:after="0"/>
              <w:rPr>
                <w:sz w:val="14"/>
                <w:szCs w:val="14"/>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Withhold</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David R. Haas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39,341,993</w:t>
            </w:r>
          </w:p>
        </w:tc>
        <w:tc>
          <w:tcPr>
            <w:tcW w:w="1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166,712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James R. Holland, Jr.</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39,328,622</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180,083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Stephen L. Lanning</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39,341,662</w:t>
            </w:r>
          </w:p>
        </w:tc>
        <w:tc>
          <w:tcPr>
            <w:tcW w:w="1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167,043</w:t>
            </w: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Edward H. Meyer</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39,091,296</w:t>
            </w: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417,409</w:t>
            </w: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 #2 Approve the National CineMedia, Inc. 2009 Performance Bonus Plan</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18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37,117,782</w:t>
            </w:r>
          </w:p>
        </w:tc>
        <w:tc>
          <w:tcPr>
            <w:tcW w:w="19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655,149</w:t>
            </w:r>
          </w:p>
        </w:tc>
        <w:tc>
          <w:tcPr>
            <w:tcW w:w="20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505</w:t>
            </w:r>
          </w:p>
        </w:tc>
        <w:tc>
          <w:tcPr>
            <w:tcW w:w="19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1,735,269</w:t>
            </w:r>
          </w:p>
        </w:tc>
      </w:tr>
    </w:tbl>
    <w:p>
      <w:pPr>
        <w:spacing w:after="0" w:line="188" w:lineRule="exact"/>
        <w:rPr>
          <w:sz w:val="20"/>
          <w:szCs w:val="20"/>
          <w:color w:val="auto"/>
        </w:rPr>
      </w:pPr>
    </w:p>
    <w:p>
      <w:pPr>
        <w:ind w:left="460" w:right="1840"/>
        <w:spacing w:after="0" w:line="275" w:lineRule="auto"/>
        <w:rPr>
          <w:sz w:val="20"/>
          <w:szCs w:val="20"/>
          <w:color w:val="auto"/>
        </w:rPr>
      </w:pPr>
      <w:r>
        <w:rPr>
          <w:rFonts w:ascii="Arial" w:cs="Arial" w:eastAsia="Arial" w:hAnsi="Arial"/>
          <w:sz w:val="18"/>
          <w:szCs w:val="18"/>
          <w:b w:val="1"/>
          <w:bCs w:val="1"/>
          <w:color w:val="auto"/>
        </w:rPr>
        <w:t>Proposal #3 Approve the National CineMedia, Inc. 2007 Equity Incentive Plan, as amended by the First and Second Amendments (the “Equity Incentive Plan”)</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18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28,374,563</w:t>
            </w:r>
          </w:p>
        </w:tc>
        <w:tc>
          <w:tcPr>
            <w:tcW w:w="19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9,371,539</w:t>
            </w:r>
          </w:p>
        </w:tc>
        <w:tc>
          <w:tcPr>
            <w:tcW w:w="20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27,334</w:t>
            </w:r>
          </w:p>
        </w:tc>
        <w:tc>
          <w:tcPr>
            <w:tcW w:w="19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1,735,269</w:t>
            </w:r>
          </w:p>
        </w:tc>
      </w:tr>
    </w:tbl>
    <w:p>
      <w:pPr>
        <w:spacing w:after="0" w:line="188" w:lineRule="exact"/>
        <w:rPr>
          <w:sz w:val="20"/>
          <w:szCs w:val="20"/>
          <w:color w:val="auto"/>
        </w:rPr>
      </w:pPr>
    </w:p>
    <w:p>
      <w:pPr>
        <w:ind w:left="460" w:right="1960"/>
        <w:spacing w:after="0" w:line="275" w:lineRule="auto"/>
        <w:rPr>
          <w:sz w:val="20"/>
          <w:szCs w:val="20"/>
          <w:color w:val="auto"/>
        </w:rPr>
      </w:pPr>
      <w:r>
        <w:rPr>
          <w:rFonts w:ascii="Arial" w:cs="Arial" w:eastAsia="Arial" w:hAnsi="Arial"/>
          <w:sz w:val="18"/>
          <w:szCs w:val="18"/>
          <w:b w:val="1"/>
          <w:bCs w:val="1"/>
          <w:color w:val="auto"/>
        </w:rPr>
        <w:t>Proposal #4 Approve the use of “Free Cash Flow” as the performance measure for the vesting of certain restricted stock awards under the Equity Incentive Plan</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8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18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32,591,242</w:t>
            </w:r>
          </w:p>
        </w:tc>
        <w:tc>
          <w:tcPr>
            <w:tcW w:w="19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5,181,649</w:t>
            </w:r>
          </w:p>
        </w:tc>
        <w:tc>
          <w:tcPr>
            <w:tcW w:w="20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545</w:t>
            </w:r>
          </w:p>
        </w:tc>
        <w:tc>
          <w:tcPr>
            <w:tcW w:w="19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1,735,269</w:t>
            </w:r>
          </w:p>
        </w:tc>
      </w:tr>
    </w:tbl>
    <w:p>
      <w:pPr>
        <w:spacing w:after="0" w:line="188" w:lineRule="exact"/>
        <w:rPr>
          <w:sz w:val="20"/>
          <w:szCs w:val="20"/>
          <w:color w:val="auto"/>
        </w:rPr>
      </w:pPr>
    </w:p>
    <w:p>
      <w:pPr>
        <w:ind w:left="460" w:right="1920"/>
        <w:spacing w:after="0" w:line="275" w:lineRule="auto"/>
        <w:rPr>
          <w:sz w:val="20"/>
          <w:szCs w:val="20"/>
          <w:color w:val="auto"/>
        </w:rPr>
      </w:pPr>
      <w:r>
        <w:rPr>
          <w:rFonts w:ascii="Arial" w:cs="Arial" w:eastAsia="Arial" w:hAnsi="Arial"/>
          <w:sz w:val="18"/>
          <w:szCs w:val="18"/>
          <w:b w:val="1"/>
          <w:bCs w:val="1"/>
          <w:color w:val="auto"/>
        </w:rPr>
        <w:t>Proposal #5 Ratify the appointment of Deloitte &amp; Touche LLP as our independent auditors for our 2009 fiscal year ending December 31, 2009</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80" w:type="dxa"/>
            <w:vAlign w:val="bottom"/>
          </w:tcPr>
          <w:p>
            <w:pPr>
              <w:spacing w:after="0"/>
              <w:rPr>
                <w:sz w:val="15"/>
                <w:szCs w:val="15"/>
                <w:color w:val="auto"/>
              </w:rPr>
            </w:pPr>
          </w:p>
        </w:tc>
        <w:tc>
          <w:tcPr>
            <w:tcW w:w="18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Against</w:t>
            </w:r>
          </w:p>
        </w:tc>
        <w:tc>
          <w:tcPr>
            <w:tcW w:w="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60" w:type="dxa"/>
            <w:vAlign w:val="bottom"/>
          </w:tcPr>
          <w:p>
            <w:pPr>
              <w:spacing w:after="0"/>
              <w:rPr>
                <w:sz w:val="15"/>
                <w:szCs w:val="15"/>
                <w:color w:val="auto"/>
              </w:rPr>
            </w:pPr>
          </w:p>
        </w:tc>
        <w:tc>
          <w:tcPr>
            <w:tcW w:w="18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18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39,494,323</w:t>
            </w:r>
          </w:p>
        </w:tc>
        <w:tc>
          <w:tcPr>
            <w:tcW w:w="1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14,175</w:t>
            </w:r>
          </w:p>
        </w:tc>
        <w:tc>
          <w:tcPr>
            <w:tcW w:w="20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directors’ terms continued after the Annual Meeting of Stockholders:</w:t>
      </w:r>
    </w:p>
    <w:p>
      <w:pPr>
        <w:spacing w:after="0" w:line="171" w:lineRule="exact"/>
        <w:rPr>
          <w:sz w:val="20"/>
          <w:szCs w:val="20"/>
          <w:color w:val="auto"/>
        </w:rPr>
      </w:pPr>
    </w:p>
    <w:p>
      <w:pPr>
        <w:ind w:left="920" w:right="4240"/>
        <w:spacing w:after="0" w:line="437" w:lineRule="auto"/>
        <w:rPr>
          <w:sz w:val="20"/>
          <w:szCs w:val="20"/>
          <w:color w:val="auto"/>
        </w:rPr>
      </w:pPr>
      <w:r>
        <w:rPr>
          <w:rFonts w:ascii="Arial" w:cs="Arial" w:eastAsia="Arial" w:hAnsi="Arial"/>
          <w:sz w:val="16"/>
          <w:szCs w:val="16"/>
          <w:color w:val="auto"/>
        </w:rPr>
        <w:t>Class I directors—Kurt C. Hall, Lawrence A. Goodman and Scott N. Schneider Class III directors—Michael L. Campbell, Gerardo I. Lopez and Lee Roy Mitchell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24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Reference</w:t>
            </w:r>
          </w:p>
        </w:tc>
        <w:tc>
          <w:tcPr>
            <w:tcW w:w="98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660" w:type="dxa"/>
            <w:vAlign w:val="bottom"/>
            <w:tcBorders>
              <w:top w:val="single" w:sz="8" w:color="auto"/>
            </w:tcBorders>
          </w:tcPr>
          <w:p>
            <w:pPr>
              <w:jc w:val="right"/>
              <w:ind w:right="382"/>
              <w:spacing w:after="0"/>
              <w:rPr>
                <w:sz w:val="20"/>
                <w:szCs w:val="20"/>
                <w:color w:val="auto"/>
              </w:rPr>
            </w:pPr>
            <w:r>
              <w:rPr>
                <w:rFonts w:ascii="Arial" w:cs="Arial" w:eastAsia="Arial" w:hAnsi="Arial"/>
                <w:sz w:val="18"/>
                <w:szCs w:val="18"/>
                <w:color w:val="auto"/>
                <w:w w:val="81"/>
              </w:rPr>
              <w:t>(1)</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Amended</w:t>
            </w:r>
          </w:p>
        </w:tc>
        <w:tc>
          <w:tcPr>
            <w:tcW w:w="8880" w:type="dxa"/>
            <w:vAlign w:val="bottom"/>
          </w:tcPr>
          <w:p>
            <w:pPr>
              <w:ind w:left="20"/>
              <w:spacing w:after="0"/>
              <w:rPr>
                <w:sz w:val="20"/>
                <w:szCs w:val="20"/>
                <w:color w:val="auto"/>
              </w:rPr>
            </w:pPr>
            <w:r>
              <w:rPr>
                <w:rFonts w:ascii="Arial" w:cs="Arial" w:eastAsia="Arial" w:hAnsi="Arial"/>
                <w:sz w:val="18"/>
                <w:szCs w:val="18"/>
                <w:color w:val="auto"/>
              </w:rPr>
              <w:t>and Restated Certificate of Incorporation.</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(2)</w:t>
            </w: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87"/>
              </w:rPr>
              <w:t>10.1.1</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w w:val="90"/>
              </w:rPr>
              <w:t>First Amendment to Third Amended and Restated Limited Liability Company Operating Agreement of National CineMedia, LLC dated</w:t>
            </w: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w w:val="95"/>
              </w:rPr>
              <w:t>as of March 16, 2009, by and among American Multi-Cinema, Inc., Cinemark Media, Inc., Regal CineMedia Holdings, LLC and</w:t>
            </w:r>
          </w:p>
        </w:tc>
      </w:tr>
      <w:tr>
        <w:trPr>
          <w:trHeight w:val="222"/>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rPr>
              <w:t>National CineMedia, Inc.</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380" w:val="left"/>
          <w:tab w:leader="none" w:pos="67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7,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10795</wp:posOffset>
            </wp:positionV>
            <wp:extent cx="3190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6380" w:val="left"/>
          <w:tab w:leader="none" w:pos="672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7,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10795</wp:posOffset>
            </wp:positionV>
            <wp:extent cx="3190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FIRST AMENDMENT TO THE</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THIRD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171"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This First Amendment to the Third Amended and Restated Limited Liability Company Operating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of National CineMedia,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made and entered into as of March 16, 2009, by and among each of the parties hereto and amends the Third Amended and Restated Limited Liability Company Operating Agreement of National CineMedia, LLC, dated as of February 13, 2007 (the “</w:t>
      </w:r>
      <w:r>
        <w:rPr>
          <w:rFonts w:ascii="Arial" w:cs="Arial" w:eastAsia="Arial" w:hAnsi="Arial"/>
          <w:sz w:val="18"/>
          <w:szCs w:val="18"/>
          <w:b w:val="1"/>
          <w:bCs w:val="1"/>
          <w:u w:val="single" w:color="auto"/>
          <w:color w:val="auto"/>
        </w:rPr>
        <w:t>LLC Agreement</w:t>
      </w:r>
      <w:r>
        <w:rPr>
          <w:rFonts w:ascii="Arial" w:cs="Arial" w:eastAsia="Arial" w:hAnsi="Arial"/>
          <w:sz w:val="18"/>
          <w:szCs w:val="18"/>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WHEREAS, American Multi-Cinema, Inc., a Missouri Corporation (“</w:t>
      </w:r>
      <w:r>
        <w:rPr>
          <w:rFonts w:ascii="Arial" w:cs="Arial" w:eastAsia="Arial" w:hAnsi="Arial"/>
          <w:sz w:val="16"/>
          <w:szCs w:val="16"/>
          <w:b w:val="1"/>
          <w:bCs w:val="1"/>
          <w:u w:val="single" w:color="auto"/>
          <w:color w:val="auto"/>
        </w:rPr>
        <w:t>AMC</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AMC Founding Member</w:t>
      </w:r>
      <w:r>
        <w:rPr>
          <w:rFonts w:ascii="Arial" w:cs="Arial" w:eastAsia="Arial" w:hAnsi="Arial"/>
          <w:sz w:val="16"/>
          <w:szCs w:val="16"/>
          <w:color w:val="auto"/>
        </w:rPr>
        <w:t>”), Cinemark Media, Inc., a Delaware corporation (“</w:t>
      </w:r>
      <w:r>
        <w:rPr>
          <w:rFonts w:ascii="Arial" w:cs="Arial" w:eastAsia="Arial" w:hAnsi="Arial"/>
          <w:sz w:val="16"/>
          <w:szCs w:val="16"/>
          <w:b w:val="1"/>
          <w:bCs w:val="1"/>
          <w:u w:val="single" w:color="auto"/>
          <w:color w:val="auto"/>
        </w:rPr>
        <w:t>Cinemark Media</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Cinemark Founding Member</w:t>
      </w:r>
      <w:r>
        <w:rPr>
          <w:rFonts w:ascii="Arial" w:cs="Arial" w:eastAsia="Arial" w:hAnsi="Arial"/>
          <w:sz w:val="16"/>
          <w:szCs w:val="16"/>
          <w:color w:val="auto"/>
        </w:rPr>
        <w:t>”), Regal CineMedia Holdings, LLC, a Delaware limited liability company (“</w:t>
      </w:r>
      <w:r>
        <w:rPr>
          <w:rFonts w:ascii="Arial" w:cs="Arial" w:eastAsia="Arial" w:hAnsi="Arial"/>
          <w:sz w:val="16"/>
          <w:szCs w:val="16"/>
          <w:b w:val="1"/>
          <w:bCs w:val="1"/>
          <w:u w:val="single" w:color="auto"/>
          <w:color w:val="auto"/>
        </w:rPr>
        <w:t>Regal</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Regal Founding Member</w:t>
      </w:r>
      <w:r>
        <w:rPr>
          <w:rFonts w:ascii="Arial" w:cs="Arial" w:eastAsia="Arial" w:hAnsi="Arial"/>
          <w:sz w:val="16"/>
          <w:szCs w:val="16"/>
          <w:color w:val="auto"/>
        </w:rPr>
        <w:t>”), and National CineMedia, Inc., a Delaware corporation (“</w:t>
      </w:r>
      <w:r>
        <w:rPr>
          <w:rFonts w:ascii="Arial" w:cs="Arial" w:eastAsia="Arial" w:hAnsi="Arial"/>
          <w:sz w:val="16"/>
          <w:szCs w:val="16"/>
          <w:b w:val="1"/>
          <w:bCs w:val="1"/>
          <w:u w:val="single" w:color="auto"/>
          <w:color w:val="auto"/>
        </w:rPr>
        <w:t>NCM Inc.</w:t>
      </w:r>
      <w:r>
        <w:rPr>
          <w:rFonts w:ascii="Arial" w:cs="Arial" w:eastAsia="Arial" w:hAnsi="Arial"/>
          <w:sz w:val="16"/>
          <w:szCs w:val="16"/>
          <w:color w:val="auto"/>
        </w:rPr>
        <w:t>”) are parties to the LLC Agreement;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AMC, Cinemark Media, Regal and NCM Inc. desire to amend the LLC Agreement pursuant to the terms and conditions hereof; and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90" w:lineRule="exact"/>
        <w:rPr>
          <w:sz w:val="20"/>
          <w:szCs w:val="20"/>
          <w:color w:val="auto"/>
        </w:rPr>
      </w:pPr>
    </w:p>
    <w:p>
      <w:pPr>
        <w:ind w:left="460" w:right="2720" w:hanging="452"/>
        <w:spacing w:after="0" w:line="341" w:lineRule="auto"/>
        <w:tabs>
          <w:tab w:leader="none" w:pos="44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to Section 2.6 (Purposes)</w:t>
      </w:r>
      <w:r>
        <w:rPr>
          <w:rFonts w:ascii="Arial" w:cs="Arial" w:eastAsia="Arial" w:hAnsi="Arial"/>
          <w:sz w:val="18"/>
          <w:szCs w:val="18"/>
          <w:color w:val="auto"/>
        </w:rPr>
        <w:t xml:space="preserve">. Section 2.6 (Purposes) is hereby deleted and restated in its entirety as follows: </w:t>
      </w: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Purposes</w:t>
      </w:r>
      <w:r>
        <w:rPr>
          <w:rFonts w:ascii="Arial" w:cs="Arial" w:eastAsia="Arial" w:hAnsi="Arial"/>
          <w:sz w:val="18"/>
          <w:szCs w:val="18"/>
          <w:color w:val="auto"/>
        </w:rPr>
        <w:t>. The purpose of the Company is to:</w:t>
      </w:r>
    </w:p>
    <w:p>
      <w:pPr>
        <w:ind w:left="460" w:right="40" w:firstLine="443"/>
        <w:spacing w:after="0" w:line="258" w:lineRule="auto"/>
        <w:tabs>
          <w:tab w:leader="none" w:pos="1137" w:val="left"/>
        </w:tabs>
        <w:numPr>
          <w:ilvl w:val="1"/>
          <w:numId w:val="9"/>
        </w:numPr>
        <w:rPr>
          <w:rFonts w:ascii="Arial" w:cs="Arial" w:eastAsia="Arial" w:hAnsi="Arial"/>
          <w:sz w:val="18"/>
          <w:szCs w:val="18"/>
          <w:color w:val="auto"/>
        </w:rPr>
      </w:pPr>
      <w:r>
        <w:rPr>
          <w:rFonts w:ascii="Arial" w:cs="Arial" w:eastAsia="Arial" w:hAnsi="Arial"/>
          <w:sz w:val="18"/>
          <w:szCs w:val="18"/>
          <w:color w:val="auto"/>
        </w:rPr>
        <w:t>operate and maintain a digital content network (“</w:t>
      </w:r>
      <w:r>
        <w:rPr>
          <w:rFonts w:ascii="Arial" w:cs="Arial" w:eastAsia="Arial" w:hAnsi="Arial"/>
          <w:sz w:val="18"/>
          <w:szCs w:val="18"/>
          <w:b w:val="1"/>
          <w:bCs w:val="1"/>
          <w:u w:val="single" w:color="auto"/>
          <w:color w:val="auto"/>
        </w:rPr>
        <w:t>DCN</w:t>
      </w:r>
      <w:r>
        <w:rPr>
          <w:rFonts w:ascii="Arial" w:cs="Arial" w:eastAsia="Arial" w:hAnsi="Arial"/>
          <w:sz w:val="18"/>
          <w:szCs w:val="18"/>
          <w:color w:val="auto"/>
        </w:rPr>
        <w:t>”) that is able to distribute advertising, marketing, promotional and other digital content for display on theatre screens and video display monitors in theatres on a worldwide basis and that, among other things, will compete with all areas and forms of media (including cable and television broadcasters), advertising, marketing, promotional and/or any distribution of digital content via any media format on a worldwide basis;</w:t>
      </w:r>
    </w:p>
    <w:p>
      <w:pPr>
        <w:spacing w:after="0" w:line="61" w:lineRule="exact"/>
        <w:rPr>
          <w:rFonts w:ascii="Arial" w:cs="Arial" w:eastAsia="Arial" w:hAnsi="Arial"/>
          <w:sz w:val="18"/>
          <w:szCs w:val="18"/>
          <w:color w:val="auto"/>
        </w:rPr>
      </w:pPr>
    </w:p>
    <w:p>
      <w:pPr>
        <w:ind w:left="460" w:right="60" w:firstLine="443"/>
        <w:spacing w:after="0" w:line="256" w:lineRule="auto"/>
        <w:tabs>
          <w:tab w:leader="none" w:pos="1147"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provide advertising, marketing and promotional activities on behalf of any Person involved in the business of exhibiting theatrical motion pictures, including, but not limited to, the Founding Members and their Affiliates (including the Services as set forth in the Exhibitor Services Agreements) whether displayed over the DCN, as non-digital content for display on non-digital theatre screens, through lobby or other in-theatre promotions, or through sponsorships of special events;</w:t>
      </w:r>
    </w:p>
    <w:p>
      <w:pPr>
        <w:sectPr>
          <w:pgSz w:w="11900" w:h="16838" w:orient="portrait"/>
          <w:cols w:equalWidth="0" w:num="1">
            <w:col w:w="11420"/>
          </w:cols>
          <w:pgMar w:left="240" w:top="125" w:right="239" w:bottom="1440" w:gutter="0" w:footer="0" w:header="0"/>
        </w:sectPr>
      </w:pPr>
    </w:p>
    <w:bookmarkStart w:id="29" w:name="page30"/>
    <w:bookmarkEnd w:id="29"/>
    <w:p>
      <w:pPr>
        <w:ind w:left="452" w:right="20" w:firstLine="443"/>
        <w:spacing w:after="0" w:line="268" w:lineRule="auto"/>
        <w:tabs>
          <w:tab w:leader="none" w:pos="1129"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 operate and maintain a business that provides advertising, marketing and promotional materials and other activities to fitness centers, health clubs and other out-of-home advertising venues such as airlines and theme parks; and</w:t>
      </w:r>
    </w:p>
    <w:p>
      <w:pPr>
        <w:spacing w:after="0" w:line="44" w:lineRule="exact"/>
        <w:rPr>
          <w:rFonts w:ascii="Arial" w:cs="Arial" w:eastAsia="Arial" w:hAnsi="Arial"/>
          <w:sz w:val="18"/>
          <w:szCs w:val="18"/>
          <w:color w:val="auto"/>
        </w:rPr>
      </w:pPr>
    </w:p>
    <w:p>
      <w:pPr>
        <w:ind w:left="1152" w:hanging="257"/>
        <w:spacing w:after="0"/>
        <w:tabs>
          <w:tab w:leader="none" w:pos="11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engage in all activities and transactions in furtherance of the foregoing purposes (collectively, the “</w:t>
      </w:r>
      <w:r>
        <w:rPr>
          <w:rFonts w:ascii="Arial" w:cs="Arial" w:eastAsia="Arial" w:hAnsi="Arial"/>
          <w:sz w:val="18"/>
          <w:szCs w:val="18"/>
          <w:b w:val="1"/>
          <w:bCs w:val="1"/>
          <w:u w:val="single" w:color="auto"/>
          <w:color w:val="auto"/>
        </w:rPr>
        <w:t>Joint Venture Purposes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expressly modified hereby, all terms, conditions and provisions of the LLC Agreement shall continue in full force and effect. This Amendment shall be deemed to be and construed as part of the LLC Agreement, and the LLC Agreement shall be deemed to be and be construed as part of this Amendment; provided, however, that in the event of any inconsistency or conflict between the LLC Agreement and this Amendment, the terms, conditions and provisions of this Amendment shall govern and control.</w:t>
      </w:r>
    </w:p>
    <w:p>
      <w:pPr>
        <w:spacing w:after="0" w:line="62" w:lineRule="exact"/>
        <w:rPr>
          <w:rFonts w:ascii="Arial" w:cs="Arial" w:eastAsia="Arial" w:hAnsi="Arial"/>
          <w:sz w:val="18"/>
          <w:szCs w:val="18"/>
          <w:color w:val="auto"/>
        </w:rPr>
      </w:pPr>
    </w:p>
    <w:p>
      <w:pPr>
        <w:ind w:left="452" w:right="140" w:hanging="452"/>
        <w:spacing w:after="0" w:line="306"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one or more counterparts and by different parties on separate counterparts, each of which will be deemed an original, but all of which will constitute one and the same instrument. The parties agree that this Amendment shall be legally binding upon the electronic transmission, including by facsimile or email, by each party of a signed signature page hereof to the other party.</w:t>
      </w:r>
    </w:p>
    <w:p>
      <w:pPr>
        <w:spacing w:after="0" w:line="26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72"/>
          </w:cols>
          <w:pgMar w:left="248" w:top="280" w:right="279" w:bottom="1440" w:gutter="0" w:footer="0" w:header="0"/>
        </w:sectPr>
      </w:pPr>
    </w:p>
    <w:bookmarkStart w:id="30" w:name="page31"/>
    <w:bookmarkEnd w:id="30"/>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executed this Amendment or caused this Amendment to be executed on its behalf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AMERICAN MULTI-CINEMA,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Craig R. Ramsey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Craig R. Ramsey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Executive Vice President &amp; CFO</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CINEMARK MEDIA,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Cavalier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Michael Cavalier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Senior Vice President-General Counsel</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REGAL CINEMEDIA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Campbell</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Michael Campbell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Regal</w:t>
            </w:r>
          </w:p>
        </w:tc>
      </w:tr>
      <w:tr>
        <w:trPr>
          <w:trHeight w:val="222"/>
        </w:trPr>
        <w:tc>
          <w:tcPr>
            <w:tcW w:w="58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Entertainment Group</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NATIONAL CINEMEDIA,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Ralph E. Hardy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Ralph E. Hardy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Executive Vice President-General Counsel</w:t>
            </w:r>
          </w:p>
        </w:tc>
      </w:tr>
    </w:tbl>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2009</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July 2, 2009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7, 2009</w:t>
      </w:r>
    </w:p>
    <w:p>
      <w:pPr>
        <w:spacing w:after="0" w:line="10"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July 2, 2009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7, 2009</w:t>
      </w:r>
    </w:p>
    <w:p>
      <w:pPr>
        <w:spacing w:after="0" w:line="10"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decimal"/>
      <w:start w:val="1"/>
    </w:lvl>
    <w:lvl w:ilvl="1">
      <w:lvlJc w:val="left"/>
      <w:lvlText w:val="(%2)"/>
      <w:numFmt w:val="lowerLetter"/>
      <w:start w:val="3"/>
    </w:lvl>
  </w:abstractNum>
  <w:abstractNum w:abstractNumId="10">
    <w:nsid w:val="6B68079A"/>
    <w:multiLevelType w:val="hybridMultilevel"/>
    <w:lvl w:ilvl="0">
      <w:lvlJc w:val="left"/>
      <w:lvlText w:val="%1."/>
      <w:numFmt w:val="decimal"/>
      <w:start w:val="2"/>
    </w:lvl>
    <w:lvl w:ilvl="1">
      <w:lvlJc w:val="left"/>
      <w:lvlText w:val="%2"/>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2019-12-11T01:45:29Z</dcterms:created>
  <dcterms:modified xsi:type="dcterms:W3CDTF">2019-12-11T01:45:29Z</dcterms:modified>
</cp:coreProperties>
</file>